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200" w:lineRule="exact"/>
        <w:rPr>
          <w:sz w:val="24"/>
          <w:szCs w:val="24"/>
          <w:color w:val="auto"/>
        </w:rPr>
      </w:pPr>
    </w:p>
    <w:p>
      <w:pPr>
        <w:spacing w:after="0" w:line="2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UROGEN PHARMA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001-38079</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98-1460746</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5160" w:space="720"/>
            <w:col w:w="2200" w:space="720"/>
            <w:col w:w="2440"/>
          </w:cols>
          <w:pgMar w:left="320" w:top="416" w:right="339" w:bottom="1440" w:gutter="0" w:footer="0" w:header="0"/>
          <w:type w:val="continuous"/>
        </w:sectPr>
      </w:pPr>
    </w:p>
    <w:p>
      <w:pPr>
        <w:spacing w:after="0" w:line="21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400 Alexander Park Drive, 4th Floor</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Princeton, New Jersey</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880" w:space="720"/>
            <w:col w:w="1640"/>
          </w:cols>
          <w:pgMar w:left="320" w:top="4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+1 (646) 768-9780</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32"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Ordinary Shares,</w:t>
            </w:r>
          </w:p>
        </w:tc>
        <w:tc>
          <w:tcPr>
            <w:tcW w:w="100" w:type="dxa"/>
            <w:vAlign w:val="bottom"/>
          </w:tcPr>
          <w:p>
            <w:pPr>
              <w:spacing w:after="0"/>
              <w:rPr>
                <w:sz w:val="16"/>
                <w:szCs w:val="16"/>
                <w:color w:val="auto"/>
              </w:rPr>
            </w:pP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URGN</w:t>
            </w:r>
          </w:p>
        </w:tc>
        <w:tc>
          <w:tcPr>
            <w:tcW w:w="1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 value NIS0.01 per share</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p>
      <w:pPr>
        <w:ind w:left="6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3</w:t>
      </w:r>
      <w:r>
        <w:rPr>
          <w:rFonts w:ascii="Times New Roman" w:cs="Times New Roman" w:eastAsia="Times New Roman" w:hAnsi="Times New Roman"/>
          <w:sz w:val="18"/>
          <w:szCs w:val="18"/>
          <w:b w:val="1"/>
          <w:bCs w:val="1"/>
          <w:color w:val="auto"/>
        </w:rPr>
        <w:t>.03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22, 2026, UroGen Pharma Ltd. (the “Company”) held its 2026 Annual Meeting of Shareholders (the “Annual Meeting”). At the Annual Meeting, the Company's shareholders approved the amendment and restatement of the Company’s Articles of Association (the “Amended and Restated Articles”) to, among other things, tie eligibility for shareholder proposals to the requirements under the Israeli Companies Law, 5759-1999 and the regulations promulgated thereunder. The Amended and Restated Articles were previously approved, subject to shareholder approval, by the Company's Board of Directors on March 19, 2026. A summary of the amendments made pursuant to the adoption of the Amended and Restated Articles are set forth under the heading "Proposal 2—To Approve the Proposed Articles of Association" of the Company’s definitive proxy statement on </w:t>
      </w:r>
      <w:hyperlink r:id="rId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Securities and Exchange Commission on April 30, 2026 (the “Proxy Statement”). The foregoing summary of the Amended and Restated Articles is qualified in its entirety by reference to the full text of the Amended and Restated Articles, a copy of which is filed as Exhibit 3.1 to this report.</w:t>
      </w:r>
    </w:p>
    <w:p>
      <w:pPr>
        <w:sectPr>
          <w:pgSz w:w="11900" w:h="16838" w:orient="portrait"/>
          <w:cols w:equalWidth="0" w:num="1">
            <w:col w:w="11200"/>
          </w:cols>
          <w:pgMar w:left="320" w:top="576" w:right="379" w:bottom="285" w:gutter="0" w:footer="0" w:header="0"/>
        </w:sectPr>
      </w:pP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5.02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ectPr>
          <w:pgSz w:w="11900" w:h="16838" w:orient="portrait"/>
          <w:cols w:equalWidth="0" w:num="2">
            <w:col w:w="960" w:space="720"/>
            <w:col w:w="9520"/>
          </w:cols>
          <w:pgMar w:left="320" w:top="576" w:right="379" w:bottom="285"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w:t>
      </w:r>
    </w:p>
    <w:p>
      <w:pPr>
        <w:sectPr>
          <w:pgSz w:w="11900" w:h="16838" w:orient="portrait"/>
          <w:cols w:equalWidth="0" w:num="1">
            <w:col w:w="11200"/>
          </w:cols>
          <w:pgMar w:left="320" w:top="576" w:right="379" w:bottom="285" w:gutter="0" w:footer="0" w:header="0"/>
          <w:type w:val="continuous"/>
        </w:sectPr>
      </w:pP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At the Annual Meeting, the Company’s shareholders also approved (i) an amendment to the Company’s Amended and Restated Non-Employee Director and Officer Compensation Policy in relation to directors’ and officers’ insurance (the “Compensation Policy Amendment”) and (ii) an amendment to the Company’s 2017 Equity Incentive Plan (the “2017 Plan” and the 2017 Plan, as amended, the “2017 Amended Plan”) to increase the number of ordinary shares authorized for issuance under the plan by 1,000,000 shares. The Compensation Policy Amendment and the 2017 Amended Plan were previously approved, subject to shareholder approval, by the Company’s Board of Directors on March 19, 2026. Summaries of the principal features of the Compensation Policy Amendment and the 2017 Amended Plan are set forth under the headings “Proposal 3—To Approve the Compensation Policy Amendment" and “Proposal 4—To Approve Amendments to the Company’s 2017 Equity Incentive Plan” contained in the Proxy Statement. The summaries are qualified in their entirety by reference to the Compensation Policy Amendment and the 2017 Amended Plan, filed as Exhibits 10.1 and 10.2 to this report.</w:t>
      </w:r>
    </w:p>
    <w:p>
      <w:pPr>
        <w:spacing w:after="0" w:line="18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shareholders voted on the proposals listed below, each of which was described in the Proxy Statement. The voting results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shareholders elected the following seven individuals to serve as directors until the Company’s next annual meeting of shareholders and until their successors are elected. There were no nominees other than those listed below. The voting results are as follows:</w:t>
      </w:r>
    </w:p>
    <w:p>
      <w:pPr>
        <w:spacing w:after="0" w:line="37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1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80" w:type="dxa"/>
            <w:vAlign w:val="bottom"/>
          </w:tcPr>
          <w:p>
            <w:pPr>
              <w:spacing w:after="0"/>
              <w:rPr>
                <w:sz w:val="20"/>
                <w:szCs w:val="20"/>
                <w:color w:val="auto"/>
              </w:rPr>
            </w:pP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Arie Belldegrun, M.D.</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23,369,726</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4,959,968</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6,330</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Barrett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25,942,072</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2,389,232</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4,720</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Cynthia M. Butitta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26,378,838</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1,940,273</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16,913</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Holden, M.D.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26,641,539</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1,687,876</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6,609</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A. Robinson, Jr.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27,918,601</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407,390</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10,033</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r>
        <w:trPr>
          <w:trHeight w:val="198"/>
        </w:trPr>
        <w:tc>
          <w:tcPr>
            <w:tcW w:w="19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Leana S. Wen, M.D.,</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M.Sc.</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26,667,146</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1,652,270</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16,608</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G. Wildman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27,862,621</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453,366</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20,037</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8,540,308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Amended and Restated Articles of Association.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Amended and Restated Articles. The voting results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19,306,222</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9,007,528</w:t>
            </w:r>
          </w:p>
        </w:tc>
        <w:tc>
          <w:tcPr>
            <w:tcW w:w="2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22,274</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8,540,308</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Compensation Policy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Compensation Policy Amendment. The voting results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1120" w:type="dxa"/>
            <w:vAlign w:val="bottom"/>
          </w:tcPr>
          <w:p>
            <w:pPr>
              <w:spacing w:after="0"/>
              <w:rPr>
                <w:sz w:val="18"/>
                <w:szCs w:val="18"/>
                <w:color w:val="auto"/>
              </w:rPr>
            </w:pPr>
          </w:p>
        </w:tc>
        <w:tc>
          <w:tcPr>
            <w:tcW w:w="2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26,089,418</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2,182,017</w:t>
            </w:r>
          </w:p>
        </w:tc>
        <w:tc>
          <w:tcPr>
            <w:tcW w:w="2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64,589</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8,540,308</w:t>
            </w: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4 - 2017 Equity Incentive Plan.</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2017 Amended Plan. The voting results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25,204,644</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3,058,912</w:t>
            </w:r>
          </w:p>
        </w:tc>
        <w:tc>
          <w:tcPr>
            <w:tcW w:w="2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72,468</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8,540,308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285"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5 - Advisory vote on the compensation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advisory basis, the shareholders approved the compensation paid to the Company’s named executive officers, as disclosed in the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2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25,125,846</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3,186,040</w:t>
            </w:r>
          </w:p>
        </w:tc>
        <w:tc>
          <w:tcPr>
            <w:tcW w:w="2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24,138</w:t>
            </w:r>
          </w:p>
        </w:tc>
        <w:tc>
          <w:tcPr>
            <w:tcW w:w="22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8,540,308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6 - Engagement of PricewaterhouseCoopers LLP as the Company’s independent auditor.</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shareholders approved the engagement of PricewaterhouseCoopers LLP as the Company’s independent auditor until the Company’s 2027 annual meeting of shareholders. The voting results are as follows:</w:t>
      </w:r>
    </w:p>
    <w:p>
      <w:pPr>
        <w:spacing w:after="0" w:line="374"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10"/>
        </w:trPr>
        <w:tc>
          <w:tcPr>
            <w:tcW w:w="23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36,778,509</w:t>
            </w:r>
          </w:p>
        </w:tc>
        <w:tc>
          <w:tcPr>
            <w:tcW w:w="25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90,799</w:t>
            </w:r>
          </w:p>
        </w:tc>
        <w:tc>
          <w:tcPr>
            <w:tcW w:w="25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7,024</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Brokers were entitled to cast votes on this proposal without voting instructions from the beneficial owners of the shares. As a result, there were no broker non-votes with respect to this proposal.</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9.01</w:t>
            </w:r>
          </w:p>
        </w:tc>
        <w:tc>
          <w:tcPr>
            <w:tcW w:w="70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2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8"/>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Articles of Association</w:t>
            </w:r>
          </w:p>
        </w:tc>
        <w:tc>
          <w:tcPr>
            <w:tcW w:w="3660" w:type="dxa"/>
            <w:vAlign w:val="bottom"/>
            <w:gridSpan w:val="2"/>
          </w:tcPr>
          <w:p>
            <w:pPr>
              <w:spacing w:after="0"/>
              <w:rPr>
                <w:sz w:val="24"/>
                <w:szCs w:val="24"/>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to Amended and Restated Non-Employee Director and Officer Compensation Policy</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UroGen Pharma Ltd. 2017 Equity Incentive Plan, as amended</w:t>
            </w:r>
          </w:p>
        </w:tc>
      </w:tr>
      <w:tr>
        <w:trPr>
          <w:trHeight w:val="20"/>
        </w:trPr>
        <w:tc>
          <w:tcPr>
            <w:tcW w:w="1000" w:type="dxa"/>
            <w:vAlign w:val="bottom"/>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040"/>
          </w:cols>
          <w:pgMar w:left="320" w:top="576" w:right="5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23, 2026</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UROGEN PHARMA LTD.</w:t>
      </w:r>
    </w:p>
    <w:p>
      <w:pPr>
        <w:spacing w:after="0" w:line="204" w:lineRule="exact"/>
        <w:rPr>
          <w:sz w:val="20"/>
          <w:szCs w:val="20"/>
          <w:color w:val="auto"/>
        </w:rPr>
      </w:pPr>
    </w:p>
    <w:p>
      <w:pPr>
        <w:sectPr>
          <w:pgSz w:w="11900" w:h="16838" w:orient="portrait"/>
          <w:cols w:equalWidth="0" w:num="2">
            <w:col w:w="3940" w:space="720"/>
            <w:col w:w="6380"/>
          </w:cols>
          <w:pgMar w:left="320" w:top="576" w:right="539" w:bottom="1440" w:gutter="0" w:footer="0" w:header="0"/>
          <w:type w:val="continuous"/>
        </w:sectPr>
      </w:pPr>
    </w:p>
    <w:p>
      <w:pPr>
        <w:spacing w:after="0" w:line="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 Degnan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Degnan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2">
            <w:col w:w="4940" w:space="720"/>
            <w:col w:w="5380"/>
          </w:cols>
          <w:pgMar w:left="320" w:top="576" w:right="5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20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UNDER THE COMPANIES LAW, 5759-1999</w:t>
      </w:r>
    </w:p>
    <w:p>
      <w:pPr>
        <w:spacing w:after="0" w:line="203" w:lineRule="exact"/>
        <w:rPr>
          <w:sz w:val="20"/>
          <w:szCs w:val="20"/>
          <w:color w:val="auto"/>
        </w:rPr>
      </w:pPr>
    </w:p>
    <w:p>
      <w:pPr>
        <w:ind w:left="320" w:hanging="319"/>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 In these Articles, unless the context requires otherwise, the following capitalized terms shall have the meanings set opposite them:</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as may be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760" w:right="40" w:hanging="458"/>
        <w:spacing w:after="0" w:line="28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and any day on which banks in Israel are closed or on which the NASDAQ is closed;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has the meaning set out in Article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-5080</wp:posOffset>
            </wp:positionV>
            <wp:extent cx="545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205" w:lineRule="exact"/>
        <w:rPr>
          <w:sz w:val="20"/>
          <w:szCs w:val="20"/>
          <w:color w:val="auto"/>
        </w:rPr>
      </w:pPr>
    </w:p>
    <w:p>
      <w:pPr>
        <w:ind w:left="1760" w:right="40" w:hanging="458"/>
        <w:spacing w:after="0" w:line="317" w:lineRule="auto"/>
        <w:rPr>
          <w:sz w:val="20"/>
          <w:szCs w:val="20"/>
          <w:color w:val="auto"/>
        </w:rPr>
      </w:pPr>
      <w:r>
        <w:rPr>
          <w:rFonts w:ascii="Times New Roman" w:cs="Times New Roman" w:eastAsia="Times New Roman" w:hAnsi="Times New Roman"/>
          <w:sz w:val="17"/>
          <w:szCs w:val="17"/>
          <w:color w:val="auto"/>
        </w:rPr>
        <w:t xml:space="preserve">1.1.5. </w:t>
      </w:r>
      <w:r>
        <w:rPr>
          <w:rFonts w:ascii="Times New Roman" w:cs="Times New Roman" w:eastAsia="Times New Roman" w:hAnsi="Times New Roman"/>
          <w:sz w:val="17"/>
          <w:szCs w:val="17"/>
          <w:b w:val="1"/>
          <w:bCs w:val="1"/>
          <w:color w:val="auto"/>
        </w:rPr>
        <w:t>“Companies Law</w:t>
      </w:r>
      <w:r>
        <w:rPr>
          <w:rFonts w:ascii="Times New Roman" w:cs="Times New Roman" w:eastAsia="Times New Roman" w:hAnsi="Times New Roman"/>
          <w:sz w:val="17"/>
          <w:szCs w:val="17"/>
          <w:color w:val="auto"/>
        </w:rPr>
        <w:t>” means the Israeli Companies Law, 5759-1999, as amended from time to time, including the regulations promulgated thereunder, or any other law which may come in its stead, including all amendments made thereto;</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UroGen Pharma Ltd.;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has the meaning set out in the Companies Law;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has the meaning set out in Article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-5080</wp:posOffset>
            </wp:positionV>
            <wp:extent cx="545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color w:val="auto"/>
        </w:rPr>
        <w:t>“External Director</w:t>
      </w:r>
      <w:r>
        <w:rPr>
          <w:rFonts w:ascii="Times New Roman" w:cs="Times New Roman" w:eastAsia="Times New Roman" w:hAnsi="Times New Roman"/>
          <w:sz w:val="18"/>
          <w:szCs w:val="18"/>
          <w:color w:val="auto"/>
        </w:rPr>
        <w:t>” has the meaning set out in the Companies Law;</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means either an annual or an extraordinary meeting of the shareholders;</w:t>
      </w:r>
    </w:p>
    <w:p>
      <w:pPr>
        <w:spacing w:after="0" w:line="225" w:lineRule="exact"/>
        <w:rPr>
          <w:sz w:val="20"/>
          <w:szCs w:val="20"/>
          <w:color w:val="auto"/>
        </w:rPr>
      </w:pPr>
    </w:p>
    <w:p>
      <w:pPr>
        <w:jc w:val="both"/>
        <w:ind w:left="1740" w:right="420" w:hanging="539"/>
        <w:spacing w:after="0" w:line="268"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b w:val="1"/>
          <w:bCs w:val="1"/>
          <w:color w:val="auto"/>
        </w:rPr>
        <w:t>“Incapacitated Person</w:t>
      </w:r>
      <w:r>
        <w:rPr>
          <w:rFonts w:ascii="Times New Roman" w:cs="Times New Roman" w:eastAsia="Times New Roman" w:hAnsi="Times New Roman"/>
          <w:sz w:val="18"/>
          <w:szCs w:val="18"/>
          <w:color w:val="auto"/>
        </w:rPr>
        <w:t>” means any person whose capacity to effect legal action was denied or restricted by a court of competent jurisdiction or pursuant to the laws of the jurisdiction applicable to him and a bankrupt person in respect of whom no rehabilitation has been granted;</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has the meaning set out in Article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-5080</wp:posOffset>
            </wp:positionV>
            <wp:extent cx="545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b w:val="1"/>
          <w:bCs w:val="1"/>
          <w:color w:val="auto"/>
        </w:rPr>
        <w:t>“Office</w:t>
      </w:r>
      <w:r>
        <w:rPr>
          <w:rFonts w:ascii="Times New Roman" w:cs="Times New Roman" w:eastAsia="Times New Roman" w:hAnsi="Times New Roman"/>
          <w:sz w:val="18"/>
          <w:szCs w:val="18"/>
          <w:color w:val="auto"/>
        </w:rPr>
        <w:t>” means the registered office of the Company at that time;</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b w:val="1"/>
          <w:bCs w:val="1"/>
          <w:color w:val="auto"/>
        </w:rPr>
        <w:t>“Office Holder</w:t>
      </w:r>
      <w:r>
        <w:rPr>
          <w:rFonts w:ascii="Times New Roman" w:cs="Times New Roman" w:eastAsia="Times New Roman" w:hAnsi="Times New Roman"/>
          <w:sz w:val="18"/>
          <w:szCs w:val="18"/>
          <w:color w:val="auto"/>
        </w:rPr>
        <w:t>” has the meaning set out in the Companies Law;</w:t>
      </w:r>
    </w:p>
    <w:p>
      <w:pPr>
        <w:spacing w:after="0" w:line="225" w:lineRule="exact"/>
        <w:rPr>
          <w:sz w:val="20"/>
          <w:szCs w:val="20"/>
          <w:color w:val="auto"/>
        </w:rPr>
      </w:pPr>
    </w:p>
    <w:p>
      <w:pPr>
        <w:ind w:left="240" w:right="2720"/>
        <w:spacing w:after="0" w:line="286"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ordinary shares of the Company with a nominal value of NIS 0.01 each; .</w:t>
      </w:r>
    </w:p>
    <w:p>
      <w:pPr>
        <w:spacing w:after="0" w:line="1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b w:val="1"/>
          <w:bCs w:val="1"/>
          <w:color w:val="auto"/>
        </w:rPr>
        <w:t>“Proposal Request</w:t>
      </w:r>
      <w:r>
        <w:rPr>
          <w:rFonts w:ascii="Times New Roman" w:cs="Times New Roman" w:eastAsia="Times New Roman" w:hAnsi="Times New Roman"/>
          <w:sz w:val="18"/>
          <w:szCs w:val="18"/>
          <w:color w:val="auto"/>
        </w:rPr>
        <w:t>” has the meaning set out in Article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-5080</wp:posOffset>
            </wp:positionV>
            <wp:extent cx="545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b w:val="1"/>
          <w:bCs w:val="1"/>
          <w:color w:val="auto"/>
        </w:rPr>
        <w:t>“Proposing Shareholder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register of shareholders administered in accordance with the Companies Law;</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1.1.20.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has the meaning set out in Article 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-5080</wp:posOffset>
            </wp:positionV>
            <wp:extent cx="545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b w:val="1"/>
          <w:bCs w:val="1"/>
          <w:color w:val="auto"/>
        </w:rPr>
        <w:t>“Special Fund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24.9</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740" w:right="40" w:hanging="539"/>
        <w:spacing w:after="0" w:line="286" w:lineRule="auto"/>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b w:val="1"/>
          <w:bCs w:val="1"/>
          <w:color w:val="auto"/>
        </w:rPr>
        <w:t>“U.S. Rules</w:t>
      </w:r>
      <w:r>
        <w:rPr>
          <w:rFonts w:ascii="Times New Roman" w:cs="Times New Roman" w:eastAsia="Times New Roman" w:hAnsi="Times New Roman"/>
          <w:sz w:val="18"/>
          <w:szCs w:val="18"/>
          <w:color w:val="auto"/>
        </w:rPr>
        <w:t>” means the applicable rules of the NASDAQ and U.S. securities laws, regulations and rules, as amended from time to time.</w:t>
      </w:r>
    </w:p>
    <w:p>
      <w:pPr>
        <w:spacing w:after="0" w:line="157" w:lineRule="exact"/>
        <w:rPr>
          <w:sz w:val="20"/>
          <w:szCs w:val="20"/>
          <w:color w:val="auto"/>
        </w:rPr>
      </w:pPr>
    </w:p>
    <w:p>
      <w:pPr>
        <w:ind w:left="980" w:right="160" w:hanging="323"/>
        <w:spacing w:after="0" w:line="290" w:lineRule="auto"/>
        <w:rPr>
          <w:sz w:val="20"/>
          <w:szCs w:val="20"/>
          <w:color w:val="auto"/>
        </w:rPr>
      </w:pPr>
      <w:r>
        <w:rPr>
          <w:rFonts w:ascii="Times New Roman" w:cs="Times New Roman" w:eastAsia="Times New Roman" w:hAnsi="Times New Roman"/>
          <w:sz w:val="17"/>
          <w:szCs w:val="17"/>
          <w:color w:val="auto"/>
        </w:rPr>
        <w:t>1.2. Reference to “</w:t>
      </w:r>
      <w:r>
        <w:rPr>
          <w:rFonts w:ascii="Times New Roman" w:cs="Times New Roman" w:eastAsia="Times New Roman" w:hAnsi="Times New Roman"/>
          <w:sz w:val="17"/>
          <w:szCs w:val="17"/>
          <w:i w:val="1"/>
          <w:iCs w:val="1"/>
          <w:color w:val="auto"/>
        </w:rPr>
        <w:t>writing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written</w:t>
      </w:r>
      <w:r>
        <w:rPr>
          <w:rFonts w:ascii="Times New Roman" w:cs="Times New Roman" w:eastAsia="Times New Roman" w:hAnsi="Times New Roman"/>
          <w:sz w:val="17"/>
          <w:szCs w:val="17"/>
          <w:color w:val="auto"/>
        </w:rPr>
        <w:t>” or similar expressions in these Articles means handwriting, typewriting, photography, telex, email, other electronic form or any other legible form of writing. Reference to a “person” or “persons” shall also include corporations, companies, cooperative societies, partnerships, trusts of any kind or any other body of persons, whether incorporated or otherwise.</w:t>
      </w:r>
    </w:p>
    <w:p>
      <w:pPr>
        <w:spacing w:after="0" w:line="157" w:lineRule="exact"/>
        <w:rPr>
          <w:sz w:val="20"/>
          <w:szCs w:val="20"/>
          <w:color w:val="auto"/>
        </w:rPr>
      </w:pPr>
    </w:p>
    <w:p>
      <w:pPr>
        <w:ind w:left="980" w:right="60" w:hanging="323"/>
        <w:spacing w:after="0" w:line="282" w:lineRule="auto"/>
        <w:rPr>
          <w:sz w:val="20"/>
          <w:szCs w:val="20"/>
          <w:color w:val="auto"/>
        </w:rPr>
      </w:pPr>
      <w:r>
        <w:rPr>
          <w:rFonts w:ascii="Times New Roman" w:cs="Times New Roman" w:eastAsia="Times New Roman" w:hAnsi="Times New Roman"/>
          <w:sz w:val="18"/>
          <w:szCs w:val="18"/>
          <w:color w:val="auto"/>
        </w:rPr>
        <w:t xml:space="preserve">1.3. Subject to the provisions of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unless the context necessitates another meaning, terms and expressions in these Articles which have been defined in the Companies Law shall have the meanings ascribed to them therein.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Words in the singular shall also include the plural, and vice versa. Words in the masculine shall include the feminine and vice versa.</w:t>
      </w:r>
    </w:p>
    <w:p>
      <w:pPr>
        <w:spacing w:after="0" w:line="225" w:lineRule="exact"/>
        <w:rPr>
          <w:sz w:val="20"/>
          <w:szCs w:val="20"/>
          <w:color w:val="auto"/>
        </w:rPr>
      </w:pPr>
    </w:p>
    <w:p>
      <w:pPr>
        <w:ind w:left="980" w:right="220" w:hanging="323"/>
        <w:spacing w:after="0" w:line="282" w:lineRule="auto"/>
        <w:rPr>
          <w:sz w:val="20"/>
          <w:szCs w:val="20"/>
          <w:color w:val="auto"/>
        </w:rPr>
      </w:pPr>
      <w:r>
        <w:rPr>
          <w:rFonts w:ascii="Times New Roman" w:cs="Times New Roman" w:eastAsia="Times New Roman" w:hAnsi="Times New Roman"/>
          <w:sz w:val="18"/>
          <w:szCs w:val="18"/>
          <w:color w:val="auto"/>
        </w:rPr>
        <w:t>1.5. The captions to articles in these Articles are intended for the convenience of the reader only, and no use shall be made thereof in the interpretation of these Articles.</w:t>
      </w:r>
    </w:p>
    <w:p>
      <w:pPr>
        <w:sectPr>
          <w:pgSz w:w="11900" w:h="16838" w:orient="portrait"/>
          <w:cols w:equalWidth="0" w:num="1">
            <w:col w:w="10680"/>
          </w:cols>
          <w:pgMar w:left="880" w:top="333" w:right="339" w:bottom="0" w:gutter="0" w:footer="0" w:header="0"/>
        </w:sectPr>
      </w:pPr>
    </w:p>
    <w:bookmarkStart w:id="4" w:name="page5"/>
    <w:bookmarkEnd w:id="4"/>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LIABILITY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 company with limited liability and therefore each shareholder’s liability for the Company’s obligations shall be limited to the payment of the nominal value of the shares held by such shareholder, subject to the provisions of the Companies Law.</w:t>
      </w:r>
    </w:p>
    <w:p>
      <w:pPr>
        <w:spacing w:after="0" w:line="158"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OBJECTIVES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objectives are to engage in any lawful activity. The Company may donate a reasonable amount of money for any purpose that the Board finds appropriate, even if the donation is not for business considerations or for the purpose of achieving profits for the Company.</w:t>
      </w:r>
    </w:p>
    <w:p>
      <w:pPr>
        <w:spacing w:after="0" w:line="158"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Office shall be at such place as decided by the Board from time to time.</w:t>
      </w:r>
    </w:p>
    <w:p>
      <w:pPr>
        <w:spacing w:after="0" w:line="221"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authorized share capital of the Company shall consist of NIS 1,000,000 (one million New Israeli Shekels) divided into 100,000,000 (one hundred million) Ordinary Shares.</w:t>
      </w:r>
    </w:p>
    <w:p>
      <w:pPr>
        <w:spacing w:after="0" w:line="158"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ATTACHING TO THE ORDINARY SHARES</w:t>
      </w:r>
    </w:p>
    <w:p>
      <w:pPr>
        <w:spacing w:after="0" w:line="2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6.1. The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between them in all respects.</w:t>
      </w:r>
    </w:p>
    <w:p>
      <w:pPr>
        <w:spacing w:after="0" w:line="227" w:lineRule="exact"/>
        <w:rPr>
          <w:sz w:val="20"/>
          <w:szCs w:val="20"/>
          <w:color w:val="auto"/>
        </w:rPr>
      </w:pPr>
    </w:p>
    <w:p>
      <w:pPr>
        <w:ind w:left="1380" w:hanging="323"/>
        <w:spacing w:after="0" w:line="266" w:lineRule="auto"/>
        <w:rPr>
          <w:sz w:val="20"/>
          <w:szCs w:val="20"/>
          <w:color w:val="auto"/>
        </w:rPr>
      </w:pPr>
      <w:r>
        <w:rPr>
          <w:rFonts w:ascii="Times New Roman" w:cs="Times New Roman" w:eastAsia="Times New Roman" w:hAnsi="Times New Roman"/>
          <w:sz w:val="18"/>
          <w:szCs w:val="18"/>
          <w:color w:val="auto"/>
        </w:rPr>
        <w:t>6.2. The Ordinary Shares in respect of which all calls have been fully paid shall confer on the holders thereof the right to attend and to vote at General Meetings of the Company, both annual as well as extraordinary meetings. Each Ordinary Share shall confer on its holder one vote at a General Meeting of the Company.</w:t>
      </w:r>
    </w:p>
    <w:p>
      <w:pPr>
        <w:spacing w:after="0" w:line="176" w:lineRule="exact"/>
        <w:rPr>
          <w:sz w:val="20"/>
          <w:szCs w:val="20"/>
          <w:color w:val="auto"/>
        </w:rPr>
      </w:pPr>
    </w:p>
    <w:p>
      <w:pPr>
        <w:ind w:left="1380" w:right="20" w:hanging="323"/>
        <w:spacing w:after="0" w:line="266" w:lineRule="auto"/>
        <w:rPr>
          <w:sz w:val="20"/>
          <w:szCs w:val="20"/>
          <w:color w:val="auto"/>
        </w:rPr>
      </w:pPr>
      <w:r>
        <w:rPr>
          <w:rFonts w:ascii="Times New Roman" w:cs="Times New Roman" w:eastAsia="Times New Roman" w:hAnsi="Times New Roman"/>
          <w:sz w:val="18"/>
          <w:szCs w:val="18"/>
          <w:color w:val="auto"/>
        </w:rPr>
        <w:t>6.3. The Ordinary Shares shall confer on a holder thereof the right to receive a dividend, to participate in a distribution of bonus shares and to participate in the distribution of the assets of the Company upon its winding-up, pro rata to the nominal amount paid up on the shares or credited as paid up in respect thereof, and without reference to any premium which may have been paid in respect thereof.</w:t>
      </w:r>
    </w:p>
    <w:p>
      <w:pPr>
        <w:spacing w:after="0" w:line="172"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OF CLASS RIGHTS</w:t>
      </w:r>
    </w:p>
    <w:p>
      <w:pPr>
        <w:spacing w:after="0" w:line="229" w:lineRule="exact"/>
        <w:rPr>
          <w:sz w:val="20"/>
          <w:szCs w:val="20"/>
          <w:color w:val="auto"/>
        </w:rPr>
      </w:pPr>
    </w:p>
    <w:p>
      <w:pPr>
        <w:ind w:left="1380" w:right="120" w:hanging="323"/>
        <w:spacing w:after="0" w:line="261" w:lineRule="auto"/>
        <w:rPr>
          <w:sz w:val="20"/>
          <w:szCs w:val="20"/>
          <w:color w:val="auto"/>
        </w:rPr>
      </w:pPr>
      <w:r>
        <w:rPr>
          <w:rFonts w:ascii="Times New Roman" w:cs="Times New Roman" w:eastAsia="Times New Roman" w:hAnsi="Times New Roman"/>
          <w:sz w:val="18"/>
          <w:szCs w:val="18"/>
          <w:color w:val="auto"/>
        </w:rPr>
        <w:t>7.1. Subject to applicable law, if at any time the share capital of the Company is divided into different classes of shares and unless the terms of issue of such class of shares otherwise stipulate, the rights attaching to any class of shares (including rights prescribed in the terms of issue of the shares) may be altered, modified or canceled by a resolution passed at a separate class meeting of the shareholders of that class.</w:t>
      </w:r>
    </w:p>
    <w:p>
      <w:pPr>
        <w:spacing w:after="0" w:line="178" w:lineRule="exact"/>
        <w:rPr>
          <w:sz w:val="20"/>
          <w:szCs w:val="20"/>
          <w:color w:val="auto"/>
        </w:rPr>
      </w:pPr>
    </w:p>
    <w:p>
      <w:pPr>
        <w:ind w:left="1380" w:right="80" w:hanging="323"/>
        <w:spacing w:after="0" w:line="284" w:lineRule="auto"/>
        <w:rPr>
          <w:sz w:val="20"/>
          <w:szCs w:val="20"/>
          <w:color w:val="auto"/>
        </w:rPr>
      </w:pPr>
      <w:r>
        <w:rPr>
          <w:rFonts w:ascii="Times New Roman" w:cs="Times New Roman" w:eastAsia="Times New Roman" w:hAnsi="Times New Roman"/>
          <w:sz w:val="18"/>
          <w:szCs w:val="18"/>
          <w:color w:val="auto"/>
        </w:rPr>
        <w:t xml:space="preserve">7.2. The provisions contained in these Articles with regard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the case may be, to every class meeting of the holders of each such class of the Company’s shares.</w:t>
      </w:r>
    </w:p>
    <w:p>
      <w:pPr>
        <w:spacing w:after="0" w:line="160" w:lineRule="exact"/>
        <w:rPr>
          <w:sz w:val="20"/>
          <w:szCs w:val="20"/>
          <w:color w:val="auto"/>
        </w:rPr>
      </w:pPr>
    </w:p>
    <w:p>
      <w:pPr>
        <w:ind w:left="1380" w:right="120" w:hanging="323"/>
        <w:spacing w:after="0" w:line="266" w:lineRule="auto"/>
        <w:rPr>
          <w:sz w:val="20"/>
          <w:szCs w:val="20"/>
          <w:color w:val="auto"/>
        </w:rPr>
      </w:pPr>
      <w:r>
        <w:rPr>
          <w:rFonts w:ascii="Times New Roman" w:cs="Times New Roman" w:eastAsia="Times New Roman" w:hAnsi="Times New Roman"/>
          <w:sz w:val="18"/>
          <w:szCs w:val="18"/>
          <w:color w:val="auto"/>
        </w:rPr>
        <w:t xml:space="preserve">7.3. Unless otherwise provided by these Articles, the increase of an authorized class of shares, or the issuance of additional shares thereof out of the authorized and unissued share capital, shall not be deemed, for purposes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to modify or abrogate the rights attached to previously issued shares of such class or of any other class.</w:t>
      </w:r>
    </w:p>
    <w:p>
      <w:pPr>
        <w:spacing w:after="0" w:line="172"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UNISSUED SHARE CAPITAL</w:t>
      </w:r>
    </w:p>
    <w:p>
      <w:pPr>
        <w:spacing w:after="0" w:line="229" w:lineRule="exact"/>
        <w:rPr>
          <w:sz w:val="20"/>
          <w:szCs w:val="20"/>
          <w:color w:val="auto"/>
        </w:rPr>
      </w:pPr>
    </w:p>
    <w:p>
      <w:pPr>
        <w:ind w:left="1380" w:right="20" w:hanging="323"/>
        <w:spacing w:after="0" w:line="253" w:lineRule="auto"/>
        <w:rPr>
          <w:sz w:val="20"/>
          <w:szCs w:val="20"/>
          <w:color w:val="auto"/>
        </w:rPr>
      </w:pPr>
      <w:r>
        <w:rPr>
          <w:rFonts w:ascii="Times New Roman" w:cs="Times New Roman" w:eastAsia="Times New Roman" w:hAnsi="Times New Roman"/>
          <w:sz w:val="18"/>
          <w:szCs w:val="18"/>
          <w:color w:val="auto"/>
        </w:rPr>
        <w:t xml:space="preserve">8.1. The unissued shares in the capital of the Company shall be under the control of the Board (and, to the full extent permitted by law, any committee designated thereby), which shall be entitled to issue or otherwise grant the same to such persons under such restrictions and conditions as it shall deem fit, whether for consideration or otherwise, and whether for consideration in cash or for consideration which is not in cash, above their nominal value or at a discount, all on such conditions, in such manner and at such times as the Board (or such committee) shall deem fit, subject to the provisions of the Companies Law. The Board (or such committee) shall be entitled,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differentiate between shareholders with regard to the amounts of calls in respect of the allotment of shares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there are calls) and with regard to the time for payment thereof. The Board (or such committee) may also issue options or warrants or other securities for the purchase of shares of the Company and prescribe the manner of the exercise of such options or warrants or other securities, including the time and price for such exercise and any other provision which is relevant to the method for distributing the issued shares of the Company amongst the purchasers thereof.</w:t>
      </w:r>
    </w:p>
    <w:p>
      <w:pPr>
        <w:spacing w:after="0" w:line="194" w:lineRule="exact"/>
        <w:rPr>
          <w:sz w:val="20"/>
          <w:szCs w:val="20"/>
          <w:color w:val="auto"/>
        </w:rPr>
      </w:pPr>
    </w:p>
    <w:p>
      <w:pPr>
        <w:ind w:left="1380" w:right="340" w:hanging="323"/>
        <w:spacing w:after="0" w:line="282" w:lineRule="auto"/>
        <w:rPr>
          <w:sz w:val="20"/>
          <w:szCs w:val="20"/>
          <w:color w:val="auto"/>
        </w:rPr>
      </w:pPr>
      <w:r>
        <w:rPr>
          <w:rFonts w:ascii="Times New Roman" w:cs="Times New Roman" w:eastAsia="Times New Roman" w:hAnsi="Times New Roman"/>
          <w:sz w:val="18"/>
          <w:szCs w:val="18"/>
          <w:color w:val="auto"/>
        </w:rPr>
        <w:t>8.2. The Board shall be entitled to prescribe the times for the issue of shares of the Company and the conditions therefor and any other matter which may arise in connection with the issue thereof.</w:t>
      </w:r>
    </w:p>
    <w:p>
      <w:pPr>
        <w:spacing w:after="0" w:line="162" w:lineRule="exact"/>
        <w:rPr>
          <w:sz w:val="20"/>
          <w:szCs w:val="20"/>
          <w:color w:val="auto"/>
        </w:rPr>
      </w:pPr>
    </w:p>
    <w:p>
      <w:pPr>
        <w:ind w:left="1380" w:right="20" w:hanging="323"/>
        <w:spacing w:after="0" w:line="258" w:lineRule="auto"/>
        <w:rPr>
          <w:sz w:val="20"/>
          <w:szCs w:val="20"/>
          <w:color w:val="auto"/>
        </w:rPr>
      </w:pPr>
      <w:r>
        <w:rPr>
          <w:rFonts w:ascii="Times New Roman" w:cs="Times New Roman" w:eastAsia="Times New Roman" w:hAnsi="Times New Roman"/>
          <w:sz w:val="18"/>
          <w:szCs w:val="18"/>
          <w:color w:val="auto"/>
        </w:rPr>
        <w:t>8.3. In every case of a rights offering, the Board shall be entitled, in its discretion, to resolve any problems and difficulties arising or that are likely to arise in regard to fractions of rights, and without prejudice to the generality of the foregoing, the Board shall be entitled to specify that no shares shall be allotted in respect of fractions of rights, or that fractions of rights shall be sold and the net proceeds shall be paid to the persons entitled to the fractions of rights, or, in accordance with a decision by the Board, to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351155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6" w:name="page7"/>
    <w:bookmarkEnd w:id="6"/>
    <w:p>
      <w:pPr>
        <w:ind w:left="413" w:hanging="319"/>
        <w:spacing w:after="0"/>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 OF CAPITAL; ALTERATIONS TO CAPITAL</w:t>
      </w:r>
    </w:p>
    <w:p>
      <w:pPr>
        <w:spacing w:after="0" w:line="229" w:lineRule="exact"/>
        <w:rPr>
          <w:sz w:val="20"/>
          <w:szCs w:val="20"/>
          <w:color w:val="auto"/>
        </w:rPr>
      </w:pPr>
    </w:p>
    <w:p>
      <w:pPr>
        <w:ind w:left="1073" w:right="20" w:hanging="323"/>
        <w:spacing w:after="0" w:line="266" w:lineRule="auto"/>
        <w:rPr>
          <w:sz w:val="20"/>
          <w:szCs w:val="20"/>
          <w:color w:val="auto"/>
        </w:rPr>
      </w:pPr>
      <w:r>
        <w:rPr>
          <w:rFonts w:ascii="Times New Roman" w:cs="Times New Roman" w:eastAsia="Times New Roman" w:hAnsi="Times New Roman"/>
          <w:sz w:val="18"/>
          <w:szCs w:val="18"/>
          <w:color w:val="auto"/>
        </w:rPr>
        <w:t>9.1. The Company may, from time to time, by a resolution of the shareholders at a General Meeting, increase its share capital by way of the creation of new shares, whether or not all the existing shares have been issued up to the date of the resolution, whether or not it has been decided to issue same, and whether or not calls have been made on all the issued shares.</w:t>
      </w:r>
    </w:p>
    <w:p>
      <w:pPr>
        <w:spacing w:after="0" w:line="176" w:lineRule="exact"/>
        <w:rPr>
          <w:sz w:val="20"/>
          <w:szCs w:val="20"/>
          <w:color w:val="auto"/>
        </w:rPr>
      </w:pPr>
    </w:p>
    <w:p>
      <w:pPr>
        <w:ind w:left="1073" w:right="100" w:hanging="323"/>
        <w:spacing w:after="0" w:line="266" w:lineRule="auto"/>
        <w:rPr>
          <w:sz w:val="20"/>
          <w:szCs w:val="20"/>
          <w:color w:val="auto"/>
        </w:rPr>
      </w:pPr>
      <w:r>
        <w:rPr>
          <w:rFonts w:ascii="Times New Roman" w:cs="Times New Roman" w:eastAsia="Times New Roman" w:hAnsi="Times New Roman"/>
          <w:sz w:val="18"/>
          <w:szCs w:val="18"/>
          <w:color w:val="auto"/>
        </w:rPr>
        <w:t>9.2. The increase of share capital shall be in such amount and divided into shares of such nominal value, and with such restrictions and conditions and with such rights and privileges as the resolution dealing with the creation of the shares prescribes, and if no provisions are contained in the resolution, then as the Board shall prescribe.</w:t>
      </w:r>
    </w:p>
    <w:p>
      <w:pPr>
        <w:spacing w:after="0" w:line="176" w:lineRule="exact"/>
        <w:rPr>
          <w:sz w:val="20"/>
          <w:szCs w:val="20"/>
          <w:color w:val="auto"/>
        </w:rPr>
      </w:pPr>
    </w:p>
    <w:p>
      <w:pPr>
        <w:ind w:left="1073" w:hanging="323"/>
        <w:spacing w:after="0" w:line="266" w:lineRule="auto"/>
        <w:rPr>
          <w:sz w:val="20"/>
          <w:szCs w:val="20"/>
          <w:color w:val="auto"/>
        </w:rPr>
      </w:pPr>
      <w:r>
        <w:rPr>
          <w:rFonts w:ascii="Times New Roman" w:cs="Times New Roman" w:eastAsia="Times New Roman" w:hAnsi="Times New Roman"/>
          <w:sz w:val="18"/>
          <w:szCs w:val="18"/>
          <w:color w:val="auto"/>
        </w:rPr>
        <w:t>9.3. Unless otherwise stated in the resolution approving the increase of the share capital, the new shares shall be subject to those provisions in regard to issue, allotment, alteration of rights, payment of calls, liens, forfeiture, transfer, transmission and other provisions which apply to the shares of the Company.</w:t>
      </w:r>
    </w:p>
    <w:p>
      <w:pPr>
        <w:spacing w:after="0" w:line="176"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9.4. The Company may, subject to any applicable provisions of the Companies Law:</w:t>
      </w:r>
    </w:p>
    <w:p>
      <w:pPr>
        <w:spacing w:after="0" w:line="225" w:lineRule="exact"/>
        <w:rPr>
          <w:sz w:val="20"/>
          <w:szCs w:val="20"/>
          <w:color w:val="auto"/>
        </w:rPr>
      </w:pPr>
    </w:p>
    <w:p>
      <w:pPr>
        <w:ind w:left="1853" w:right="180" w:hanging="458"/>
        <w:spacing w:after="0" w:line="282" w:lineRule="auto"/>
        <w:rPr>
          <w:sz w:val="20"/>
          <w:szCs w:val="20"/>
          <w:color w:val="auto"/>
        </w:rPr>
      </w:pPr>
      <w:r>
        <w:rPr>
          <w:rFonts w:ascii="Times New Roman" w:cs="Times New Roman" w:eastAsia="Times New Roman" w:hAnsi="Times New Roman"/>
          <w:sz w:val="18"/>
          <w:szCs w:val="18"/>
          <w:color w:val="auto"/>
        </w:rPr>
        <w:t>9.4.1. consolidate its issued or unissued share capital, or any part thereof, including into shares of a per share par value which is larger, equal to or smaller than the per share par value of its existing shares;</w:t>
      </w:r>
    </w:p>
    <w:p>
      <w:pPr>
        <w:spacing w:after="0" w:line="162" w:lineRule="exact"/>
        <w:rPr>
          <w:sz w:val="20"/>
          <w:szCs w:val="20"/>
          <w:color w:val="auto"/>
        </w:rPr>
      </w:pPr>
    </w:p>
    <w:p>
      <w:pPr>
        <w:ind w:left="1853" w:right="20" w:hanging="458"/>
        <w:spacing w:after="0" w:line="261" w:lineRule="auto"/>
        <w:rPr>
          <w:sz w:val="20"/>
          <w:szCs w:val="20"/>
          <w:color w:val="auto"/>
        </w:rPr>
      </w:pPr>
      <w:r>
        <w:rPr>
          <w:rFonts w:ascii="Times New Roman" w:cs="Times New Roman" w:eastAsia="Times New Roman" w:hAnsi="Times New Roman"/>
          <w:sz w:val="18"/>
          <w:szCs w:val="18"/>
          <w:color w:val="auto"/>
        </w:rPr>
        <w:t>9.4.2. sub-divide its issued or unissued share capital, in whole or in part, into shares of a smaller or the same par value of the existing shares and without prejudice to the foregoing, one or more of the shares so created may be granted any preferred or deferred rights or any special rights with regard to dividends, participation in assets upon winding-up, voting and so forth, subject to the provisions of these Articles;</w:t>
      </w:r>
    </w:p>
    <w:p>
      <w:pPr>
        <w:spacing w:after="0" w:line="180"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9.4.3. reduce its share capital; or</w:t>
      </w:r>
    </w:p>
    <w:p>
      <w:pPr>
        <w:spacing w:after="0" w:line="225" w:lineRule="exact"/>
        <w:rPr>
          <w:sz w:val="20"/>
          <w:szCs w:val="20"/>
          <w:color w:val="auto"/>
        </w:rPr>
      </w:pPr>
    </w:p>
    <w:p>
      <w:pPr>
        <w:ind w:left="1853" w:right="140" w:hanging="458"/>
        <w:spacing w:after="0" w:line="282" w:lineRule="auto"/>
        <w:rPr>
          <w:sz w:val="20"/>
          <w:szCs w:val="20"/>
          <w:color w:val="auto"/>
        </w:rPr>
      </w:pPr>
      <w:r>
        <w:rPr>
          <w:rFonts w:ascii="Times New Roman" w:cs="Times New Roman" w:eastAsia="Times New Roman" w:hAnsi="Times New Roman"/>
          <w:sz w:val="18"/>
          <w:szCs w:val="18"/>
          <w:color w:val="auto"/>
        </w:rPr>
        <w:t>9.4.4. cancel any shares which on the date of passing of the resolution have not been issued and to reduce its share capital by the amount of such shares.</w:t>
      </w:r>
    </w:p>
    <w:p>
      <w:pPr>
        <w:spacing w:after="0" w:line="162" w:lineRule="exact"/>
        <w:rPr>
          <w:sz w:val="20"/>
          <w:szCs w:val="20"/>
          <w:color w:val="auto"/>
        </w:rPr>
      </w:pPr>
    </w:p>
    <w:p>
      <w:pPr>
        <w:ind w:left="1073" w:right="80" w:hanging="323"/>
        <w:spacing w:after="0" w:line="253" w:lineRule="auto"/>
        <w:rPr>
          <w:sz w:val="20"/>
          <w:szCs w:val="20"/>
          <w:color w:val="auto"/>
        </w:rPr>
      </w:pPr>
      <w:r>
        <w:rPr>
          <w:rFonts w:ascii="Times New Roman" w:cs="Times New Roman" w:eastAsia="Times New Roman" w:hAnsi="Times New Roman"/>
          <w:sz w:val="18"/>
          <w:szCs w:val="18"/>
          <w:color w:val="auto"/>
        </w:rPr>
        <w:t xml:space="preserve">9.5. In the event of any of the actions described in </w:t>
      </w:r>
      <w:r>
        <w:rPr>
          <w:rFonts w:ascii="Times New Roman" w:cs="Times New Roman" w:eastAsia="Times New Roman" w:hAnsi="Times New Roman"/>
          <w:sz w:val="18"/>
          <w:szCs w:val="18"/>
          <w:u w:val="single" w:color="auto"/>
          <w:color w:val="auto"/>
        </w:rPr>
        <w:t>Article 9.4</w:t>
      </w:r>
      <w:r>
        <w:rPr>
          <w:rFonts w:ascii="Times New Roman" w:cs="Times New Roman" w:eastAsia="Times New Roman" w:hAnsi="Times New Roman"/>
          <w:sz w:val="18"/>
          <w:szCs w:val="18"/>
          <w:color w:val="auto"/>
        </w:rPr>
        <w:t xml:space="preserve"> above, the Board shall be entitled to prescribe arrangements necessary in order to resolve any difficulty arising or that are likely to arise in connection with such consolidation or other action, including to (i) allot, in contemplation of or subsequent to such consolidation or other action, shares or fractional shares sufficient to preclude or remove fractional share holdings; (ii) redeem, subject to applicable law, such shares or fractional shares sufficient to preclude or remove fractional share holdings; (iii) round up, round down or round to the nearest whole number, any fractional shares resulting from the consolidation or from any other action which may result in fractional shares; or (iv) cause the transfer of fractional shares by certain shareholders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w:t>
      </w:r>
      <w:r>
        <w:rPr>
          <w:rFonts w:ascii="Times New Roman" w:cs="Times New Roman" w:eastAsia="Times New Roman" w:hAnsi="Times New Roman"/>
          <w:sz w:val="18"/>
          <w:szCs w:val="18"/>
          <w:u w:val="single" w:color="auto"/>
          <w:color w:val="auto"/>
        </w:rPr>
        <w:t>Article 9.5</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333" w:hanging="333"/>
        <w:spacing w:after="0"/>
        <w:tabs>
          <w:tab w:leader="none" w:pos="3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CERTIFICATES</w:t>
      </w:r>
    </w:p>
    <w:p>
      <w:pPr>
        <w:spacing w:after="0" w:line="229"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10.1. Uncertificated Shares.</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10.1.1. Unless otherwise determined by the Board, the shares shall not be certificated.</w:t>
      </w:r>
    </w:p>
    <w:p>
      <w:pPr>
        <w:spacing w:after="0" w:line="225"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10.2. Certificated Shares.</w:t>
      </w:r>
    </w:p>
    <w:p>
      <w:pPr>
        <w:spacing w:after="0" w:line="225"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To the extent shares are certificated:</w:t>
      </w:r>
    </w:p>
    <w:p>
      <w:pPr>
        <w:spacing w:after="0" w:line="225" w:lineRule="exact"/>
        <w:rPr>
          <w:sz w:val="20"/>
          <w:szCs w:val="20"/>
          <w:color w:val="auto"/>
        </w:rPr>
      </w:pPr>
    </w:p>
    <w:p>
      <w:pPr>
        <w:ind w:left="1933" w:right="40" w:hanging="539"/>
        <w:spacing w:after="0" w:line="258" w:lineRule="auto"/>
        <w:rPr>
          <w:sz w:val="20"/>
          <w:szCs w:val="20"/>
          <w:color w:val="auto"/>
        </w:rPr>
      </w:pPr>
      <w:r>
        <w:rPr>
          <w:rFonts w:ascii="Times New Roman" w:cs="Times New Roman" w:eastAsia="Times New Roman" w:hAnsi="Times New Roman"/>
          <w:sz w:val="18"/>
          <w:szCs w:val="18"/>
          <w:color w:val="auto"/>
        </w:rPr>
        <w:t>10.2.1. Share certificates evidencing title to the shares of the Company shall be issued under the seal or rubber stamp of the Company or the Company’s name stamped or printed, together with the signatures of two members of the Board, or one director together with the Chief Executive Officer, the Chief Financial Officer or any other person designated by the Board. The Board shall be entitled to decide that the signatures be effected in any mechanical or electronic form, provided that the signature shall be effected under the supervision of the Board in such manner as it prescribes.</w:t>
      </w:r>
    </w:p>
    <w:p>
      <w:pPr>
        <w:spacing w:after="0" w:line="183" w:lineRule="exact"/>
        <w:rPr>
          <w:sz w:val="20"/>
          <w:szCs w:val="20"/>
          <w:color w:val="auto"/>
        </w:rPr>
      </w:pPr>
    </w:p>
    <w:p>
      <w:pPr>
        <w:ind w:left="1933" w:right="100" w:hanging="539"/>
        <w:spacing w:after="0" w:line="282" w:lineRule="auto"/>
        <w:rPr>
          <w:sz w:val="20"/>
          <w:szCs w:val="20"/>
          <w:color w:val="auto"/>
        </w:rPr>
      </w:pPr>
      <w:r>
        <w:rPr>
          <w:rFonts w:ascii="Times New Roman" w:cs="Times New Roman" w:eastAsia="Times New Roman" w:hAnsi="Times New Roman"/>
          <w:sz w:val="18"/>
          <w:szCs w:val="18"/>
          <w:color w:val="auto"/>
        </w:rPr>
        <w:t>10.2.2. Every shareholder shall be entitled, free of charge, to one certificate in respect of all the shares of a single class registered in his name in the Register.</w:t>
      </w:r>
    </w:p>
    <w:p>
      <w:pPr>
        <w:spacing w:after="0" w:line="162" w:lineRule="exact"/>
        <w:rPr>
          <w:sz w:val="20"/>
          <w:szCs w:val="20"/>
          <w:color w:val="auto"/>
        </w:rPr>
      </w:pPr>
    </w:p>
    <w:p>
      <w:pPr>
        <w:ind w:left="1933" w:right="20" w:hanging="539"/>
        <w:spacing w:after="0" w:line="261" w:lineRule="auto"/>
        <w:rPr>
          <w:sz w:val="20"/>
          <w:szCs w:val="20"/>
          <w:color w:val="auto"/>
        </w:rPr>
      </w:pPr>
      <w:r>
        <w:rPr>
          <w:rFonts w:ascii="Times New Roman" w:cs="Times New Roman" w:eastAsia="Times New Roman" w:hAnsi="Times New Roman"/>
          <w:sz w:val="18"/>
          <w:szCs w:val="18"/>
          <w:color w:val="auto"/>
        </w:rPr>
        <w:t>10.2.3. The Company shall not refuse a request by a shareholder to obtain several certificates in place of one certificate, unless such request is, in the opinion of the Board, unreasonable. Where a shareholder has sold or transferred some of his shares, he shall be entitled, free of charge, to receive a certificate in respect of his remaining shares, provided that the previous certificate is delivered to the Company before the issuance of a new certificate.</w:t>
      </w:r>
    </w:p>
    <w:p>
      <w:pPr>
        <w:spacing w:after="0" w:line="180" w:lineRule="exact"/>
        <w:rPr>
          <w:sz w:val="20"/>
          <w:szCs w:val="20"/>
          <w:color w:val="auto"/>
        </w:rPr>
      </w:pPr>
    </w:p>
    <w:p>
      <w:pPr>
        <w:ind w:left="1933" w:right="520" w:hanging="539"/>
        <w:spacing w:after="0" w:line="282" w:lineRule="auto"/>
        <w:rPr>
          <w:sz w:val="20"/>
          <w:szCs w:val="20"/>
          <w:color w:val="auto"/>
        </w:rPr>
      </w:pPr>
      <w:r>
        <w:rPr>
          <w:rFonts w:ascii="Times New Roman" w:cs="Times New Roman" w:eastAsia="Times New Roman" w:hAnsi="Times New Roman"/>
          <w:sz w:val="18"/>
          <w:szCs w:val="18"/>
          <w:color w:val="auto"/>
        </w:rPr>
        <w:t>10.2.4. Every share certificate shall specify the number of shares in respect of which such certificate is issued and may also specify the amounts which have been paid up in respect of each such share.</w:t>
      </w:r>
    </w:p>
    <w:p>
      <w:pPr>
        <w:spacing w:after="0" w:line="162" w:lineRule="exact"/>
        <w:rPr>
          <w:sz w:val="20"/>
          <w:szCs w:val="20"/>
          <w:color w:val="auto"/>
        </w:rPr>
      </w:pPr>
    </w:p>
    <w:p>
      <w:pPr>
        <w:ind w:left="1933" w:right="20" w:hanging="539"/>
        <w:spacing w:after="0" w:line="266" w:lineRule="auto"/>
        <w:rPr>
          <w:sz w:val="20"/>
          <w:szCs w:val="20"/>
          <w:color w:val="auto"/>
        </w:rPr>
      </w:pPr>
      <w:r>
        <w:rPr>
          <w:rFonts w:ascii="Times New Roman" w:cs="Times New Roman" w:eastAsia="Times New Roman" w:hAnsi="Times New Roman"/>
          <w:sz w:val="18"/>
          <w:szCs w:val="18"/>
          <w:color w:val="auto"/>
        </w:rPr>
        <w:t>10.2.5. A share certificate registered in the names of two (2) or more persons shall be delivered to one of the joint holders, and the Company shall not be obliged to issue more than one certificate to all the joint holders of shares and the delivery of such certificate to one (1) of the joint holders shall be deemed to be delivery to all of them.</w:t>
      </w:r>
    </w:p>
    <w:p>
      <w:pPr>
        <w:spacing w:after="0" w:line="176" w:lineRule="exact"/>
        <w:rPr>
          <w:sz w:val="20"/>
          <w:szCs w:val="20"/>
          <w:color w:val="auto"/>
        </w:rPr>
      </w:pPr>
    </w:p>
    <w:p>
      <w:pPr>
        <w:ind w:left="1933" w:right="100" w:hanging="539"/>
        <w:spacing w:after="0" w:line="312" w:lineRule="auto"/>
        <w:rPr>
          <w:sz w:val="20"/>
          <w:szCs w:val="20"/>
          <w:color w:val="auto"/>
        </w:rPr>
      </w:pPr>
      <w:r>
        <w:rPr>
          <w:rFonts w:ascii="Times New Roman" w:cs="Times New Roman" w:eastAsia="Times New Roman" w:hAnsi="Times New Roman"/>
          <w:sz w:val="17"/>
          <w:szCs w:val="17"/>
          <w:color w:val="auto"/>
        </w:rPr>
        <w:t>10.2.6. If a share certificate should be lost, destroyed or defaced, the Company shall be entitled to issue a new certificate in its place, provided that the certificate is delivered to it and destroyed by it, or it is proved to the satisfaction of the Board that</w:t>
      </w:r>
    </w:p>
    <w:p>
      <w:pPr>
        <w:sectPr>
          <w:pgSz w:w="11900" w:h="16838" w:orient="portrait"/>
          <w:cols w:equalWidth="0" w:num="1">
            <w:col w:w="10773"/>
          </w:cols>
          <w:pgMar w:left="787" w:top="576" w:right="339" w:bottom="0" w:gutter="0" w:footer="0" w:header="0"/>
        </w:sectPr>
      </w:pPr>
    </w:p>
    <w:bookmarkStart w:id="7" w:name="page8"/>
    <w:bookmarkEnd w:id="7"/>
    <w:p>
      <w:pPr>
        <w:ind w:left="1280"/>
        <w:spacing w:after="0" w:line="282" w:lineRule="auto"/>
        <w:rPr>
          <w:sz w:val="20"/>
          <w:szCs w:val="20"/>
          <w:color w:val="auto"/>
        </w:rPr>
      </w:pPr>
      <w:r>
        <w:rPr>
          <w:rFonts w:ascii="Times New Roman" w:cs="Times New Roman" w:eastAsia="Times New Roman" w:hAnsi="Times New Roman"/>
          <w:sz w:val="18"/>
          <w:szCs w:val="18"/>
          <w:color w:val="auto"/>
        </w:rPr>
        <w:t>the certificate was lost or destroyed and security has been received to its satisfaction in respect of any possible damages and after payment of such amount as the Board shall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440" w:top="121" w:right="579" w:bottom="1440" w:gutter="0" w:footer="0" w:header="0"/>
        </w:sectPr>
      </w:pPr>
    </w:p>
    <w:bookmarkStart w:id="8" w:name="page9"/>
    <w:bookmarkEnd w:id="8"/>
    <w:p>
      <w:pPr>
        <w:ind w:left="1153" w:right="20" w:hanging="404"/>
        <w:spacing w:after="0" w:line="258" w:lineRule="auto"/>
        <w:rPr>
          <w:sz w:val="20"/>
          <w:szCs w:val="20"/>
          <w:color w:val="auto"/>
        </w:rPr>
      </w:pPr>
      <w:r>
        <w:rPr>
          <w:rFonts w:ascii="Times New Roman" w:cs="Times New Roman" w:eastAsia="Times New Roman" w:hAnsi="Times New Roman"/>
          <w:sz w:val="18"/>
          <w:szCs w:val="18"/>
          <w:color w:val="auto"/>
        </w:rPr>
        <w:t>10.3. No person shall be recognized by the Company as having any right to a share unless such person is the registered owner of the shares in the Register. The Company shall not be bound by and shall not recognize any right or privilege pursuant to the laws of equity, or a fiduciary relationship or a chose in action, future or partial, in any share, or a right or privilege to a fraction of a share, or (unless these Articles otherwise direct) any other right in respect of a share, except the absolute right to the share as a whole, where same is vested in the owner registered in the Register.</w:t>
      </w:r>
    </w:p>
    <w:p>
      <w:pPr>
        <w:spacing w:after="0" w:line="179" w:lineRule="exact"/>
        <w:rPr>
          <w:sz w:val="20"/>
          <w:szCs w:val="20"/>
          <w:color w:val="auto"/>
        </w:rPr>
      </w:pPr>
    </w:p>
    <w:p>
      <w:pPr>
        <w:ind w:left="333" w:hanging="333"/>
        <w:spacing w:after="0"/>
        <w:tabs>
          <w:tab w:leader="none" w:pos="3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AND TRANSMISSION OF SHARES</w:t>
      </w:r>
    </w:p>
    <w:p>
      <w:pPr>
        <w:spacing w:after="0" w:line="229" w:lineRule="exact"/>
        <w:rPr>
          <w:sz w:val="20"/>
          <w:szCs w:val="20"/>
          <w:color w:val="auto"/>
        </w:rPr>
      </w:pPr>
    </w:p>
    <w:p>
      <w:pPr>
        <w:ind w:left="1153" w:right="220" w:hanging="404"/>
        <w:spacing w:after="0" w:line="261" w:lineRule="auto"/>
        <w:rPr>
          <w:sz w:val="20"/>
          <w:szCs w:val="20"/>
          <w:color w:val="auto"/>
        </w:rPr>
      </w:pPr>
      <w:r>
        <w:rPr>
          <w:rFonts w:ascii="Times New Roman" w:cs="Times New Roman" w:eastAsia="Times New Roman" w:hAnsi="Times New Roman"/>
          <w:sz w:val="18"/>
          <w:szCs w:val="18"/>
          <w:color w:val="auto"/>
        </w:rPr>
        <w:t>11.1. No transfer of shares shall be registered unless a proper instrument of transfer is delivered to the Company or, in the case of shares registered with a transfer agent, delivered to such transfer agent or to such other place specified for this purpose by the</w:t>
      </w:r>
    </w:p>
    <w:p>
      <w:pPr>
        <w:ind w:left="1153" w:right="20"/>
        <w:spacing w:after="0" w:line="252" w:lineRule="auto"/>
        <w:rPr>
          <w:sz w:val="20"/>
          <w:szCs w:val="20"/>
          <w:color w:val="auto"/>
        </w:rPr>
      </w:pPr>
      <w:r>
        <w:rPr>
          <w:rFonts w:ascii="Times New Roman" w:cs="Times New Roman" w:eastAsia="Times New Roman" w:hAnsi="Times New Roman"/>
          <w:sz w:val="18"/>
          <w:szCs w:val="18"/>
          <w:color w:val="auto"/>
        </w:rPr>
        <w:t>Board. Subject to the provisions of these Articles, an instrument of transfer of a share in the Company shall be signed by the transferor and the transferee. Notwithstanding anything to the contrary herein, shares registered in the name of The Depository Trust Company (or other entity providing similar functions) or its nominee shall be transferrable in accordance with the policies and procedures of The Depository Trust Company (or other entity providing similar functions). The Board may approve other methods of recognizing the transfer of shares in order to facilitate the trading of the Company’s shares on the NASDAQ or on any other stock exchange. The transferor shall be deemed to remain the holder of the share up until the time the name of the transferee is registered in the Register in respect of the transferred share.</w:t>
      </w:r>
    </w:p>
    <w:p>
      <w:pPr>
        <w:spacing w:after="0" w:line="188" w:lineRule="exact"/>
        <w:rPr>
          <w:sz w:val="20"/>
          <w:szCs w:val="20"/>
          <w:color w:val="auto"/>
        </w:rPr>
      </w:pPr>
    </w:p>
    <w:p>
      <w:pPr>
        <w:ind w:left="1113" w:right="340" w:hanging="364"/>
        <w:spacing w:after="0" w:line="282" w:lineRule="auto"/>
        <w:rPr>
          <w:sz w:val="20"/>
          <w:szCs w:val="20"/>
          <w:color w:val="auto"/>
        </w:rPr>
      </w:pPr>
      <w:r>
        <w:rPr>
          <w:rFonts w:ascii="Times New Roman" w:cs="Times New Roman" w:eastAsia="Times New Roman" w:hAnsi="Times New Roman"/>
          <w:sz w:val="18"/>
          <w:szCs w:val="18"/>
          <w:color w:val="auto"/>
        </w:rPr>
        <w:t>11.2.Insofar as the circumstances permit, the instrument of transfer of a share shall be substantially in the form set out below, or in any other form that the Board may approve.</w:t>
      </w:r>
    </w:p>
    <w:p>
      <w:pPr>
        <w:spacing w:after="0" w:line="158" w:lineRule="exact"/>
        <w:rPr>
          <w:sz w:val="20"/>
          <w:szCs w:val="20"/>
          <w:color w:val="auto"/>
        </w:rPr>
      </w:pPr>
    </w:p>
    <w:p>
      <w:pPr>
        <w:ind w:left="2433"/>
        <w:spacing w:after="0"/>
        <w:tabs>
          <w:tab w:leader="none" w:pos="4453" w:val="left"/>
        </w:tabs>
        <w:rPr>
          <w:sz w:val="20"/>
          <w:szCs w:val="20"/>
          <w:color w:val="auto"/>
        </w:rPr>
      </w:pPr>
      <w:r>
        <w:rPr>
          <w:rFonts w:ascii="Times New Roman" w:cs="Times New Roman" w:eastAsia="Times New Roman" w:hAnsi="Times New Roman"/>
          <w:sz w:val="18"/>
          <w:szCs w:val="18"/>
          <w:color w:val="auto"/>
        </w:rPr>
        <w:t>I _______________, I.D.</w:t>
        <w:tab/>
        <w:t>_______________ of _______________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in consideration for an</w:t>
      </w:r>
    </w:p>
    <w:p>
      <w:pPr>
        <w:spacing w:after="0" w:line="31" w:lineRule="exact"/>
        <w:rPr>
          <w:sz w:val="20"/>
          <w:szCs w:val="20"/>
          <w:color w:val="auto"/>
        </w:rPr>
      </w:pPr>
    </w:p>
    <w:p>
      <w:pPr>
        <w:ind w:left="2433"/>
        <w:spacing w:after="0"/>
        <w:tabs>
          <w:tab w:leader="none" w:pos="9133" w:val="left"/>
        </w:tabs>
        <w:rPr>
          <w:sz w:val="20"/>
          <w:szCs w:val="20"/>
          <w:color w:val="auto"/>
        </w:rPr>
      </w:pPr>
      <w:r>
        <w:rPr>
          <w:rFonts w:ascii="Times New Roman" w:cs="Times New Roman" w:eastAsia="Times New Roman" w:hAnsi="Times New Roman"/>
          <w:sz w:val="18"/>
          <w:szCs w:val="18"/>
          <w:color w:val="auto"/>
        </w:rPr>
        <w:t>amount  of  _______________  (in  words)  paid  to  me  by  _______________  I.D.</w:t>
        <w:tab/>
        <w:t>_______________  of</w:t>
      </w:r>
    </w:p>
    <w:p>
      <w:pPr>
        <w:spacing w:after="0" w:line="9" w:lineRule="exact"/>
        <w:rPr>
          <w:sz w:val="20"/>
          <w:szCs w:val="20"/>
          <w:color w:val="auto"/>
        </w:rPr>
      </w:pPr>
    </w:p>
    <w:p>
      <w:pPr>
        <w:ind w:left="2433"/>
        <w:spacing w:after="0"/>
        <w:tabs>
          <w:tab w:leader="none" w:pos="3913" w:val="left"/>
          <w:tab w:leader="none" w:pos="4933" w:val="left"/>
          <w:tab w:leader="none" w:pos="5293" w:val="left"/>
          <w:tab w:leader="none" w:pos="6533" w:val="left"/>
          <w:tab w:leader="none" w:pos="7153" w:val="left"/>
          <w:tab w:leader="none" w:pos="7853" w:val="left"/>
          <w:tab w:leader="none" w:pos="8133" w:val="left"/>
          <w:tab w:leader="none" w:pos="8493" w:val="left"/>
          <w:tab w:leader="none" w:pos="9393" w:val="left"/>
        </w:tabs>
        <w:rPr>
          <w:sz w:val="20"/>
          <w:szCs w:val="20"/>
          <w:color w:val="auto"/>
        </w:rPr>
      </w:pPr>
      <w:r>
        <w:rPr>
          <w:rFonts w:ascii="Times New Roman" w:cs="Times New Roman" w:eastAsia="Times New Roman" w:hAnsi="Times New Roman"/>
          <w:sz w:val="18"/>
          <w:szCs w:val="18"/>
          <w:color w:val="auto"/>
        </w:rPr>
        <w:t>_______________</w:t>
        <w:tab/>
        <w:t>(hereinafter:</w:t>
        <w:tab/>
        <w:t>the</w:t>
        <w:tab/>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w:t>
        <w:tab/>
        <w:t>hereby</w:t>
        <w:tab/>
        <w:t>transfer</w:t>
        <w:tab/>
        <w:t>to</w:t>
        <w:tab/>
        <w:t>the</w:t>
        <w:tab/>
        <w:t>Transferee</w:t>
        <w:tab/>
        <w:t>_______________</w:t>
      </w:r>
    </w:p>
    <w:p>
      <w:pPr>
        <w:spacing w:after="0" w:line="9" w:lineRule="exact"/>
        <w:rPr>
          <w:sz w:val="20"/>
          <w:szCs w:val="20"/>
          <w:color w:val="auto"/>
        </w:rPr>
      </w:pPr>
    </w:p>
    <w:p>
      <w:pPr>
        <w:ind w:left="2433"/>
        <w:spacing w:after="0"/>
        <w:tabs>
          <w:tab w:leader="none" w:pos="3833" w:val="left"/>
          <w:tab w:leader="none" w:pos="4453" w:val="left"/>
          <w:tab w:leader="none" w:pos="4753" w:val="left"/>
          <w:tab w:leader="none" w:pos="5513" w:val="left"/>
          <w:tab w:leader="none" w:pos="6073" w:val="left"/>
          <w:tab w:leader="none" w:pos="6513" w:val="left"/>
          <w:tab w:leader="none" w:pos="8033" w:val="left"/>
          <w:tab w:leader="none" w:pos="8573" w:val="left"/>
          <w:tab w:leader="none" w:pos="9273" w:val="left"/>
          <w:tab w:leader="none" w:pos="9753" w:val="left"/>
          <w:tab w:leader="none" w:pos="10133" w:val="left"/>
        </w:tabs>
        <w:rPr>
          <w:sz w:val="20"/>
          <w:szCs w:val="20"/>
          <w:color w:val="auto"/>
        </w:rPr>
      </w:pPr>
      <w:r>
        <w:rPr>
          <w:rFonts w:ascii="Times New Roman" w:cs="Times New Roman" w:eastAsia="Times New Roman" w:hAnsi="Times New Roman"/>
          <w:sz w:val="18"/>
          <w:szCs w:val="18"/>
          <w:color w:val="auto"/>
        </w:rPr>
        <w:t>______________</w:t>
        <w:tab/>
        <w:t>shares</w:t>
        <w:tab/>
        <w:t>of</w:t>
        <w:tab/>
        <w:t>nominal</w:t>
        <w:tab/>
        <w:t>value</w:t>
        <w:tab/>
        <w:t>NIS</w:t>
        <w:tab/>
        <w:t>_______________</w:t>
        <w:tab/>
        <w:t>each,</w:t>
        <w:tab/>
        <w:t>marked</w:t>
        <w:tab/>
        <w:t>with</w:t>
        <w:tab/>
        <w:t>the</w:t>
        <w:tab/>
        <w:t>numbers</w:t>
      </w:r>
    </w:p>
    <w:p>
      <w:pPr>
        <w:spacing w:after="0" w:line="9" w:lineRule="exact"/>
        <w:rPr>
          <w:sz w:val="20"/>
          <w:szCs w:val="20"/>
          <w:color w:val="auto"/>
        </w:rPr>
      </w:pPr>
    </w:p>
    <w:p>
      <w:pPr>
        <w:ind w:left="2433"/>
        <w:spacing w:after="0"/>
        <w:rPr>
          <w:sz w:val="20"/>
          <w:szCs w:val="20"/>
          <w:color w:val="auto"/>
        </w:rPr>
      </w:pPr>
      <w:r>
        <w:rPr>
          <w:rFonts w:ascii="Times New Roman" w:cs="Times New Roman" w:eastAsia="Times New Roman" w:hAnsi="Times New Roman"/>
          <w:sz w:val="18"/>
          <w:szCs w:val="18"/>
          <w:color w:val="auto"/>
        </w:rPr>
        <w:t>_______________ to _______________ (inclusive) of UroGen Pharma Ltd., to be held by the Transferee, the</w:t>
      </w:r>
    </w:p>
    <w:p>
      <w:pPr>
        <w:spacing w:after="0" w:line="9" w:lineRule="exact"/>
        <w:rPr>
          <w:sz w:val="20"/>
          <w:szCs w:val="20"/>
          <w:color w:val="auto"/>
        </w:rPr>
      </w:pPr>
    </w:p>
    <w:p>
      <w:pPr>
        <w:jc w:val="both"/>
        <w:ind w:left="2433"/>
        <w:spacing w:after="0" w:line="255" w:lineRule="auto"/>
        <w:rPr>
          <w:sz w:val="20"/>
          <w:szCs w:val="20"/>
          <w:color w:val="auto"/>
        </w:rPr>
      </w:pPr>
      <w:r>
        <w:rPr>
          <w:rFonts w:ascii="Times New Roman" w:cs="Times New Roman" w:eastAsia="Times New Roman" w:hAnsi="Times New Roman"/>
          <w:sz w:val="18"/>
          <w:szCs w:val="18"/>
          <w:color w:val="auto"/>
        </w:rPr>
        <w:t>assignee of his rights and his successors-in title, under all the same conditions under which I held same prior to the signing of this instrument, and I, the Transferee, hereby agree to accept the aforementioned shares in accordance with the above mentioned conditions.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33"/>
        <w:spacing w:after="0"/>
        <w:rPr>
          <w:sz w:val="20"/>
          <w:szCs w:val="20"/>
          <w:color w:val="auto"/>
        </w:rPr>
      </w:pPr>
      <w:r>
        <w:rPr>
          <w:rFonts w:ascii="Times New Roman" w:cs="Times New Roman" w:eastAsia="Times New Roman" w:hAnsi="Times New Roman"/>
          <w:sz w:val="18"/>
          <w:szCs w:val="18"/>
          <w:color w:val="auto"/>
        </w:rPr>
        <w:t>In witness whereof we have hereunto signed this _____ day of _______ 20__.</w:t>
      </w:r>
    </w:p>
    <w:p>
      <w:pPr>
        <w:spacing w:after="0" w:line="225" w:lineRule="exact"/>
        <w:rPr>
          <w:sz w:val="20"/>
          <w:szCs w:val="20"/>
          <w:color w:val="auto"/>
        </w:rPr>
      </w:pPr>
    </w:p>
    <w:p>
      <w:pPr>
        <w:ind w:left="2433"/>
        <w:spacing w:after="0"/>
        <w:rPr>
          <w:sz w:val="20"/>
          <w:szCs w:val="20"/>
          <w:color w:val="auto"/>
        </w:rPr>
      </w:pPr>
      <w:r>
        <w:rPr>
          <w:rFonts w:ascii="Times New Roman" w:cs="Times New Roman" w:eastAsia="Times New Roman" w:hAnsi="Times New Roman"/>
          <w:sz w:val="18"/>
          <w:szCs w:val="18"/>
          <w:color w:val="auto"/>
        </w:rPr>
        <w:t>Transferor _______________ Transferee _______________</w:t>
      </w:r>
    </w:p>
    <w:p>
      <w:pPr>
        <w:spacing w:after="0" w:line="225" w:lineRule="exact"/>
        <w:rPr>
          <w:sz w:val="20"/>
          <w:szCs w:val="20"/>
          <w:color w:val="auto"/>
        </w:rPr>
      </w:pPr>
    </w:p>
    <w:p>
      <w:pPr>
        <w:ind w:left="2433"/>
        <w:spacing w:after="0"/>
        <w:rPr>
          <w:sz w:val="20"/>
          <w:szCs w:val="20"/>
          <w:color w:val="auto"/>
        </w:rPr>
      </w:pPr>
      <w:r>
        <w:rPr>
          <w:rFonts w:ascii="Times New Roman" w:cs="Times New Roman" w:eastAsia="Times New Roman" w:hAnsi="Times New Roman"/>
          <w:sz w:val="18"/>
          <w:szCs w:val="18"/>
          <w:color w:val="auto"/>
        </w:rPr>
        <w:t>Witnesses to Signature ______________</w:t>
      </w:r>
    </w:p>
    <w:p>
      <w:pPr>
        <w:spacing w:after="0" w:line="225"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11.3. The Company may close the transfer registers and the Register for such period of time as the Board shall deem fit.</w:t>
      </w:r>
    </w:p>
    <w:p>
      <w:pPr>
        <w:spacing w:after="0" w:line="225" w:lineRule="exact"/>
        <w:rPr>
          <w:sz w:val="20"/>
          <w:szCs w:val="20"/>
          <w:color w:val="auto"/>
        </w:rPr>
      </w:pPr>
    </w:p>
    <w:p>
      <w:pPr>
        <w:ind w:left="1153" w:right="80" w:hanging="404"/>
        <w:spacing w:after="0" w:line="256" w:lineRule="auto"/>
        <w:rPr>
          <w:sz w:val="20"/>
          <w:szCs w:val="20"/>
          <w:color w:val="auto"/>
        </w:rPr>
      </w:pPr>
      <w:r>
        <w:rPr>
          <w:rFonts w:ascii="Times New Roman" w:cs="Times New Roman" w:eastAsia="Times New Roman" w:hAnsi="Times New Roman"/>
          <w:sz w:val="18"/>
          <w:szCs w:val="18"/>
          <w:color w:val="auto"/>
        </w:rPr>
        <w:t>11.4. Every instrument of transfer shall be submitted to the Office or to such other place as the Board shall prescribe, for purposes of registration, together with the share certificates to be transferred, or if no such certificate was issued, together with a letter of allotment of the shares to be transferred, and such other proof as the Board may demand in regard to the transferor’s right of title or his right to transfer the shares. The Board shall have the right to refuse to recognize an assignment of shares until the appropriate securities under the circumstances have been provided, as shall be determined by the Board in a specific case or from time to time in general. Instruments of transfer which serve as the basis for transfers that are registered shall remain with the Company.</w:t>
      </w:r>
    </w:p>
    <w:p>
      <w:pPr>
        <w:spacing w:after="0" w:line="187"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11.5. Every instrument of transfer shall relate to one class of shares only, unless the Board shall otherwise agree.</w:t>
      </w:r>
    </w:p>
    <w:p>
      <w:pPr>
        <w:spacing w:after="0" w:line="225" w:lineRule="exact"/>
        <w:rPr>
          <w:sz w:val="20"/>
          <w:szCs w:val="20"/>
          <w:color w:val="auto"/>
        </w:rPr>
      </w:pPr>
    </w:p>
    <w:p>
      <w:pPr>
        <w:ind w:left="1153" w:right="120" w:hanging="404"/>
        <w:spacing w:after="0" w:line="261" w:lineRule="auto"/>
        <w:rPr>
          <w:sz w:val="20"/>
          <w:szCs w:val="20"/>
          <w:color w:val="auto"/>
        </w:rPr>
      </w:pPr>
      <w:r>
        <w:rPr>
          <w:rFonts w:ascii="Times New Roman" w:cs="Times New Roman" w:eastAsia="Times New Roman" w:hAnsi="Times New Roman"/>
          <w:sz w:val="18"/>
          <w:szCs w:val="18"/>
          <w:color w:val="auto"/>
        </w:rPr>
        <w:t xml:space="preserve">11.6. The executors of the will or administrator of a deceased shareholder’s estate (such shareholder not being one of a joint owners of a share) or, in the absence of an administrator of the estate or executor of the will, the persons specified in </w:t>
      </w:r>
      <w:r>
        <w:rPr>
          <w:rFonts w:ascii="Times New Roman" w:cs="Times New Roman" w:eastAsia="Times New Roman" w:hAnsi="Times New Roman"/>
          <w:sz w:val="18"/>
          <w:szCs w:val="18"/>
          <w:u w:val="single" w:color="auto"/>
          <w:color w:val="auto"/>
        </w:rPr>
        <w:t>Article 11.7</w:t>
      </w:r>
      <w:r>
        <w:rPr>
          <w:rFonts w:ascii="Times New Roman" w:cs="Times New Roman" w:eastAsia="Times New Roman" w:hAnsi="Times New Roman"/>
          <w:sz w:val="18"/>
          <w:szCs w:val="18"/>
          <w:color w:val="auto"/>
        </w:rPr>
        <w:t xml:space="preserve"> below, shall be entitled to demand that the Company recognize them as owners of rights in the share. The provisions of Article 11‎.4 above shall apply, mutatis mutandis, also in regard to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-173990</wp:posOffset>
            </wp:positionV>
            <wp:extent cx="541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41655" cy="8890"/>
                    </a:xfrm>
                    <a:prstGeom prst="rect">
                      <a:avLst/>
                    </a:prstGeom>
                    <a:noFill/>
                  </pic:spPr>
                </pic:pic>
              </a:graphicData>
            </a:graphic>
          </wp:anchor>
        </w:drawing>
      </w:r>
    </w:p>
    <w:p>
      <w:pPr>
        <w:spacing w:after="0" w:line="160" w:lineRule="exact"/>
        <w:rPr>
          <w:sz w:val="20"/>
          <w:szCs w:val="20"/>
          <w:color w:val="auto"/>
        </w:rPr>
      </w:pPr>
    </w:p>
    <w:p>
      <w:pPr>
        <w:ind w:left="1153" w:right="40" w:hanging="404"/>
        <w:spacing w:after="0" w:line="254" w:lineRule="auto"/>
        <w:rPr>
          <w:sz w:val="20"/>
          <w:szCs w:val="20"/>
          <w:color w:val="auto"/>
        </w:rPr>
      </w:pPr>
      <w:r>
        <w:rPr>
          <w:rFonts w:ascii="Times New Roman" w:cs="Times New Roman" w:eastAsia="Times New Roman" w:hAnsi="Times New Roman"/>
          <w:sz w:val="18"/>
          <w:szCs w:val="18"/>
          <w:color w:val="auto"/>
        </w:rPr>
        <w:t xml:space="preserve">11.7. In the case of the death of one of the holders of a share registered in the names of two or more persons, the Company shall recognize only the surviving owners as persons having rights in the share. However, the aforementioned shall not be construed as releasing the estate of a deceased joint shareholder from any and all undertakings in respect of the shares. Any person who shall become an owner of shares following the death of a shareholder shall be entitled to be registered as owner of such shares after having presented to an officer of the Company to be designated by the Chief Executive Officer an inheritance order or probation order or order of appointment of an administrator of estate and any other proof as required - if these are sufficient in the opinion of such officer - testifying to such person’s right to appear as shareholder in accordance with these Articles, and which shall testify to his title to such shares. The provisions of Article 11‎.4 above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also in regard to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-29210</wp:posOffset>
            </wp:positionV>
            <wp:extent cx="541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41655" cy="8255"/>
                    </a:xfrm>
                    <a:prstGeom prst="rect">
                      <a:avLst/>
                    </a:prstGeom>
                    <a:noFill/>
                  </pic:spPr>
                </pic:pic>
              </a:graphicData>
            </a:graphic>
          </wp:anchor>
        </w:drawing>
      </w:r>
    </w:p>
    <w:p>
      <w:pPr>
        <w:spacing w:after="0" w:line="172" w:lineRule="exact"/>
        <w:rPr>
          <w:sz w:val="20"/>
          <w:szCs w:val="20"/>
          <w:color w:val="auto"/>
        </w:rPr>
      </w:pPr>
    </w:p>
    <w:p>
      <w:pPr>
        <w:ind w:left="1153" w:hanging="404"/>
        <w:spacing w:after="0" w:line="255" w:lineRule="auto"/>
        <w:rPr>
          <w:sz w:val="20"/>
          <w:szCs w:val="20"/>
          <w:color w:val="auto"/>
        </w:rPr>
      </w:pPr>
      <w:r>
        <w:rPr>
          <w:rFonts w:ascii="Times New Roman" w:cs="Times New Roman" w:eastAsia="Times New Roman" w:hAnsi="Times New Roman"/>
          <w:sz w:val="18"/>
          <w:szCs w:val="18"/>
          <w:color w:val="auto"/>
        </w:rPr>
        <w:t>11.8. The receiver or liquidator of a shareholder who is a company or the trustee in bankruptcy or the official receiver of a shareholder who is bankrupt, upon presenting appropriate proof to the satisfaction of an officer of the Company to be designated by the Chief Executive Officer that such shareholder has the right to appear in this capacity and which testifies to such shareholder’s title, may, with the consent of the Board (the Board shall not be obligated to give such consent) be registered as the owner of such</w:t>
      </w:r>
    </w:p>
    <w:p>
      <w:pPr>
        <w:spacing w:after="0" w:line="3" w:lineRule="exact"/>
        <w:rPr>
          <w:sz w:val="20"/>
          <w:szCs w:val="20"/>
          <w:color w:val="auto"/>
        </w:rPr>
      </w:pPr>
    </w:p>
    <w:p>
      <w:pPr>
        <w:ind w:left="1153" w:right="640"/>
        <w:spacing w:after="0" w:line="260" w:lineRule="auto"/>
        <w:rPr>
          <w:sz w:val="20"/>
          <w:szCs w:val="20"/>
          <w:color w:val="auto"/>
        </w:rPr>
      </w:pPr>
      <w:r>
        <w:rPr>
          <w:rFonts w:ascii="Times New Roman" w:cs="Times New Roman" w:eastAsia="Times New Roman" w:hAnsi="Times New Roman"/>
          <w:sz w:val="18"/>
          <w:szCs w:val="18"/>
          <w:color w:val="auto"/>
        </w:rPr>
        <w:t xml:space="preserve">shares. Furthermore, such shareholder may assign such shares in accordance with the rules prescribed in these Articles. The provisions of Article 11‎.4 above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also in regard to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-35560</wp:posOffset>
            </wp:positionV>
            <wp:extent cx="541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41655" cy="8890"/>
                    </a:xfrm>
                    <a:prstGeom prst="rect">
                      <a:avLst/>
                    </a:prstGeom>
                    <a:noFill/>
                  </pic:spPr>
                </pic:pic>
              </a:graphicData>
            </a:graphic>
          </wp:anchor>
        </w:drawing>
      </w:r>
    </w:p>
    <w:p>
      <w:pPr>
        <w:spacing w:after="0" w:line="161" w:lineRule="exact"/>
        <w:rPr>
          <w:sz w:val="20"/>
          <w:szCs w:val="20"/>
          <w:color w:val="auto"/>
        </w:rPr>
      </w:pPr>
    </w:p>
    <w:p>
      <w:pPr>
        <w:ind w:left="1153" w:right="80" w:hanging="404"/>
        <w:spacing w:after="0" w:line="289" w:lineRule="auto"/>
        <w:rPr>
          <w:sz w:val="20"/>
          <w:szCs w:val="20"/>
          <w:color w:val="auto"/>
        </w:rPr>
      </w:pPr>
      <w:r>
        <w:rPr>
          <w:rFonts w:ascii="Times New Roman" w:cs="Times New Roman" w:eastAsia="Times New Roman" w:hAnsi="Times New Roman"/>
          <w:sz w:val="17"/>
          <w:szCs w:val="17"/>
          <w:color w:val="auto"/>
        </w:rPr>
        <w:t xml:space="preserve">11.9. A person entitled to be registered as a shareholder following assignment pursuant to these Articles shall be entitled, if approved by the Board and to the extent and under the conditions prescribed by the Board, to dividends and any other monies paid in respect of the shares, and shall be entitled to give the Company confirmation of the payments;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he shall not be entitled to be present or</w:t>
      </w:r>
    </w:p>
    <w:p>
      <w:pPr>
        <w:sectPr>
          <w:pgSz w:w="11900" w:h="16838" w:orient="portrait"/>
          <w:cols w:equalWidth="0" w:num="1">
            <w:col w:w="10773"/>
          </w:cols>
          <w:pgMar w:left="787" w:top="580" w:right="339" w:bottom="0" w:gutter="0" w:footer="0" w:header="0"/>
        </w:sectPr>
      </w:pPr>
    </w:p>
    <w:bookmarkStart w:id="9" w:name="page10"/>
    <w:bookmarkEnd w:id="9"/>
    <w:p>
      <w:pPr>
        <w:ind w:left="500"/>
        <w:spacing w:after="0" w:line="282" w:lineRule="auto"/>
        <w:rPr>
          <w:sz w:val="20"/>
          <w:szCs w:val="20"/>
          <w:color w:val="auto"/>
        </w:rPr>
      </w:pPr>
      <w:r>
        <w:rPr>
          <w:rFonts w:ascii="Times New Roman" w:cs="Times New Roman" w:eastAsia="Times New Roman" w:hAnsi="Times New Roman"/>
          <w:sz w:val="18"/>
          <w:szCs w:val="18"/>
          <w:color w:val="auto"/>
        </w:rPr>
        <w:t>to vote at any General Meeting of the Company or, subject to the provisions of these Articles, to make use of any rights of shareholders, until he has been registered as owner of such shares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80"/>
          </w:cols>
          <w:pgMar w:left="1440" w:top="121" w:right="1179" w:bottom="1440" w:gutter="0" w:footer="0" w:header="0"/>
        </w:sectPr>
      </w:pPr>
    </w:p>
    <w:bookmarkStart w:id="10" w:name="page11"/>
    <w:bookmarkEnd w:id="10"/>
    <w:p>
      <w:pPr>
        <w:ind w:left="333" w:hanging="333"/>
        <w:spacing w:after="0"/>
        <w:tabs>
          <w:tab w:leader="none" w:pos="3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MEETING</w:t>
      </w:r>
    </w:p>
    <w:p>
      <w:pPr>
        <w:spacing w:after="0" w:line="229" w:lineRule="exact"/>
        <w:rPr>
          <w:sz w:val="20"/>
          <w:szCs w:val="20"/>
          <w:color w:val="auto"/>
        </w:rPr>
      </w:pPr>
    </w:p>
    <w:p>
      <w:pPr>
        <w:ind w:left="1153" w:right="180" w:hanging="404"/>
        <w:spacing w:after="0" w:line="266" w:lineRule="auto"/>
        <w:rPr>
          <w:sz w:val="20"/>
          <w:szCs w:val="20"/>
          <w:color w:val="auto"/>
        </w:rPr>
      </w:pPr>
      <w:r>
        <w:rPr>
          <w:rFonts w:ascii="Times New Roman" w:cs="Times New Roman" w:eastAsia="Times New Roman" w:hAnsi="Times New Roman"/>
          <w:sz w:val="18"/>
          <w:szCs w:val="18"/>
          <w:color w:val="auto"/>
        </w:rPr>
        <w:t>12.1. An annual General Meeting shall be held at such time and at such place as the Board shall determine either within or outside the State of Israel. Such annual General Meeting shall be called an annual meeting, and all other meetings of the shareholders shall be called extraordinary meetings.</w:t>
      </w:r>
    </w:p>
    <w:p>
      <w:pPr>
        <w:spacing w:after="0" w:line="176" w:lineRule="exact"/>
        <w:rPr>
          <w:sz w:val="20"/>
          <w:szCs w:val="20"/>
          <w:color w:val="auto"/>
        </w:rPr>
      </w:pPr>
    </w:p>
    <w:p>
      <w:pPr>
        <w:ind w:left="1153" w:right="680" w:hanging="404"/>
        <w:spacing w:after="0" w:line="282" w:lineRule="auto"/>
        <w:rPr>
          <w:sz w:val="20"/>
          <w:szCs w:val="20"/>
          <w:color w:val="auto"/>
        </w:rPr>
      </w:pPr>
      <w:r>
        <w:rPr>
          <w:rFonts w:ascii="Times New Roman" w:cs="Times New Roman" w:eastAsia="Times New Roman" w:hAnsi="Times New Roman"/>
          <w:sz w:val="18"/>
          <w:szCs w:val="18"/>
          <w:color w:val="auto"/>
        </w:rPr>
        <w:t>12.2. The Board may call an extraordinary meeting whenever it sees fit to do so, at such time and at such place as the Board shall determine either within or outside the State of Israel.</w:t>
      </w:r>
    </w:p>
    <w:p>
      <w:pPr>
        <w:spacing w:after="0" w:line="162"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12.3. [INTENTIONALLY OMITTED]</w:t>
      </w:r>
    </w:p>
    <w:p>
      <w:pPr>
        <w:spacing w:after="0" w:line="225" w:lineRule="exact"/>
        <w:rPr>
          <w:sz w:val="20"/>
          <w:szCs w:val="20"/>
          <w:color w:val="auto"/>
        </w:rPr>
      </w:pPr>
    </w:p>
    <w:p>
      <w:pPr>
        <w:ind w:left="1153" w:right="40" w:hanging="404"/>
        <w:spacing w:after="0" w:line="258" w:lineRule="auto"/>
        <w:rPr>
          <w:sz w:val="20"/>
          <w:szCs w:val="20"/>
          <w:color w:val="auto"/>
        </w:rPr>
      </w:pPr>
      <w:r>
        <w:rPr>
          <w:rFonts w:ascii="Times New Roman" w:cs="Times New Roman" w:eastAsia="Times New Roman" w:hAnsi="Times New Roman"/>
          <w:sz w:val="18"/>
          <w:szCs w:val="18"/>
          <w:color w:val="auto"/>
        </w:rPr>
        <w:t>12.4. The Company is not required to give notice of a General Meeting, subject to any mandatory provision of the Companies Law or other applicable law or regulation. Subject to the mandatory provisions of the Companies Law or other applicable law or regulation, in counting the number of days of prior notice given, the day of publication of the notice shall not be counted, but the day of the meeting shall be counted. The notice shall specify those items and contain such information as shall be required by the Companies Law and any other applicable law and regulations.</w:t>
      </w:r>
    </w:p>
    <w:p>
      <w:pPr>
        <w:spacing w:after="0" w:line="183" w:lineRule="exact"/>
        <w:rPr>
          <w:sz w:val="20"/>
          <w:szCs w:val="20"/>
          <w:color w:val="auto"/>
        </w:rPr>
      </w:pPr>
    </w:p>
    <w:p>
      <w:pPr>
        <w:ind w:left="1153" w:hanging="404"/>
        <w:spacing w:after="0" w:line="233" w:lineRule="auto"/>
        <w:rPr>
          <w:sz w:val="20"/>
          <w:szCs w:val="20"/>
          <w:color w:val="auto"/>
        </w:rPr>
      </w:pPr>
      <w:r>
        <w:rPr>
          <w:rFonts w:ascii="Times New Roman" w:cs="Times New Roman" w:eastAsia="Times New Roman" w:hAnsi="Times New Roman"/>
          <w:sz w:val="18"/>
          <w:szCs w:val="18"/>
          <w:color w:val="auto"/>
        </w:rPr>
        <w:t>12.5. Any shareholder or shareholders of the Company that have the right under the Companies Law to request that a certain matter be included on the agenda of a General Meeting to be held in the future (a “</w:t>
      </w:r>
      <w:r>
        <w:rPr>
          <w:rFonts w:ascii="Times New Roman" w:cs="Times New Roman" w:eastAsia="Times New Roman" w:hAnsi="Times New Roman"/>
          <w:sz w:val="18"/>
          <w:szCs w:val="18"/>
          <w:b w:val="1"/>
          <w:bCs w:val="1"/>
          <w:color w:val="auto"/>
        </w:rPr>
        <w:t>Proposing Shareholder</w:t>
      </w:r>
      <w:r>
        <w:rPr>
          <w:rFonts w:ascii="Times New Roman" w:cs="Times New Roman" w:eastAsia="Times New Roman" w:hAnsi="Times New Roman"/>
          <w:sz w:val="18"/>
          <w:szCs w:val="18"/>
          <w:color w:val="auto"/>
        </w:rPr>
        <w:t>”) may submit such a request in accordance with and subject to the Companies Law and these Articles, provided that the matter is appropriate to be considered at the relevant General Meeting and the request is timely made (a “</w:t>
      </w:r>
      <w:r>
        <w:rPr>
          <w:rFonts w:ascii="Times New Roman" w:cs="Times New Roman" w:eastAsia="Times New Roman" w:hAnsi="Times New Roman"/>
          <w:sz w:val="18"/>
          <w:szCs w:val="18"/>
          <w:b w:val="1"/>
          <w:bCs w:val="1"/>
          <w:color w:val="auto"/>
        </w:rPr>
        <w:t>Proposal Request</w:t>
      </w:r>
      <w:r>
        <w:rPr>
          <w:rFonts w:ascii="Times New Roman" w:cs="Times New Roman" w:eastAsia="Times New Roman" w:hAnsi="Times New Roman"/>
          <w:sz w:val="18"/>
          <w:szCs w:val="18"/>
          <w:color w:val="auto"/>
        </w:rPr>
        <w:t xml:space="preserve">”). Subject to any requirements under the Companies Law, to be considered timely and appropriate for the agenda of the relevant General Meeting, a Proposal Request must be delivered, either in person or by certified mail, postage prepaid, and received at the Office, (i) in the case of a General Meeting that is an annual meeting, no less than sixty (60) days nor more than one-hundred twenty (120) days prior to the date of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advanced more than thirty (30) days prior to or delayed by more than thirty (30) days after the anniversary of the preceding year’s annual meeting, notice by the Proposing Shareholder, in order to be timely and appropriate for the agenda of the relevant General Meeting, must be received no earlier than the close of business one-hundred twenty (120) days prior to such annual meeting and no later than the close of business on the later of ninety (90) days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and (ii) in the case of a General Meeting that is an extraordinary meeting, no earlier than one-hundred twenty (120) days prior to such extraordinary meeting and no later than the close of business on the later of sixty (60) days prior to such extraordinary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subject to applicable law.</w:t>
      </w:r>
    </w:p>
    <w:p>
      <w:pPr>
        <w:spacing w:after="0" w:line="211" w:lineRule="exact"/>
        <w:rPr>
          <w:sz w:val="20"/>
          <w:szCs w:val="20"/>
          <w:color w:val="auto"/>
        </w:rPr>
      </w:pPr>
    </w:p>
    <w:p>
      <w:pPr>
        <w:ind w:left="1153" w:hanging="404"/>
        <w:spacing w:after="0" w:line="253" w:lineRule="auto"/>
        <w:rPr>
          <w:sz w:val="20"/>
          <w:szCs w:val="20"/>
          <w:color w:val="auto"/>
        </w:rPr>
      </w:pPr>
      <w:r>
        <w:rPr>
          <w:rFonts w:ascii="Times New Roman" w:cs="Times New Roman" w:eastAsia="Times New Roman" w:hAnsi="Times New Roman"/>
          <w:sz w:val="18"/>
          <w:szCs w:val="18"/>
          <w:color w:val="auto"/>
        </w:rPr>
        <w:t>12.6. A Proposal Request shall also set forth: (i) the name and address of the Proposing Shareholder making the request; (ii) a representation that the Proposing Shareholder is a holder of shares of the Company entitled to vote at such meeting and intends to appear in person or by proxy at the meeting; (iii) a description of all arrangements or understandings between the Proposing Shareholder and any other person or persons (naming such person or persons) in connection with the subject which is requested to be included in the agenda; (iv) a description of all Derivative Transactions (as defined below) by the Proposing Shareholder during the previous twelve (12) month period, including the date of the transactions and the class, series and number of securities involved in, and the material economic terms of, such Derivative Transactions;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Proposing Shareholder(s) provide additional information necessary so as to include a subject in the agenda of a General Meeting, as the Board may reasonably require. The information required pursuant to this Article 12‎.6 shall be updated as of the date the Proposing Shareholder submits the Proposal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-167640</wp:posOffset>
            </wp:positionV>
            <wp:extent cx="545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166" w:lineRule="exact"/>
        <w:rPr>
          <w:sz w:val="20"/>
          <w:szCs w:val="20"/>
          <w:color w:val="auto"/>
        </w:rPr>
      </w:pPr>
    </w:p>
    <w:p>
      <w:pPr>
        <w:ind w:left="1153" w:right="20" w:hanging="404"/>
        <w:spacing w:after="0" w:line="269" w:lineRule="auto"/>
        <w:rPr>
          <w:sz w:val="20"/>
          <w:szCs w:val="20"/>
          <w:color w:val="auto"/>
        </w:rPr>
      </w:pPr>
      <w:r>
        <w:rPr>
          <w:rFonts w:ascii="Times New Roman" w:cs="Times New Roman" w:eastAsia="Times New Roman" w:hAnsi="Times New Roman"/>
          <w:sz w:val="17"/>
          <w:szCs w:val="17"/>
          <w:color w:val="auto"/>
        </w:rPr>
        <w:t>12.7. A “</w:t>
      </w:r>
      <w:r>
        <w:rPr>
          <w:rFonts w:ascii="Times New Roman" w:cs="Times New Roman" w:eastAsia="Times New Roman" w:hAnsi="Times New Roman"/>
          <w:sz w:val="17"/>
          <w:szCs w:val="17"/>
          <w:b w:val="1"/>
          <w:bCs w:val="1"/>
          <w:color w:val="auto"/>
        </w:rPr>
        <w:t>Derivative Transaction</w:t>
      </w:r>
      <w:r>
        <w:rPr>
          <w:rFonts w:ascii="Times New Roman" w:cs="Times New Roman" w:eastAsia="Times New Roman" w:hAnsi="Times New Roman"/>
          <w:sz w:val="17"/>
          <w:szCs w:val="17"/>
          <w:color w:val="auto"/>
        </w:rPr>
        <w:t>” means any agreement, arrangement, interest or understanding entered into by, or on behalf or for the benefit of, any Proposing Shareholder or any of its affiliates or associates, whether of record or beneficial: (a) the value of which is derived in whole or in part from the value of any class or series of shares or other securities of the Company, (b) which otherwise provides any direct or indirect opportunity to gain or share in any gain derived from a change in the value of securities of the Company, (c) the effect or intent of which is to mitigate loss, manage risk or benefit of security value or price changes, or (d)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shares or other securities of the Company held by any general or limited partnership, or any limited liability company, of which such Proposing Shareholder is, directly or indirectly, a general partner or managing member.</w:t>
      </w:r>
    </w:p>
    <w:p>
      <w:pPr>
        <w:spacing w:after="0" w:line="183" w:lineRule="exact"/>
        <w:rPr>
          <w:sz w:val="20"/>
          <w:szCs w:val="20"/>
          <w:color w:val="auto"/>
        </w:rPr>
      </w:pPr>
    </w:p>
    <w:p>
      <w:pPr>
        <w:ind w:left="1153" w:right="180" w:hanging="404"/>
        <w:spacing w:after="0" w:line="256" w:lineRule="auto"/>
        <w:rPr>
          <w:sz w:val="20"/>
          <w:szCs w:val="20"/>
          <w:color w:val="auto"/>
        </w:rPr>
      </w:pPr>
      <w:r>
        <w:rPr>
          <w:rFonts w:ascii="Times New Roman" w:cs="Times New Roman" w:eastAsia="Times New Roman" w:hAnsi="Times New Roman"/>
          <w:sz w:val="18"/>
          <w:szCs w:val="18"/>
          <w:color w:val="auto"/>
        </w:rPr>
        <w:t xml:space="preserve">12.8. Subject to Article 13‎.9 below, in the event that the Company has established that an adjourned meeting shall be held on such date which is earlier or later than the date provided for in Section 78(b) of the Companies Law, such date shall be included in the notice. The Company may add additional places for shareholders to review the full text of the proposed resolutions, including an internet site. The notice shall be provided in the manner prescribed in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In no event shall the public announcement of an adjournment or postponement of a General Meeting commence a new time period (or extend any time period) for the giving of a Proposal Request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-717550</wp:posOffset>
            </wp:positionV>
            <wp:extent cx="545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167" w:lineRule="exact"/>
        <w:rPr>
          <w:sz w:val="20"/>
          <w:szCs w:val="20"/>
          <w:color w:val="auto"/>
        </w:rPr>
      </w:pPr>
    </w:p>
    <w:p>
      <w:pPr>
        <w:ind w:left="1153" w:right="320" w:hanging="404"/>
        <w:spacing w:after="0" w:line="261" w:lineRule="auto"/>
        <w:rPr>
          <w:sz w:val="20"/>
          <w:szCs w:val="20"/>
          <w:color w:val="auto"/>
        </w:rPr>
      </w:pPr>
      <w:r>
        <w:rPr>
          <w:rFonts w:ascii="Times New Roman" w:cs="Times New Roman" w:eastAsia="Times New Roman" w:hAnsi="Times New Roman"/>
          <w:sz w:val="18"/>
          <w:szCs w:val="18"/>
          <w:color w:val="auto"/>
        </w:rPr>
        <w:t xml:space="preserve">12.9. Subject to any requirements under the Companies Law, nominations of persons for election to the Board may only be made at an extraordinary meeting if directors are to be elected at such meeting (a) by or at the direction of the Board, or (b) by a Proposing Shareholder who is entitled to vote at the meeting and who complies with the notice procedures set forth in Articles 12‎.5 and </w:t>
      </w:r>
      <w:r>
        <w:rPr>
          <w:rFonts w:ascii="Times New Roman" w:cs="Times New Roman" w:eastAsia="Times New Roman" w:hAnsi="Times New Roman"/>
          <w:sz w:val="18"/>
          <w:szCs w:val="18"/>
          <w:u w:val="single" w:color="auto"/>
          <w:color w:val="auto"/>
        </w:rPr>
        <w:t>12.6</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348615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5649595</wp:posOffset>
            </wp:positionH>
            <wp:positionV relativeFrom="paragraph">
              <wp:posOffset>-173990</wp:posOffset>
            </wp:positionV>
            <wp:extent cx="78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ectPr>
          <w:pgSz w:w="11900" w:h="16838" w:orient="portrait"/>
          <w:cols w:equalWidth="0" w:num="1">
            <w:col w:w="10733"/>
          </w:cols>
          <w:pgMar w:left="787" w:top="576" w:right="379" w:bottom="321" w:gutter="0" w:footer="0" w:header="0"/>
        </w:sectPr>
      </w:pPr>
    </w:p>
    <w:bookmarkStart w:id="11" w:name="page12"/>
    <w:bookmarkEnd w:id="11"/>
    <w:p>
      <w:pPr>
        <w:ind w:left="333" w:hanging="333"/>
        <w:spacing w:after="0"/>
        <w:tabs>
          <w:tab w:leader="none" w:pos="3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AT GENERAL MEETING</w:t>
      </w:r>
    </w:p>
    <w:p>
      <w:pPr>
        <w:spacing w:after="0" w:line="229" w:lineRule="exact"/>
        <w:rPr>
          <w:sz w:val="20"/>
          <w:szCs w:val="20"/>
          <w:color w:val="auto"/>
        </w:rPr>
      </w:pPr>
    </w:p>
    <w:p>
      <w:pPr>
        <w:ind w:left="1153" w:right="140" w:hanging="404"/>
        <w:spacing w:after="0" w:line="258" w:lineRule="auto"/>
        <w:rPr>
          <w:sz w:val="20"/>
          <w:szCs w:val="20"/>
          <w:color w:val="auto"/>
        </w:rPr>
      </w:pPr>
      <w:r>
        <w:rPr>
          <w:rFonts w:ascii="Times New Roman" w:cs="Times New Roman" w:eastAsia="Times New Roman" w:hAnsi="Times New Roman"/>
          <w:sz w:val="18"/>
          <w:szCs w:val="18"/>
          <w:color w:val="auto"/>
        </w:rPr>
        <w:t>13.1. No business shall be conducted at a General Meeting unless a quorum is present when the meeting proceeds to business. Except in cases where it is otherwise stipulated, a quorum shall be constituted when there are personally present, or represented by proxy, at least two (2) shareholders who hold, in the aggregate, at least thirty-three and one-third percent (33 1/3%) of the voting rights in the Company. A proxy may be deemed to be two (2) or more shareholders pursuant to the number of shareholders such proxy represents.</w:t>
      </w:r>
    </w:p>
    <w:p>
      <w:pPr>
        <w:spacing w:after="0" w:line="183" w:lineRule="exact"/>
        <w:rPr>
          <w:sz w:val="20"/>
          <w:szCs w:val="20"/>
          <w:color w:val="auto"/>
        </w:rPr>
      </w:pPr>
    </w:p>
    <w:p>
      <w:pPr>
        <w:ind w:left="1153" w:right="180" w:hanging="404"/>
        <w:spacing w:after="0" w:line="281" w:lineRule="auto"/>
        <w:rPr>
          <w:sz w:val="20"/>
          <w:szCs w:val="20"/>
          <w:color w:val="auto"/>
        </w:rPr>
      </w:pPr>
      <w:r>
        <w:rPr>
          <w:rFonts w:ascii="Times New Roman" w:cs="Times New Roman" w:eastAsia="Times New Roman" w:hAnsi="Times New Roman"/>
          <w:sz w:val="17"/>
          <w:szCs w:val="17"/>
          <w:color w:val="auto"/>
        </w:rPr>
        <w:t>13.2. If within half an hour from the time appointed for the meeting, a quorum is not present, without there being an obligation to notify the shareholders to that effect, the meeting shall be adjourned to the same day in the following week, at the same hour and at the same place or to an earlier or later time and date if so specified in the notice of the meeting, unless such day shall fall on a statutory holiday (either in Israel or in the United States), in which case the meeting will be adjourned to the first Business Day afterwards.</w:t>
      </w:r>
    </w:p>
    <w:p>
      <w:pPr>
        <w:spacing w:after="0" w:line="164" w:lineRule="exact"/>
        <w:rPr>
          <w:sz w:val="20"/>
          <w:szCs w:val="20"/>
          <w:color w:val="auto"/>
        </w:rPr>
      </w:pPr>
    </w:p>
    <w:p>
      <w:pPr>
        <w:ind w:left="1153" w:right="180" w:hanging="404"/>
        <w:spacing w:after="0" w:line="261" w:lineRule="auto"/>
        <w:rPr>
          <w:sz w:val="20"/>
          <w:szCs w:val="20"/>
          <w:color w:val="auto"/>
        </w:rPr>
      </w:pPr>
      <w:r>
        <w:rPr>
          <w:rFonts w:ascii="Times New Roman" w:cs="Times New Roman" w:eastAsia="Times New Roman" w:hAnsi="Times New Roman"/>
          <w:sz w:val="18"/>
          <w:szCs w:val="18"/>
          <w:color w:val="auto"/>
        </w:rPr>
        <w:t>13.3. If the original meeting was convened upon requisition under Section 63, 64 or 65 of the Companies Law, then one or more shareholders, present in person or by proxy and holding the number of shares required for making a requisition under Section 63 of the Companies Law, shall constitute a quorum at the adjourned meeting, but in any other case any shareholder or shareholders present in person or by proxy shall constitute a quorum at the adjourned meeting.</w:t>
      </w:r>
    </w:p>
    <w:p>
      <w:pPr>
        <w:spacing w:after="0" w:line="180" w:lineRule="exact"/>
        <w:rPr>
          <w:sz w:val="20"/>
          <w:szCs w:val="20"/>
          <w:color w:val="auto"/>
        </w:rPr>
      </w:pPr>
    </w:p>
    <w:p>
      <w:pPr>
        <w:ind w:left="1153" w:right="100" w:hanging="404"/>
        <w:spacing w:after="0" w:line="256" w:lineRule="auto"/>
        <w:rPr>
          <w:sz w:val="20"/>
          <w:szCs w:val="20"/>
          <w:color w:val="auto"/>
        </w:rPr>
      </w:pPr>
      <w:r>
        <w:rPr>
          <w:rFonts w:ascii="Times New Roman" w:cs="Times New Roman" w:eastAsia="Times New Roman" w:hAnsi="Times New Roman"/>
          <w:sz w:val="18"/>
          <w:szCs w:val="18"/>
          <w:color w:val="auto"/>
        </w:rPr>
        <w:t>13.4. The Chairman of the Board, or any other person appointed for this purpose by the Board, shall preside at every General Meeting. If within fifteen (15) minutes from the time appointed for the meeting, the designated chairman for the meeting shall not be present, then any of the following may preside as chairman of the General Meeting (and in the following order): any director, the Chief Executive Officer, the Chief Financial Officer, the Secretary of the Company, or any person designated by the foregoing. If none of the foregoing persons is present, willing and able to act as chairman for the meeting, then the shareholders present at the meeting (in person or by proxy) shall elect one of their number to serve as chairman of the meeting.</w:t>
      </w:r>
    </w:p>
    <w:p>
      <w:pPr>
        <w:spacing w:after="0" w:line="187" w:lineRule="exact"/>
        <w:rPr>
          <w:sz w:val="20"/>
          <w:szCs w:val="20"/>
          <w:color w:val="auto"/>
        </w:rPr>
      </w:pPr>
    </w:p>
    <w:p>
      <w:pPr>
        <w:jc w:val="both"/>
        <w:ind w:left="1153" w:right="180" w:hanging="404"/>
        <w:spacing w:after="0" w:line="261" w:lineRule="auto"/>
        <w:rPr>
          <w:sz w:val="20"/>
          <w:szCs w:val="20"/>
          <w:color w:val="auto"/>
        </w:rPr>
      </w:pPr>
      <w:r>
        <w:rPr>
          <w:rFonts w:ascii="Times New Roman" w:cs="Times New Roman" w:eastAsia="Times New Roman" w:hAnsi="Times New Roman"/>
          <w:sz w:val="18"/>
          <w:szCs w:val="18"/>
          <w:color w:val="auto"/>
        </w:rPr>
        <w:t>13.5. Except as required under the Companies Law or these Articles, any resolution of the shareholders shall be adopted by a majority of the voting power present and voting on such resolution at the applicable General Meeting, in person or by proxy. Each shareholder shall be entitled to the number of votes to which such shareholder is entitled on the basis of the number of Ordinary Shares held by such shareholder and shall vote all of the Ordinary Shares or any part thereof at his sole discretion.</w:t>
      </w:r>
    </w:p>
    <w:p>
      <w:pPr>
        <w:spacing w:after="0" w:line="180" w:lineRule="exact"/>
        <w:rPr>
          <w:sz w:val="20"/>
          <w:szCs w:val="20"/>
          <w:color w:val="auto"/>
        </w:rPr>
      </w:pPr>
    </w:p>
    <w:p>
      <w:pPr>
        <w:ind w:left="1153" w:right="100" w:hanging="404"/>
        <w:spacing w:after="0" w:line="258" w:lineRule="auto"/>
        <w:rPr>
          <w:sz w:val="20"/>
          <w:szCs w:val="20"/>
          <w:color w:val="auto"/>
        </w:rPr>
      </w:pPr>
      <w:r>
        <w:rPr>
          <w:rFonts w:ascii="Times New Roman" w:cs="Times New Roman" w:eastAsia="Times New Roman" w:hAnsi="Times New Roman"/>
          <w:sz w:val="18"/>
          <w:szCs w:val="18"/>
          <w:color w:val="auto"/>
        </w:rPr>
        <w:t>13.6. Where a poll has been demanded, the chairman of the meeting shall be entitled - but not obliged - to accede to the demand. Where the chairman of the meeting has decided to hold a poll, such poll shall be held in such manner, at such time and at such place as the chairman of the meeting directs, either immediately or after an interval or postponement, or in any other way, and the results of the vote shall be deemed to be the resolution at the meeting at which the poll was demanded. A person demanding a poll may withdraw his demand prior to the poll being held.</w:t>
      </w:r>
    </w:p>
    <w:p>
      <w:pPr>
        <w:spacing w:after="0" w:line="183" w:lineRule="exact"/>
        <w:rPr>
          <w:sz w:val="20"/>
          <w:szCs w:val="20"/>
          <w:color w:val="auto"/>
        </w:rPr>
      </w:pPr>
    </w:p>
    <w:p>
      <w:pPr>
        <w:ind w:left="1153" w:right="20" w:hanging="404"/>
        <w:spacing w:after="0" w:line="282" w:lineRule="auto"/>
        <w:rPr>
          <w:sz w:val="20"/>
          <w:szCs w:val="20"/>
          <w:color w:val="auto"/>
        </w:rPr>
      </w:pPr>
      <w:r>
        <w:rPr>
          <w:rFonts w:ascii="Times New Roman" w:cs="Times New Roman" w:eastAsia="Times New Roman" w:hAnsi="Times New Roman"/>
          <w:sz w:val="18"/>
          <w:szCs w:val="18"/>
          <w:color w:val="auto"/>
        </w:rPr>
        <w:t>13.7. A demand for the holding of a poll shall not prevent the continued business of the meeting on all other questions apart of the question in respect of which a poll was demanded.</w:t>
      </w:r>
    </w:p>
    <w:p>
      <w:pPr>
        <w:spacing w:after="0" w:line="162" w:lineRule="exact"/>
        <w:rPr>
          <w:sz w:val="20"/>
          <w:szCs w:val="20"/>
          <w:color w:val="auto"/>
        </w:rPr>
      </w:pPr>
    </w:p>
    <w:p>
      <w:pPr>
        <w:ind w:left="1153" w:right="140" w:hanging="404"/>
        <w:spacing w:after="0" w:line="261" w:lineRule="auto"/>
        <w:rPr>
          <w:sz w:val="20"/>
          <w:szCs w:val="20"/>
          <w:color w:val="auto"/>
        </w:rPr>
      </w:pPr>
      <w:r>
        <w:rPr>
          <w:rFonts w:ascii="Times New Roman" w:cs="Times New Roman" w:eastAsia="Times New Roman" w:hAnsi="Times New Roman"/>
          <w:sz w:val="18"/>
          <w:szCs w:val="18"/>
          <w:color w:val="auto"/>
        </w:rPr>
        <w:t>13.8. The announcement by the chairman of the meeting that a resolution has been passed unanimously or by a particular majority, or has been rejected, and a note recorded to that effect in the Company’s minute book, shall serve as prima facie proof of such fact, and there shall be no necessity for proving the number of votes or the proportion of votes given for or against the resolution, unless otherwise required under applicable law and regulation.</w:t>
      </w:r>
    </w:p>
    <w:p>
      <w:pPr>
        <w:spacing w:after="0" w:line="180" w:lineRule="exact"/>
        <w:rPr>
          <w:sz w:val="20"/>
          <w:szCs w:val="20"/>
          <w:color w:val="auto"/>
        </w:rPr>
      </w:pPr>
    </w:p>
    <w:p>
      <w:pPr>
        <w:ind w:left="1153" w:right="20" w:hanging="404"/>
        <w:spacing w:after="0" w:line="272" w:lineRule="auto"/>
        <w:rPr>
          <w:sz w:val="20"/>
          <w:szCs w:val="20"/>
          <w:color w:val="auto"/>
        </w:rPr>
      </w:pPr>
      <w:r>
        <w:rPr>
          <w:rFonts w:ascii="Times New Roman" w:cs="Times New Roman" w:eastAsia="Times New Roman" w:hAnsi="Times New Roman"/>
          <w:sz w:val="17"/>
          <w:szCs w:val="17"/>
          <w:color w:val="auto"/>
        </w:rPr>
        <w:t>13.9. The chairman of a General Meeting at which a quorum is present may, with the consent of holders of a majority of the voting power represented in person and by proxy and voting on the question of adjournment,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twenty-one (21) days, in which case notice thereof shall be given in the manner required for the meeting as originally called. Where a General Meeting has been adjourned without changing its agenda, to a date which is not more than twenty-one (21) days, notices shall be given for the new date, as early as possible, and by no later than seventy-two (72) hours before the General Meeting. The Board may postpone or adjourn a General Meeting prior to its commencement.</w:t>
      </w:r>
    </w:p>
    <w:p>
      <w:pPr>
        <w:spacing w:after="0" w:line="168" w:lineRule="exact"/>
        <w:rPr>
          <w:sz w:val="20"/>
          <w:szCs w:val="20"/>
          <w:color w:val="auto"/>
        </w:rPr>
      </w:pPr>
    </w:p>
    <w:p>
      <w:pPr>
        <w:ind w:left="333" w:hanging="333"/>
        <w:spacing w:after="0"/>
        <w:tabs>
          <w:tab w:leader="none" w:pos="3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 xml:space="preserve">14.1. The voting rights of every shareholder entitled to vote at a General Meeting shall be as set forth in </w:t>
      </w:r>
      <w:r>
        <w:rPr>
          <w:rFonts w:ascii="Times New Roman" w:cs="Times New Roman" w:eastAsia="Times New Roman" w:hAnsi="Times New Roman"/>
          <w:sz w:val="18"/>
          <w:szCs w:val="18"/>
          <w:u w:val="single" w:color="auto"/>
          <w:color w:val="auto"/>
        </w:rPr>
        <w:t>Article 6.2</w:t>
      </w:r>
      <w:r>
        <w:rPr>
          <w:rFonts w:ascii="Times New Roman" w:cs="Times New Roman" w:eastAsia="Times New Roman" w:hAnsi="Times New Roman"/>
          <w:sz w:val="18"/>
          <w:szCs w:val="18"/>
          <w:color w:val="auto"/>
        </w:rPr>
        <w:t xml:space="preserve"> of these Articles.</w:t>
      </w:r>
    </w:p>
    <w:p>
      <w:pPr>
        <w:spacing w:after="0" w:line="225" w:lineRule="exact"/>
        <w:rPr>
          <w:sz w:val="20"/>
          <w:szCs w:val="20"/>
          <w:color w:val="auto"/>
        </w:rPr>
      </w:pPr>
    </w:p>
    <w:p>
      <w:pPr>
        <w:ind w:left="1153" w:hanging="404"/>
        <w:spacing w:after="0" w:line="266" w:lineRule="auto"/>
        <w:rPr>
          <w:sz w:val="20"/>
          <w:szCs w:val="20"/>
          <w:color w:val="auto"/>
        </w:rPr>
      </w:pPr>
      <w:r>
        <w:rPr>
          <w:rFonts w:ascii="Times New Roman" w:cs="Times New Roman" w:eastAsia="Times New Roman" w:hAnsi="Times New Roman"/>
          <w:sz w:val="18"/>
          <w:szCs w:val="18"/>
          <w:color w:val="auto"/>
        </w:rPr>
        <w:t>14.2. In the case of joint shareholders, the vote of the senior joint holder, given personally or by proxy, shall be accepted, to the exclusion of the vote of the remaining joint shareholders, and for these purposes the senior of the joint shareholders shall be the person amongst the joint holders whose name appears first in the Register.</w:t>
      </w:r>
    </w:p>
    <w:p>
      <w:pPr>
        <w:spacing w:after="0" w:line="176" w:lineRule="exact"/>
        <w:rPr>
          <w:sz w:val="20"/>
          <w:szCs w:val="20"/>
          <w:color w:val="auto"/>
        </w:rPr>
      </w:pPr>
    </w:p>
    <w:p>
      <w:pPr>
        <w:ind w:left="1153" w:right="120" w:hanging="404"/>
        <w:spacing w:after="0" w:line="266" w:lineRule="auto"/>
        <w:rPr>
          <w:sz w:val="20"/>
          <w:szCs w:val="20"/>
          <w:color w:val="auto"/>
        </w:rPr>
      </w:pPr>
      <w:r>
        <w:rPr>
          <w:rFonts w:ascii="Times New Roman" w:cs="Times New Roman" w:eastAsia="Times New Roman" w:hAnsi="Times New Roman"/>
          <w:sz w:val="18"/>
          <w:szCs w:val="18"/>
          <w:color w:val="auto"/>
        </w:rPr>
        <w:t>14.3. A shareholder who is an Incapacitated Person may vote solely through his guardian or other person who fulfills the function of such guardian and who was appointed by a court or other competent authority, and any guardian or other person as aforesaid shall be entitled to vote by way of a proxy, or in such manner as the court or other competent authority directs.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346075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3"/>
          </w:cols>
          <w:pgMar w:left="787" w:top="576" w:right="339" w:bottom="1440" w:gutter="0" w:footer="0" w:header="0"/>
        </w:sectPr>
      </w:pPr>
    </w:p>
    <w:bookmarkStart w:id="12" w:name="page13"/>
    <w:bookmarkEnd w:id="12"/>
    <w:p>
      <w:pPr>
        <w:ind w:left="500" w:right="100" w:hanging="404"/>
        <w:spacing w:after="0" w:line="256" w:lineRule="auto"/>
        <w:rPr>
          <w:sz w:val="20"/>
          <w:szCs w:val="20"/>
          <w:color w:val="auto"/>
        </w:rPr>
      </w:pPr>
      <w:r>
        <w:rPr>
          <w:rFonts w:ascii="Times New Roman" w:cs="Times New Roman" w:eastAsia="Times New Roman" w:hAnsi="Times New Roman"/>
          <w:sz w:val="18"/>
          <w:szCs w:val="18"/>
          <w:color w:val="auto"/>
        </w:rPr>
        <w:t>14.4. Any corporation which is a shareholder of the Company shall be entitled, by way of resolution of its board of directors or another organ which manages said corporation, to appoint such person which it deems fit, whether or not such person is a shareholder of the Company, to act as its representative at any General Meeting of the Company or at a meeting of a class of shares in the Company which such corporation is entitled to attend and to vote thereat, and the appointed as aforesaid shall be entitled, on behalf of the corporation whom he represents, to exercise all of the same powers and authorities which the corporation itself could have exercised had it been a natural person holding shares of the Company.</w:t>
      </w:r>
    </w:p>
    <w:p>
      <w:pPr>
        <w:spacing w:after="0" w:line="187" w:lineRule="exact"/>
        <w:rPr>
          <w:sz w:val="20"/>
          <w:szCs w:val="20"/>
          <w:color w:val="auto"/>
        </w:rPr>
      </w:pPr>
    </w:p>
    <w:p>
      <w:pPr>
        <w:ind w:left="500" w:right="320" w:hanging="404"/>
        <w:spacing w:after="0" w:line="282" w:lineRule="auto"/>
        <w:rPr>
          <w:sz w:val="20"/>
          <w:szCs w:val="20"/>
          <w:color w:val="auto"/>
        </w:rPr>
      </w:pPr>
      <w:r>
        <w:rPr>
          <w:rFonts w:ascii="Times New Roman" w:cs="Times New Roman" w:eastAsia="Times New Roman" w:hAnsi="Times New Roman"/>
          <w:sz w:val="18"/>
          <w:szCs w:val="18"/>
          <w:color w:val="auto"/>
        </w:rPr>
        <w:t>14.5. Every shareholder who is entitled to attend and vote at a General Meeting of the Company shall be entitled to appoint a proxy. A proxy can be appointed by more than one shareholder and vote in different ways on behalf of each principal.</w:t>
      </w:r>
    </w:p>
    <w:p>
      <w:pPr>
        <w:spacing w:after="0" w:line="162" w:lineRule="exact"/>
        <w:rPr>
          <w:sz w:val="20"/>
          <w:szCs w:val="20"/>
          <w:color w:val="auto"/>
        </w:rPr>
      </w:pPr>
    </w:p>
    <w:p>
      <w:pPr>
        <w:ind w:left="500" w:hanging="404"/>
        <w:spacing w:after="0" w:line="261" w:lineRule="auto"/>
        <w:rPr>
          <w:sz w:val="20"/>
          <w:szCs w:val="20"/>
          <w:color w:val="auto"/>
        </w:rPr>
      </w:pPr>
      <w:r>
        <w:rPr>
          <w:rFonts w:ascii="Times New Roman" w:cs="Times New Roman" w:eastAsia="Times New Roman" w:hAnsi="Times New Roman"/>
          <w:sz w:val="18"/>
          <w:szCs w:val="18"/>
          <w:color w:val="auto"/>
        </w:rPr>
        <w:t>14.6. The instrument appointing a proxy shall be in writing signed by the person making the appointment or by his authorized representative, and if the person making the appointment is a corporation, the power of attorney shall be signed in the manner in which the corporation signs on documents which bind it, and a certificate of an attorney with regard to the authority of the signatories to bind the corporation shall be attached thereto. The proxy need not be a shareholder of the Company.</w:t>
      </w:r>
    </w:p>
    <w:p>
      <w:pPr>
        <w:spacing w:after="0" w:line="180" w:lineRule="exact"/>
        <w:rPr>
          <w:sz w:val="20"/>
          <w:szCs w:val="20"/>
          <w:color w:val="auto"/>
        </w:rPr>
      </w:pPr>
    </w:p>
    <w:p>
      <w:pPr>
        <w:ind w:left="500" w:right="80" w:hanging="404"/>
        <w:spacing w:after="0" w:line="256" w:lineRule="auto"/>
        <w:rPr>
          <w:sz w:val="20"/>
          <w:szCs w:val="20"/>
          <w:color w:val="auto"/>
        </w:rPr>
      </w:pPr>
      <w:r>
        <w:rPr>
          <w:rFonts w:ascii="Times New Roman" w:cs="Times New Roman" w:eastAsia="Times New Roman" w:hAnsi="Times New Roman"/>
          <w:sz w:val="18"/>
          <w:szCs w:val="18"/>
          <w:color w:val="auto"/>
        </w:rPr>
        <w:t>14.7. The instrument appointing a proxy, or a copy thereof certified by an attorney, shall be lodged at the Office, or at such other place as the Board shall specify, not less than forty-eight (48) hours prior to the General Meeting at which the proxy intends to vote based on such instrument of proxy (or such shorter period as the notice of the General Meeting shall specify). Notwithstanding the above, the chairman of the meeting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p>
      <w:pPr>
        <w:spacing w:after="0" w:line="187" w:lineRule="exact"/>
        <w:rPr>
          <w:sz w:val="20"/>
          <w:szCs w:val="20"/>
          <w:color w:val="auto"/>
        </w:rPr>
      </w:pPr>
    </w:p>
    <w:p>
      <w:pPr>
        <w:ind w:left="500" w:right="20" w:hanging="404"/>
        <w:spacing w:after="0" w:line="282" w:lineRule="auto"/>
        <w:rPr>
          <w:sz w:val="20"/>
          <w:szCs w:val="20"/>
          <w:color w:val="auto"/>
        </w:rPr>
      </w:pPr>
      <w:r>
        <w:rPr>
          <w:rFonts w:ascii="Times New Roman" w:cs="Times New Roman" w:eastAsia="Times New Roman" w:hAnsi="Times New Roman"/>
          <w:sz w:val="18"/>
          <w:szCs w:val="18"/>
          <w:color w:val="auto"/>
        </w:rPr>
        <w:t>14.8. Every instrument appointing a proxy, whether for a meeting specifically indicated, or otherwise, shall, as far as circumstances permit, be substantially in the following form, or in any other form approved by the Board: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______________ of ______________ being a shareholder holding shares in UroGen Pharma Ltd., hereby appoint</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______________ of ______________ or failing him, Mr. ______________ of ______________, or failing him,</w:t>
      </w:r>
    </w:p>
    <w:p>
      <w:pPr>
        <w:spacing w:after="0" w:line="9"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color w:val="auto"/>
        </w:rPr>
        <w:t>Mr.</w:t>
        <w:tab/>
        <w:t>______________ of ______________, to vote in my name, place and stead at the (ordinary/extraordinary)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Meeting of the Company to be held on the ____ of ______ 20__, and at any adjourned meeting 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witness whereof I have hereto set my hand on the _____ day of _____.</w:t>
      </w:r>
    </w:p>
    <w:p>
      <w:pPr>
        <w:spacing w:after="0" w:line="225" w:lineRule="exact"/>
        <w:rPr>
          <w:sz w:val="20"/>
          <w:szCs w:val="20"/>
          <w:color w:val="auto"/>
        </w:rPr>
      </w:pPr>
    </w:p>
    <w:p>
      <w:pPr>
        <w:ind w:left="500" w:right="120" w:hanging="404"/>
        <w:spacing w:after="0" w:line="282" w:lineRule="auto"/>
        <w:rPr>
          <w:sz w:val="20"/>
          <w:szCs w:val="20"/>
          <w:color w:val="auto"/>
        </w:rPr>
      </w:pPr>
      <w:r>
        <w:rPr>
          <w:rFonts w:ascii="Times New Roman" w:cs="Times New Roman" w:eastAsia="Times New Roman" w:hAnsi="Times New Roman"/>
          <w:sz w:val="18"/>
          <w:szCs w:val="18"/>
          <w:color w:val="auto"/>
        </w:rPr>
        <w:t>14.9. No shareholder shall be entitled to vote at a General Meeting unless he has paid all of the calls and all of the amounts due from him, for the time being, in respect of his shares.</w:t>
      </w:r>
    </w:p>
    <w:p>
      <w:pPr>
        <w:spacing w:after="0" w:line="162" w:lineRule="exact"/>
        <w:rPr>
          <w:sz w:val="20"/>
          <w:szCs w:val="20"/>
          <w:color w:val="auto"/>
        </w:rPr>
      </w:pPr>
    </w:p>
    <w:p>
      <w:pPr>
        <w:ind w:left="500" w:right="300" w:hanging="498"/>
        <w:spacing w:after="0" w:line="261" w:lineRule="auto"/>
        <w:rPr>
          <w:sz w:val="20"/>
          <w:szCs w:val="20"/>
          <w:color w:val="auto"/>
        </w:rPr>
      </w:pPr>
      <w:r>
        <w:rPr>
          <w:rFonts w:ascii="Times New Roman" w:cs="Times New Roman" w:eastAsia="Times New Roman" w:hAnsi="Times New Roman"/>
          <w:sz w:val="18"/>
          <w:szCs w:val="18"/>
          <w:color w:val="auto"/>
        </w:rPr>
        <w:t>14.10. A vote given in accordance with the instructions contained in an instrument appointing a proxy shall be valid notwithstanding the death or bankruptcy of the appointer, or the revocation of the proxy, or the transfer of the share in respect of which the vote was given as aforesaid, unless notice in writing of the death, revocation or transfer is received at the Office, or by the chairman of the meeting, prior to such vote.</w:t>
      </w:r>
    </w:p>
    <w:p>
      <w:pPr>
        <w:spacing w:after="0" w:line="180" w:lineRule="exact"/>
        <w:rPr>
          <w:sz w:val="20"/>
          <w:szCs w:val="20"/>
          <w:color w:val="auto"/>
        </w:rPr>
      </w:pPr>
    </w:p>
    <w:p>
      <w:pPr>
        <w:ind w:left="500" w:hanging="498"/>
        <w:spacing w:after="0" w:line="253" w:lineRule="auto"/>
        <w:rPr>
          <w:sz w:val="20"/>
          <w:szCs w:val="20"/>
          <w:color w:val="auto"/>
        </w:rPr>
      </w:pPr>
      <w:r>
        <w:rPr>
          <w:rFonts w:ascii="Times New Roman" w:cs="Times New Roman" w:eastAsia="Times New Roman" w:hAnsi="Times New Roman"/>
          <w:sz w:val="18"/>
          <w:szCs w:val="18"/>
          <w:color w:val="auto"/>
        </w:rPr>
        <w:t>14.11. Subject to the Companies Law, an instrument appointing a proxy shall be deemed revoked (i) upon receipt by the Company or the chairman of the meeting, subsequent to receipt by the Company of such instrument, of written notice signed by the person signing such instrument or by the shareholder appointing such proxy revoking the appointment thereunder (or the authority pursuant to which such instrument was signed) or of an instrument appointing a different proxy, provided such notice of revocation or instrument appointing a different proxy were so received at the place and within the time for delivery of the instrument revoked thereby as referred to in Article 14‎.7 hereof,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revocation of the appointment, or the presence in person or vote of the appointing shareholder at a meeting for which it was rendered, unless such instrument of appointment was deemed revoked in accordance with the foregoing provisions of this Article 14‎.11 at or prior to the time such vote was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-714375</wp:posOffset>
            </wp:positionV>
            <wp:extent cx="545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45465"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-28575</wp:posOffset>
            </wp:positionV>
            <wp:extent cx="598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 w:name="page14"/>
    <w:bookmarkEnd w:id="13"/>
    <w:p>
      <w:pPr>
        <w:ind w:left="333" w:hanging="333"/>
        <w:spacing w:after="0"/>
        <w:tabs>
          <w:tab w:leader="none" w:pos="3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jc w:val="both"/>
        <w:ind w:left="1153" w:right="100" w:hanging="404"/>
        <w:spacing w:after="0" w:line="266" w:lineRule="auto"/>
        <w:rPr>
          <w:sz w:val="20"/>
          <w:szCs w:val="20"/>
          <w:color w:val="auto"/>
        </w:rPr>
      </w:pPr>
      <w:r>
        <w:rPr>
          <w:rFonts w:ascii="Times New Roman" w:cs="Times New Roman" w:eastAsia="Times New Roman" w:hAnsi="Times New Roman"/>
          <w:sz w:val="18"/>
          <w:szCs w:val="18"/>
          <w:color w:val="auto"/>
        </w:rPr>
        <w:t>15.1. The prescribed number of directors of the Company shall be between five (5) and nine (9) (including the External Directors, if any), as may be fixed from time to time by the Board. Any director shall be eligible for re-election upon termination of his term of office, subject to applicable law.</w:t>
      </w:r>
    </w:p>
    <w:p>
      <w:pPr>
        <w:spacing w:after="0" w:line="176" w:lineRule="exact"/>
        <w:rPr>
          <w:sz w:val="20"/>
          <w:szCs w:val="20"/>
          <w:color w:val="auto"/>
        </w:rPr>
      </w:pPr>
    </w:p>
    <w:p>
      <w:pPr>
        <w:ind w:left="1153" w:right="240" w:hanging="404"/>
        <w:spacing w:after="0" w:line="266" w:lineRule="auto"/>
        <w:rPr>
          <w:sz w:val="20"/>
          <w:szCs w:val="20"/>
          <w:color w:val="auto"/>
        </w:rPr>
      </w:pPr>
      <w:r>
        <w:rPr>
          <w:rFonts w:ascii="Times New Roman" w:cs="Times New Roman" w:eastAsia="Times New Roman" w:hAnsi="Times New Roman"/>
          <w:sz w:val="18"/>
          <w:szCs w:val="18"/>
          <w:color w:val="auto"/>
        </w:rPr>
        <w:t>15.2. Prior to every annual General Meeting of the Company, the Board (or a duly authorized committee of the Board) may select, via a resolution adopted by a majority of the Board (or such committee), the persons to be proposed to the shareholders for election as directors at such annual General Meeting for service until the next annual General Meeting (the “</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15.3. The Nominees shall be elected by a resolution at the annual General Meeting at which they are subject to election.</w:t>
      </w:r>
    </w:p>
    <w:p>
      <w:pPr>
        <w:spacing w:after="0" w:line="225" w:lineRule="exact"/>
        <w:rPr>
          <w:sz w:val="20"/>
          <w:szCs w:val="20"/>
          <w:color w:val="auto"/>
        </w:rPr>
      </w:pPr>
    </w:p>
    <w:p>
      <w:pPr>
        <w:ind w:left="1153" w:hanging="404"/>
        <w:spacing w:after="0" w:line="258" w:lineRule="auto"/>
        <w:rPr>
          <w:sz w:val="20"/>
          <w:szCs w:val="20"/>
          <w:color w:val="auto"/>
        </w:rPr>
      </w:pPr>
      <w:r>
        <w:rPr>
          <w:rFonts w:ascii="Times New Roman" w:cs="Times New Roman" w:eastAsia="Times New Roman" w:hAnsi="Times New Roman"/>
          <w:sz w:val="18"/>
          <w:szCs w:val="18"/>
          <w:color w:val="auto"/>
        </w:rPr>
        <w:t>15.4. Every director, other than External Directors (if any), shall hold office until the end of the next annual General Meeting following the annual General Meeting at which he was elected, unless his office is vacated in accordance with Articles 15‎.7 or 16‎.5 below. If, at an annual General Meeting, no Nominees are proposed by either the Board or shareholders, or if no Nominees are elected, the directors then in office shall continue to hold office until the convening of a General Meeting at which Nominees shall be proposed and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-445770</wp:posOffset>
            </wp:positionV>
            <wp:extent cx="9423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163" w:lineRule="exact"/>
        <w:rPr>
          <w:sz w:val="20"/>
          <w:szCs w:val="20"/>
          <w:color w:val="auto"/>
        </w:rPr>
      </w:pPr>
    </w:p>
    <w:p>
      <w:pPr>
        <w:ind w:left="1153" w:hanging="404"/>
        <w:spacing w:after="0" w:line="255" w:lineRule="auto"/>
        <w:rPr>
          <w:sz w:val="20"/>
          <w:szCs w:val="20"/>
          <w:color w:val="auto"/>
        </w:rPr>
      </w:pPr>
      <w:r>
        <w:rPr>
          <w:rFonts w:ascii="Times New Roman" w:cs="Times New Roman" w:eastAsia="Times New Roman" w:hAnsi="Times New Roman"/>
          <w:sz w:val="18"/>
          <w:szCs w:val="18"/>
          <w:color w:val="auto"/>
        </w:rPr>
        <w:t xml:space="preserve">15.5. If the office of a director shall be vacated, or if the number of incumbent directors is less than the maximum prescribed by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w:t>
      </w:r>
      <w:r>
        <w:rPr>
          <w:rFonts w:ascii="Times New Roman" w:cs="Times New Roman" w:eastAsia="Times New Roman" w:hAnsi="Times New Roman"/>
          <w:sz w:val="18"/>
          <w:szCs w:val="18"/>
          <w:color w:val="auto"/>
        </w:rPr>
        <w:t xml:space="preserve"> above, leaving one or more available offices unfilled, the Board shall be entitled to appoint another director in each office that has become or remains vacated, and such Board-appointed director (or directors) shall hold office until replaced in the manner set out in </w:t>
      </w:r>
      <w:r>
        <w:rPr>
          <w:rFonts w:ascii="Times New Roman" w:cs="Times New Roman" w:eastAsia="Times New Roman" w:hAnsi="Times New Roman"/>
          <w:sz w:val="18"/>
          <w:szCs w:val="18"/>
          <w:u w:val="single" w:color="auto"/>
          <w:color w:val="auto"/>
        </w:rPr>
        <w:t>Article 15.4</w:t>
      </w:r>
      <w:r>
        <w:rPr>
          <w:rFonts w:ascii="Times New Roman" w:cs="Times New Roman" w:eastAsia="Times New Roman" w:hAnsi="Times New Roman"/>
          <w:sz w:val="18"/>
          <w:szCs w:val="18"/>
          <w:color w:val="auto"/>
        </w:rPr>
        <w:t xml:space="preserve"> above. This </w:t>
      </w:r>
      <w:r>
        <w:rPr>
          <w:rFonts w:ascii="Times New Roman" w:cs="Times New Roman" w:eastAsia="Times New Roman" w:hAnsi="Times New Roman"/>
          <w:sz w:val="18"/>
          <w:szCs w:val="18"/>
          <w:u w:val="single" w:color="auto"/>
          <w:color w:val="auto"/>
        </w:rPr>
        <w:t>Article 15.5</w:t>
      </w:r>
      <w:r>
        <w:rPr>
          <w:rFonts w:ascii="Times New Roman" w:cs="Times New Roman" w:eastAsia="Times New Roman" w:hAnsi="Times New Roman"/>
          <w:sz w:val="18"/>
          <w:szCs w:val="18"/>
          <w:color w:val="auto"/>
        </w:rPr>
        <w:t xml:space="preserve"> shall not apply to a vacated office of an External Director, which may be filled only in accordance with </w:t>
      </w:r>
      <w:r>
        <w:rPr>
          <w:rFonts w:ascii="Times New Roman" w:cs="Times New Roman" w:eastAsia="Times New Roman" w:hAnsi="Times New Roman"/>
          <w:sz w:val="18"/>
          <w:szCs w:val="18"/>
          <w:u w:val="single" w:color="auto"/>
          <w:color w:val="auto"/>
        </w:rPr>
        <w:t>Article 15.9</w:t>
      </w:r>
      <w:r>
        <w:rPr>
          <w:rFonts w:ascii="Times New Roman" w:cs="Times New Roman" w:eastAsia="Times New Roman" w:hAnsi="Times New Roman"/>
          <w:sz w:val="18"/>
          <w:szCs w:val="18"/>
          <w:color w:val="auto"/>
        </w:rPr>
        <w:t xml:space="preserve"> below, unless the minimum number of External Directors required under the Companies Law are in office at that time or the Company otherwise is not required to appoint an External Director to such office in accordance with the Companies Law.</w:t>
      </w:r>
    </w:p>
    <w:p>
      <w:pPr>
        <w:spacing w:after="0" w:line="189" w:lineRule="exact"/>
        <w:rPr>
          <w:sz w:val="20"/>
          <w:szCs w:val="20"/>
          <w:color w:val="auto"/>
        </w:rPr>
      </w:pPr>
    </w:p>
    <w:p>
      <w:pPr>
        <w:ind w:left="1153" w:right="80" w:hanging="404"/>
        <w:spacing w:after="0" w:line="254" w:lineRule="auto"/>
        <w:rPr>
          <w:sz w:val="20"/>
          <w:szCs w:val="20"/>
          <w:color w:val="auto"/>
        </w:rPr>
      </w:pPr>
      <w:r>
        <w:rPr>
          <w:rFonts w:ascii="Times New Roman" w:cs="Times New Roman" w:eastAsia="Times New Roman" w:hAnsi="Times New Roman"/>
          <w:sz w:val="18"/>
          <w:szCs w:val="18"/>
          <w:color w:val="auto"/>
        </w:rPr>
        <w:t>15.6. The directors in their capacity as such shall be entitled to receive remuneration as shall be determined in compliance with the Companies Law. The conditions (including remuneration) of the terms of office of members of the Board shall be decided by the Board or any duly authorized committee thereof, subject to the Companies Law. The remuneration of directors may be fixed as an overall payment or other consideration, or as a payment or other consideration in respect of attendance at meetings of the Board or a committee thereof, or a combination of both. In addition to his remuneration, each director shall be entitled to be reimbursed, retroactively or in advance, in respect of his reasonable expenses connected with performing his functions and services as a director. Such entitlement shall be determined in accordance with, and shall be subject to, a specific resolution or policy adopted by the Board regarding such matter and in accordance with the requirements of applicable law.</w:t>
      </w:r>
    </w:p>
    <w:p>
      <w:pPr>
        <w:spacing w:after="0" w:line="192"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 xml:space="preserve">15.7. Subject to the provisions of the Companies Law with regard to External Directors and subject to Article 15‎.4 above and </w:t>
      </w:r>
      <w:r>
        <w:rPr>
          <w:rFonts w:ascii="Times New Roman" w:cs="Times New Roman" w:eastAsia="Times New Roman" w:hAnsi="Times New Roman"/>
          <w:sz w:val="18"/>
          <w:szCs w:val="18"/>
          <w:u w:val="single" w:color="auto"/>
          <w:color w:val="auto"/>
        </w:rPr>
        <w:t>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-7620</wp:posOffset>
            </wp:positionV>
            <wp:extent cx="545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7" w:lineRule="exact"/>
        <w:rPr>
          <w:sz w:val="20"/>
          <w:szCs w:val="20"/>
          <w:color w:val="auto"/>
        </w:rPr>
      </w:pPr>
    </w:p>
    <w:p>
      <w:pPr>
        <w:ind w:left="1153"/>
        <w:spacing w:after="0"/>
        <w:rPr>
          <w:sz w:val="20"/>
          <w:szCs w:val="20"/>
          <w:color w:val="auto"/>
        </w:rPr>
      </w:pPr>
      <w:r>
        <w:rPr>
          <w:rFonts w:ascii="Times New Roman" w:cs="Times New Roman" w:eastAsia="Times New Roman" w:hAnsi="Times New Roman"/>
          <w:sz w:val="18"/>
          <w:szCs w:val="18"/>
          <w:u w:val="single" w:color="auto"/>
          <w:color w:val="auto"/>
        </w:rPr>
        <w:t>16.5</w:t>
      </w:r>
      <w:r>
        <w:rPr>
          <w:rFonts w:ascii="Times New Roman" w:cs="Times New Roman" w:eastAsia="Times New Roman" w:hAnsi="Times New Roman"/>
          <w:sz w:val="18"/>
          <w:szCs w:val="18"/>
          <w:color w:val="auto"/>
        </w:rPr>
        <w:t xml:space="preserve"> below, the office of a member of the Board shall be vacated in any one of the following events:</w:t>
      </w:r>
    </w:p>
    <w:p>
      <w:pPr>
        <w:spacing w:after="0" w:line="207"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15.7.1. if he resigns his office by way of a letter signed by him, lodged at the Office;</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15.7.2. if he is declared bankrupt;</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15.7.3. if he becomes insane or unsound of mind;</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15.7.4. upon his death;</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15.7.5. if he is prevented by applicable law from serving as a director of the Company;</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15.7.6. if the Board terminates his office in accordance with Section 231 of the Companies Law;</w:t>
      </w:r>
    </w:p>
    <w:p>
      <w:pPr>
        <w:spacing w:after="0" w:line="225"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15.7.7. if a court order is given in accordance with Section 233 of the Companies Law;</w:t>
      </w:r>
    </w:p>
    <w:p>
      <w:pPr>
        <w:spacing w:after="0" w:line="225" w:lineRule="exact"/>
        <w:rPr>
          <w:sz w:val="20"/>
          <w:szCs w:val="20"/>
          <w:color w:val="auto"/>
        </w:rPr>
      </w:pPr>
    </w:p>
    <w:p>
      <w:pPr>
        <w:ind w:left="1933" w:right="600" w:hanging="539"/>
        <w:spacing w:after="0" w:line="282" w:lineRule="auto"/>
        <w:rPr>
          <w:sz w:val="20"/>
          <w:szCs w:val="20"/>
          <w:color w:val="auto"/>
        </w:rPr>
      </w:pPr>
      <w:r>
        <w:rPr>
          <w:rFonts w:ascii="Times New Roman" w:cs="Times New Roman" w:eastAsia="Times New Roman" w:hAnsi="Times New Roman"/>
          <w:sz w:val="18"/>
          <w:szCs w:val="18"/>
          <w:color w:val="auto"/>
        </w:rPr>
        <w:t>15.7.8. if he is removed from office by a resolution at a General Meeting adopted by a majority of the voting power in the Company; or</w:t>
      </w:r>
    </w:p>
    <w:p>
      <w:pPr>
        <w:spacing w:after="0" w:line="162"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15.7.9. if his period of office has terminated in accordance with the provisions of these Articles.</w:t>
      </w:r>
    </w:p>
    <w:p>
      <w:pPr>
        <w:spacing w:after="0" w:line="225" w:lineRule="exact"/>
        <w:rPr>
          <w:sz w:val="20"/>
          <w:szCs w:val="20"/>
          <w:color w:val="auto"/>
        </w:rPr>
      </w:pPr>
    </w:p>
    <w:p>
      <w:pPr>
        <w:ind w:left="1153" w:right="20" w:hanging="404"/>
        <w:spacing w:after="0" w:line="256" w:lineRule="auto"/>
        <w:rPr>
          <w:sz w:val="20"/>
          <w:szCs w:val="20"/>
          <w:color w:val="auto"/>
        </w:rPr>
      </w:pPr>
      <w:r>
        <w:rPr>
          <w:rFonts w:ascii="Times New Roman" w:cs="Times New Roman" w:eastAsia="Times New Roman" w:hAnsi="Times New Roman"/>
          <w:sz w:val="18"/>
          <w:szCs w:val="18"/>
          <w:color w:val="auto"/>
        </w:rPr>
        <w:t xml:space="preserve">15.8. If the office of a member of the Board should be vacated, the remaining members of the Board shall be entitled to continue to act for all purposes for as long as their number does not fall below the minimum, as prescribed in Article 15‎.1 above, without limiting their right to fill any vacancy at any time in accordance with </w:t>
      </w:r>
      <w:r>
        <w:rPr>
          <w:rFonts w:ascii="Times New Roman" w:cs="Times New Roman" w:eastAsia="Times New Roman" w:hAnsi="Times New Roman"/>
          <w:sz w:val="18"/>
          <w:szCs w:val="18"/>
          <w:u w:val="single" w:color="auto"/>
          <w:color w:val="auto"/>
        </w:rPr>
        <w:t>Article 15.5</w:t>
      </w:r>
      <w:r>
        <w:rPr>
          <w:rFonts w:ascii="Times New Roman" w:cs="Times New Roman" w:eastAsia="Times New Roman" w:hAnsi="Times New Roman"/>
          <w:sz w:val="18"/>
          <w:szCs w:val="18"/>
          <w:color w:val="auto"/>
        </w:rPr>
        <w:t xml:space="preserve"> above. Should their number fall below the aforesaid minimum, the remaining directors shall not be entitled to act, except for the appointment of additional directors, or for the purpose of calling a General Meeting for the appointment of additional directors, or for the purpose of calling a General Meeting for the appointment of a new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-580390</wp:posOffset>
            </wp:positionV>
            <wp:extent cx="545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167" w:lineRule="exact"/>
        <w:rPr>
          <w:sz w:val="20"/>
          <w:szCs w:val="20"/>
          <w:color w:val="auto"/>
        </w:rPr>
      </w:pPr>
    </w:p>
    <w:p>
      <w:pPr>
        <w:ind w:left="1153" w:right="180" w:hanging="404"/>
        <w:spacing w:after="0" w:line="282" w:lineRule="auto"/>
        <w:rPr>
          <w:sz w:val="20"/>
          <w:szCs w:val="20"/>
          <w:color w:val="auto"/>
        </w:rPr>
      </w:pPr>
      <w:r>
        <w:rPr>
          <w:rFonts w:ascii="Times New Roman" w:cs="Times New Roman" w:eastAsia="Times New Roman" w:hAnsi="Times New Roman"/>
          <w:sz w:val="18"/>
          <w:szCs w:val="18"/>
          <w:color w:val="auto"/>
        </w:rPr>
        <w:t>15.9. The office of an External Director shall be vacated and an External Director may be removed and replaced only in accordance with the provisions for vacation of office, removal and appointment of External Directors under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337185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53"/>
          </w:cols>
          <w:pgMar w:left="787" w:top="576" w:right="359" w:bottom="1440" w:gutter="0" w:footer="0" w:header="0"/>
        </w:sectPr>
      </w:pPr>
    </w:p>
    <w:bookmarkStart w:id="14" w:name="page15"/>
    <w:bookmarkEnd w:id="14"/>
    <w:p>
      <w:pPr>
        <w:ind w:left="333" w:hanging="333"/>
        <w:spacing w:after="0"/>
        <w:tabs>
          <w:tab w:leader="none" w:pos="3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PROVISIONS REGARDING DIRECTORS</w:t>
      </w:r>
    </w:p>
    <w:p>
      <w:pPr>
        <w:spacing w:after="0" w:line="229" w:lineRule="exact"/>
        <w:rPr>
          <w:sz w:val="20"/>
          <w:szCs w:val="20"/>
          <w:color w:val="auto"/>
        </w:rPr>
      </w:pPr>
    </w:p>
    <w:p>
      <w:pPr>
        <w:ind w:left="1153" w:hanging="404"/>
        <w:spacing w:after="0" w:line="255" w:lineRule="auto"/>
        <w:rPr>
          <w:sz w:val="20"/>
          <w:szCs w:val="20"/>
          <w:color w:val="auto"/>
        </w:rPr>
      </w:pPr>
      <w:r>
        <w:rPr>
          <w:rFonts w:ascii="Times New Roman" w:cs="Times New Roman" w:eastAsia="Times New Roman" w:hAnsi="Times New Roman"/>
          <w:sz w:val="18"/>
          <w:szCs w:val="18"/>
          <w:color w:val="auto"/>
        </w:rPr>
        <w:t>16.1. Subject to any mandatory provisions of applicable law, a director shall not be disqualified by virtue of his office from holding another office in the Company or in any other company in which the Company is a shareholder or in which it has any other form of interest, or of entering into a contract with the Company, either as seller or buyer or otherwise. Likewise, no contract made by the Company or on its behalf in which a director has any form of interest may be nullified and a director shall not be obliged to account to the Company for any profit deriving from such office, or resulting from such contract, merely by virtue of the fact that he serves as a director or by reason of the fiduciary relationship thereby created, but such director shall be obliged to disclose to the Board the nature of any such interest at the first opportunity.</w:t>
      </w:r>
    </w:p>
    <w:p>
      <w:pPr>
        <w:spacing w:after="0" w:line="189" w:lineRule="exact"/>
        <w:rPr>
          <w:sz w:val="20"/>
          <w:szCs w:val="20"/>
          <w:color w:val="auto"/>
        </w:rPr>
      </w:pPr>
    </w:p>
    <w:p>
      <w:pPr>
        <w:ind w:left="1153" w:hanging="404"/>
        <w:spacing w:after="0" w:line="261" w:lineRule="auto"/>
        <w:rPr>
          <w:sz w:val="20"/>
          <w:szCs w:val="20"/>
          <w:color w:val="auto"/>
        </w:rPr>
      </w:pPr>
      <w:r>
        <w:rPr>
          <w:rFonts w:ascii="Times New Roman" w:cs="Times New Roman" w:eastAsia="Times New Roman" w:hAnsi="Times New Roman"/>
          <w:sz w:val="18"/>
          <w:szCs w:val="18"/>
          <w:color w:val="auto"/>
        </w:rPr>
        <w:t>16.2. A general notice to the effect that a director is a shareholder or has any other form of interest in a particular firm or a particular company and that he must be deemed to have an interest in any business with such firm or company shall be deemed to be adequate disclosure for purposes of this Article in relation to such director, and after such general notice has been given, such director shall not be obliged to give special notice in relation to any particular business with such firm or such company.</w:t>
      </w:r>
    </w:p>
    <w:p>
      <w:pPr>
        <w:spacing w:after="0" w:line="180" w:lineRule="exact"/>
        <w:rPr>
          <w:sz w:val="20"/>
          <w:szCs w:val="20"/>
          <w:color w:val="auto"/>
        </w:rPr>
      </w:pPr>
    </w:p>
    <w:p>
      <w:pPr>
        <w:jc w:val="both"/>
        <w:ind w:left="1153" w:right="20" w:hanging="404"/>
        <w:spacing w:after="0" w:line="289" w:lineRule="auto"/>
        <w:rPr>
          <w:sz w:val="20"/>
          <w:szCs w:val="20"/>
          <w:color w:val="auto"/>
        </w:rPr>
      </w:pPr>
      <w:r>
        <w:rPr>
          <w:rFonts w:ascii="Times New Roman" w:cs="Times New Roman" w:eastAsia="Times New Roman" w:hAnsi="Times New Roman"/>
          <w:sz w:val="17"/>
          <w:szCs w:val="17"/>
          <w:color w:val="auto"/>
        </w:rPr>
        <w:t>16.3. Subject to the provisions of the Companies Law and these Articles, the Company shall be entitled to enter into a transaction in which an Office Holder of the Company has a personal interest, directly or indirectly, and may enter into any contract or otherwise transact any business with any third party in which contract or business an Office Holder has a personal interest, directly or indirectly.</w:t>
      </w:r>
    </w:p>
    <w:p>
      <w:pPr>
        <w:spacing w:after="0" w:line="154" w:lineRule="exact"/>
        <w:rPr>
          <w:sz w:val="20"/>
          <w:szCs w:val="20"/>
          <w:color w:val="auto"/>
        </w:rPr>
      </w:pPr>
    </w:p>
    <w:p>
      <w:pPr>
        <w:ind w:left="1153" w:right="80" w:hanging="404"/>
        <w:spacing w:after="0" w:line="257" w:lineRule="auto"/>
        <w:rPr>
          <w:sz w:val="20"/>
          <w:szCs w:val="20"/>
          <w:color w:val="auto"/>
        </w:rPr>
      </w:pPr>
      <w:r>
        <w:rPr>
          <w:rFonts w:ascii="Times New Roman" w:cs="Times New Roman" w:eastAsia="Times New Roman" w:hAnsi="Times New Roman"/>
          <w:sz w:val="18"/>
          <w:szCs w:val="18"/>
          <w:color w:val="auto"/>
        </w:rPr>
        <w:t>16.4. The Board by regular majority shall elect one (1) of its members to serve as chairman of the Board (the “</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The Chief Executive Officer of the Company shall not serve as Chairman of the Board, unless permitted under applicable law. The office of Chairman of the Board shall be vacated if the Board by regular majority determines to dismiss the Chairman of the Board prior to the end of his term of office, or in each of the cases mentioned in Articles 15‎.7 above and Article 16‎.5 below. The Board may also elect one (1) of its members to serve as Vice Chairman of the Board, who shall have such duties and authorities as the Board may assign to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-306705</wp:posOffset>
            </wp:positionV>
            <wp:extent cx="5899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89915" cy="825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-306705</wp:posOffset>
            </wp:positionV>
            <wp:extent cx="545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66" w:lineRule="exact"/>
        <w:rPr>
          <w:sz w:val="20"/>
          <w:szCs w:val="20"/>
          <w:color w:val="auto"/>
        </w:rPr>
      </w:pPr>
    </w:p>
    <w:p>
      <w:pPr>
        <w:ind w:left="1153" w:hanging="404"/>
        <w:spacing w:after="0" w:line="258" w:lineRule="auto"/>
        <w:rPr>
          <w:sz w:val="20"/>
          <w:szCs w:val="20"/>
          <w:color w:val="auto"/>
        </w:rPr>
      </w:pPr>
      <w:r>
        <w:rPr>
          <w:rFonts w:ascii="Times New Roman" w:cs="Times New Roman" w:eastAsia="Times New Roman" w:hAnsi="Times New Roman"/>
          <w:sz w:val="18"/>
          <w:szCs w:val="18"/>
          <w:color w:val="auto"/>
        </w:rPr>
        <w:t xml:space="preserve">16.5. If, in a General Meeting, by a resolution adopted by a majority of the voting power in the Company, any director is dismissed prior to the end of his term of office, the Board shall be entitled to appoint another individual in his place as a director. The individual so appointed shall hold such office only for that period of time during which the director who was replaced would have held office. This </w:t>
      </w:r>
      <w:r>
        <w:rPr>
          <w:rFonts w:ascii="Times New Roman" w:cs="Times New Roman" w:eastAsia="Times New Roman" w:hAnsi="Times New Roman"/>
          <w:sz w:val="18"/>
          <w:szCs w:val="18"/>
          <w:u w:val="single" w:color="auto"/>
          <w:color w:val="auto"/>
        </w:rPr>
        <w:t>Article 16.5</w:t>
      </w:r>
      <w:r>
        <w:rPr>
          <w:rFonts w:ascii="Times New Roman" w:cs="Times New Roman" w:eastAsia="Times New Roman" w:hAnsi="Times New Roman"/>
          <w:sz w:val="18"/>
          <w:szCs w:val="18"/>
          <w:color w:val="auto"/>
        </w:rPr>
        <w:t xml:space="preserve"> shall not apply to External Directors (if any), who shall be appointed and removed in accordance with the Companies Law.</w:t>
      </w:r>
    </w:p>
    <w:p>
      <w:pPr>
        <w:spacing w:after="0" w:line="183"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16.6. A director shall not be obliged to hold any share in the Company.</w:t>
      </w:r>
    </w:p>
    <w:p>
      <w:pPr>
        <w:spacing w:after="0" w:line="221" w:lineRule="exact"/>
        <w:rPr>
          <w:sz w:val="20"/>
          <w:szCs w:val="20"/>
          <w:color w:val="auto"/>
        </w:rPr>
      </w:pPr>
    </w:p>
    <w:p>
      <w:pPr>
        <w:ind w:left="333" w:hanging="333"/>
        <w:spacing w:after="0"/>
        <w:tabs>
          <w:tab w:leader="none" w:pos="3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OF THE BOARD OF DIRECTORS</w:t>
      </w:r>
    </w:p>
    <w:p>
      <w:pPr>
        <w:spacing w:after="0" w:line="229"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17.1. The Board shall convene for a meeting at least once every calendar quarter.</w:t>
      </w:r>
    </w:p>
    <w:p>
      <w:pPr>
        <w:spacing w:after="0" w:line="225" w:lineRule="exact"/>
        <w:rPr>
          <w:sz w:val="20"/>
          <w:szCs w:val="20"/>
          <w:color w:val="auto"/>
        </w:rPr>
      </w:pPr>
    </w:p>
    <w:p>
      <w:pPr>
        <w:jc w:val="both"/>
        <w:ind w:left="1153" w:right="140" w:hanging="404"/>
        <w:spacing w:after="0" w:line="258" w:lineRule="auto"/>
        <w:rPr>
          <w:sz w:val="20"/>
          <w:szCs w:val="20"/>
          <w:color w:val="auto"/>
        </w:rPr>
      </w:pPr>
      <w:r>
        <w:rPr>
          <w:rFonts w:ascii="Times New Roman" w:cs="Times New Roman" w:eastAsia="Times New Roman" w:hAnsi="Times New Roman"/>
          <w:sz w:val="18"/>
          <w:szCs w:val="18"/>
          <w:color w:val="auto"/>
        </w:rPr>
        <w:t>17.2. The Board may meet in order to exercise its powers pursuant to Section 92 of the Companies Law, including without limitation to supervise the Company’s affairs, and it may, subject to the provisions of the Companies Law, adjourn its meetings and regulate its proceedings and operations as it deems fit. It may also prescribe the quorum required for the conduct of business. Until otherwise decided by the Board, a quorum shall be constituted if a majority of the directors holding office for the time being are present when the meeting proceeds to business.</w:t>
      </w:r>
    </w:p>
    <w:p>
      <w:pPr>
        <w:spacing w:after="0" w:line="183" w:lineRule="exact"/>
        <w:rPr>
          <w:sz w:val="20"/>
          <w:szCs w:val="20"/>
          <w:color w:val="auto"/>
        </w:rPr>
      </w:pPr>
    </w:p>
    <w:p>
      <w:pPr>
        <w:ind w:left="1153" w:right="180" w:hanging="404"/>
        <w:spacing w:after="0" w:line="266" w:lineRule="auto"/>
        <w:rPr>
          <w:sz w:val="20"/>
          <w:szCs w:val="20"/>
          <w:color w:val="auto"/>
        </w:rPr>
      </w:pPr>
      <w:r>
        <w:rPr>
          <w:rFonts w:ascii="Times New Roman" w:cs="Times New Roman" w:eastAsia="Times New Roman" w:hAnsi="Times New Roman"/>
          <w:sz w:val="18"/>
          <w:szCs w:val="18"/>
          <w:color w:val="auto"/>
        </w:rPr>
        <w:t>17.3. Should a director or directors be barred from being present and voting at a meeting of the Board pursuant to Section 278 of the Companies Law, the quorum shall be a majority of the directors entitled to be present and to vote at the meeting of the Board when the meeting proceeds to business.</w:t>
      </w:r>
    </w:p>
    <w:p>
      <w:pPr>
        <w:spacing w:after="0" w:line="176" w:lineRule="exact"/>
        <w:rPr>
          <w:sz w:val="20"/>
          <w:szCs w:val="20"/>
          <w:color w:val="auto"/>
        </w:rPr>
      </w:pPr>
    </w:p>
    <w:p>
      <w:pPr>
        <w:ind w:left="1153" w:hanging="404"/>
        <w:spacing w:after="0" w:line="261" w:lineRule="auto"/>
        <w:rPr>
          <w:sz w:val="20"/>
          <w:szCs w:val="20"/>
          <w:color w:val="auto"/>
        </w:rPr>
      </w:pPr>
      <w:r>
        <w:rPr>
          <w:rFonts w:ascii="Times New Roman" w:cs="Times New Roman" w:eastAsia="Times New Roman" w:hAnsi="Times New Roman"/>
          <w:sz w:val="18"/>
          <w:szCs w:val="18"/>
          <w:color w:val="auto"/>
        </w:rPr>
        <w:t>17.4. Any director, the Chief Executive Officer in the event stipulated in Section 122 of the Companies Law or the auditor of the Company in the event stipulated in Section 169 of the Companies Law, may, at any time, demand the convening of a meeting of the</w:t>
      </w:r>
    </w:p>
    <w:p>
      <w:pPr>
        <w:ind w:left="1153" w:right="20"/>
        <w:spacing w:after="0" w:line="255" w:lineRule="auto"/>
        <w:rPr>
          <w:sz w:val="20"/>
          <w:szCs w:val="20"/>
          <w:color w:val="auto"/>
        </w:rPr>
      </w:pPr>
      <w:r>
        <w:rPr>
          <w:rFonts w:ascii="Times New Roman" w:cs="Times New Roman" w:eastAsia="Times New Roman" w:hAnsi="Times New Roman"/>
          <w:sz w:val="18"/>
          <w:szCs w:val="18"/>
          <w:color w:val="auto"/>
        </w:rPr>
        <w:t>Board. The Chairman of the Board shall be obliged, on such demand, to call such meeting within a reasonable time from receipt of a request by the director, the Chief Executive Officer or the auditor of the Company soliciting such a meeting, provided that proper notice pursuant to Article ‎17.5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1576070</wp:posOffset>
            </wp:positionH>
            <wp:positionV relativeFrom="paragraph">
              <wp:posOffset>-32385</wp:posOffset>
            </wp:positionV>
            <wp:extent cx="545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166" w:lineRule="exact"/>
        <w:rPr>
          <w:sz w:val="20"/>
          <w:szCs w:val="20"/>
          <w:color w:val="auto"/>
        </w:rPr>
      </w:pPr>
    </w:p>
    <w:p>
      <w:pPr>
        <w:ind w:left="1153" w:right="80" w:hanging="404"/>
        <w:spacing w:after="0" w:line="258" w:lineRule="auto"/>
        <w:rPr>
          <w:sz w:val="20"/>
          <w:szCs w:val="20"/>
          <w:color w:val="auto"/>
        </w:rPr>
      </w:pPr>
      <w:r>
        <w:rPr>
          <w:rFonts w:ascii="Times New Roman" w:cs="Times New Roman" w:eastAsia="Times New Roman" w:hAnsi="Times New Roman"/>
          <w:sz w:val="18"/>
          <w:szCs w:val="18"/>
          <w:color w:val="auto"/>
        </w:rPr>
        <w:t xml:space="preserve">17.5. Every director shall be entitled to receive notice of meetings of the Board, and such notice may be in writing, sent to the last address (whether physical or electronic) or facsimile number given by the director for purposes of receiving notices,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notice shall be given at least a reasonable amount of time prior to the meeting and in no event less than twenty four (24) hours prior notice, unless the urgency of the matter to be discussed at the meeting reasonably requires a shorter notice period as determined by the Chairman of the Board or the Board.</w:t>
      </w:r>
    </w:p>
    <w:p>
      <w:pPr>
        <w:spacing w:after="0" w:line="183" w:lineRule="exact"/>
        <w:rPr>
          <w:sz w:val="20"/>
          <w:szCs w:val="20"/>
          <w:color w:val="auto"/>
        </w:rPr>
      </w:pPr>
    </w:p>
    <w:p>
      <w:pPr>
        <w:ind w:left="1153" w:right="40" w:hanging="404"/>
        <w:spacing w:after="0" w:line="261" w:lineRule="auto"/>
        <w:rPr>
          <w:sz w:val="20"/>
          <w:szCs w:val="20"/>
          <w:color w:val="auto"/>
        </w:rPr>
      </w:pPr>
      <w:r>
        <w:rPr>
          <w:rFonts w:ascii="Times New Roman" w:cs="Times New Roman" w:eastAsia="Times New Roman" w:hAnsi="Times New Roman"/>
          <w:sz w:val="18"/>
          <w:szCs w:val="18"/>
          <w:color w:val="auto"/>
        </w:rPr>
        <w:t>17.6. Every meeting of the Board at which a quorum is present shall have all the powers and authorities vested for the time being in the Board. Any matter considered by the Board shall be decided by a simple majority of the directors attending such meeting and voting on such matter. In the case of an equality of votes of the Board, the Chairman of the Board shall not have a second or casting vote, and the proposal shall be deemed to be defeated.</w:t>
      </w:r>
    </w:p>
    <w:p>
      <w:pPr>
        <w:spacing w:after="0" w:line="180" w:lineRule="exact"/>
        <w:rPr>
          <w:sz w:val="20"/>
          <w:szCs w:val="20"/>
          <w:color w:val="auto"/>
        </w:rPr>
      </w:pPr>
    </w:p>
    <w:p>
      <w:pPr>
        <w:ind w:left="1153" w:right="160" w:hanging="404"/>
        <w:spacing w:after="0" w:line="282" w:lineRule="auto"/>
        <w:rPr>
          <w:sz w:val="20"/>
          <w:szCs w:val="20"/>
          <w:color w:val="auto"/>
        </w:rPr>
      </w:pPr>
      <w:r>
        <w:rPr>
          <w:rFonts w:ascii="Times New Roman" w:cs="Times New Roman" w:eastAsia="Times New Roman" w:hAnsi="Times New Roman"/>
          <w:sz w:val="18"/>
          <w:szCs w:val="18"/>
          <w:color w:val="auto"/>
        </w:rPr>
        <w:t>17.7. If the Chairman of the Board is not present within thirty (30) minutes after the time appointed for the meeting, the directors present shall elect one of their members to preside at such meeting.</w:t>
      </w:r>
    </w:p>
    <w:p>
      <w:pPr>
        <w:spacing w:after="0" w:line="162" w:lineRule="exact"/>
        <w:rPr>
          <w:sz w:val="20"/>
          <w:szCs w:val="20"/>
          <w:color w:val="auto"/>
        </w:rPr>
      </w:pPr>
    </w:p>
    <w:p>
      <w:pPr>
        <w:ind w:left="1153" w:right="320" w:hanging="404"/>
        <w:spacing w:after="0" w:line="261" w:lineRule="auto"/>
        <w:rPr>
          <w:sz w:val="20"/>
          <w:szCs w:val="20"/>
          <w:color w:val="auto"/>
        </w:rPr>
      </w:pPr>
      <w:r>
        <w:rPr>
          <w:rFonts w:ascii="Times New Roman" w:cs="Times New Roman" w:eastAsia="Times New Roman" w:hAnsi="Times New Roman"/>
          <w:sz w:val="18"/>
          <w:szCs w:val="18"/>
          <w:color w:val="auto"/>
        </w:rPr>
        <w:t>17.8. The Board may adopt resolutions, without actually convening a meeting of the Board, provided that all the directors entitled to participate in the meeting and to vote on the subject brought for decision agree thereto. If resolutions are made as stated in this Article 17‎.8, the Chairman of the Board shall record minutes of the decisions stating the manner of voting of each director on the subjects brought for decision, as well as the fact that all the directors agreed to take the decision without actually convening.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-173990</wp:posOffset>
            </wp:positionV>
            <wp:extent cx="545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60"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17.9. The Board may hold meetings by use of any means of communication, on condition that all participating directors can hear each</w:t>
      </w:r>
    </w:p>
    <w:p>
      <w:pPr>
        <w:sectPr>
          <w:pgSz w:w="11900" w:h="16838" w:orient="portrait"/>
          <w:cols w:equalWidth="0" w:num="1">
            <w:col w:w="10753"/>
          </w:cols>
          <w:pgMar w:left="787" w:top="576" w:right="359" w:bottom="0" w:gutter="0" w:footer="0" w:header="0"/>
        </w:sectPr>
      </w:pPr>
    </w:p>
    <w:bookmarkStart w:id="15" w:name="page16"/>
    <w:bookmarkEnd w:id="15"/>
    <w:p>
      <w:pPr>
        <w:ind w:left="500"/>
        <w:spacing w:after="0" w:line="282" w:lineRule="auto"/>
        <w:rPr>
          <w:sz w:val="20"/>
          <w:szCs w:val="20"/>
          <w:color w:val="auto"/>
        </w:rPr>
      </w:pPr>
      <w:r>
        <w:rPr>
          <w:rFonts w:ascii="Times New Roman" w:cs="Times New Roman" w:eastAsia="Times New Roman" w:hAnsi="Times New Roman"/>
          <w:sz w:val="18"/>
          <w:szCs w:val="18"/>
          <w:color w:val="auto"/>
        </w:rPr>
        <w:t>other at the same time. In the case of a resolution passed by way of a telephone call or any such other means of communication, a copy of the text of the resolution shall be sent, as soon as possible thereafter,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440" w:top="121" w:right="599" w:bottom="1440" w:gutter="0" w:footer="0" w:header="0"/>
        </w:sectPr>
      </w:pPr>
    </w:p>
    <w:bookmarkStart w:id="16" w:name="page17"/>
    <w:bookmarkEnd w:id="16"/>
    <w:p>
      <w:pPr>
        <w:ind w:left="333" w:hanging="333"/>
        <w:spacing w:after="0"/>
        <w:tabs>
          <w:tab w:leader="none" w:pos="3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POWERS OF THE BOARD OF DIRECTORS</w:t>
      </w:r>
    </w:p>
    <w:p>
      <w:pPr>
        <w:spacing w:after="0" w:line="22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18.1. The supervision of the Company’s affairs shall be in the hands of the Board, which shall be entitled to exercise all of the powers and</w:t>
      </w:r>
    </w:p>
    <w:p>
      <w:pPr>
        <w:spacing w:after="0" w:line="27" w:lineRule="exact"/>
        <w:rPr>
          <w:sz w:val="20"/>
          <w:szCs w:val="20"/>
          <w:color w:val="auto"/>
        </w:rPr>
      </w:pPr>
    </w:p>
    <w:p>
      <w:pPr>
        <w:ind w:left="1153" w:right="60"/>
        <w:spacing w:after="0" w:line="253" w:lineRule="auto"/>
        <w:rPr>
          <w:sz w:val="20"/>
          <w:szCs w:val="20"/>
          <w:color w:val="auto"/>
        </w:rPr>
      </w:pPr>
      <w:r>
        <w:rPr>
          <w:rFonts w:ascii="Times New Roman" w:cs="Times New Roman" w:eastAsia="Times New Roman" w:hAnsi="Times New Roman"/>
          <w:sz w:val="18"/>
          <w:szCs w:val="18"/>
          <w:color w:val="auto"/>
        </w:rPr>
        <w:t>authorities and to perform any act and deed which the Company is entitled to exercise and to perform in accordance with these Articles, and in respect of which there is no mandatory provision or requirement in the Companies Law or in binding rules and regulations of the United States that such powers and authorities be exercised or performed by the shareholders in a General Meeting or by a committee.</w:t>
      </w:r>
    </w:p>
    <w:p>
      <w:pPr>
        <w:spacing w:after="0" w:line="189" w:lineRule="exact"/>
        <w:rPr>
          <w:sz w:val="20"/>
          <w:szCs w:val="20"/>
          <w:color w:val="auto"/>
        </w:rPr>
      </w:pPr>
    </w:p>
    <w:p>
      <w:pPr>
        <w:ind w:left="1153" w:right="20" w:hanging="404"/>
        <w:spacing w:after="0" w:line="266" w:lineRule="auto"/>
        <w:rPr>
          <w:sz w:val="20"/>
          <w:szCs w:val="20"/>
          <w:color w:val="auto"/>
        </w:rPr>
      </w:pPr>
      <w:r>
        <w:rPr>
          <w:rFonts w:ascii="Times New Roman" w:cs="Times New Roman" w:eastAsia="Times New Roman" w:hAnsi="Times New Roman"/>
          <w:sz w:val="18"/>
          <w:szCs w:val="18"/>
          <w:color w:val="auto"/>
        </w:rPr>
        <w:t>18.2. The Board may, from time to time, in its absolute discretion, borrow or secure any amounts of money required by the Company for the conduct of its business. The Board shall be entitled to raise or secure the repayment of an amount obtained by it, in such way and on such conditions and times as it deems fit.</w:t>
      </w:r>
    </w:p>
    <w:p>
      <w:pPr>
        <w:spacing w:after="0" w:line="176" w:lineRule="exact"/>
        <w:rPr>
          <w:sz w:val="20"/>
          <w:szCs w:val="20"/>
          <w:color w:val="auto"/>
        </w:rPr>
      </w:pPr>
    </w:p>
    <w:p>
      <w:pPr>
        <w:ind w:left="1153" w:right="40" w:hanging="404"/>
        <w:spacing w:after="0" w:line="255" w:lineRule="auto"/>
        <w:rPr>
          <w:sz w:val="20"/>
          <w:szCs w:val="20"/>
          <w:color w:val="auto"/>
        </w:rPr>
      </w:pPr>
      <w:r>
        <w:rPr>
          <w:rFonts w:ascii="Times New Roman" w:cs="Times New Roman" w:eastAsia="Times New Roman" w:hAnsi="Times New Roman"/>
          <w:sz w:val="18"/>
          <w:szCs w:val="18"/>
          <w:color w:val="auto"/>
        </w:rPr>
        <w:t>18.3. The Board shall be entitled to issue documents of undertaking, such as options, debentures or debenture stock, whether linked or redeemable, convertible debentures or debentures convertible into other securities, or debentures which carry a right to purchase shares or to purchase other securities, or any mortgage, pledge, collateral or other charge over the property of the Company and its undertaking, in whole or in part, whether present or future, including the uncalled share capital or the share capital which has been called but not yet paid. The deeds of undertaking, debentures of various types or other forms of collateral security may be issued at a discount, at a premium or otherwise and with such preferential or deferred or other rights, as the Board shall, from time to time, decide.</w:t>
      </w:r>
    </w:p>
    <w:p>
      <w:pPr>
        <w:spacing w:after="0" w:line="189" w:lineRule="exact"/>
        <w:rPr>
          <w:sz w:val="20"/>
          <w:szCs w:val="20"/>
          <w:color w:val="auto"/>
        </w:rPr>
      </w:pPr>
    </w:p>
    <w:p>
      <w:pPr>
        <w:ind w:left="1153" w:hanging="404"/>
        <w:spacing w:after="0" w:line="256" w:lineRule="auto"/>
        <w:rPr>
          <w:sz w:val="20"/>
          <w:szCs w:val="20"/>
          <w:color w:val="auto"/>
        </w:rPr>
      </w:pPr>
      <w:r>
        <w:rPr>
          <w:rFonts w:ascii="Times New Roman" w:cs="Times New Roman" w:eastAsia="Times New Roman" w:hAnsi="Times New Roman"/>
          <w:sz w:val="18"/>
          <w:szCs w:val="18"/>
          <w:color w:val="auto"/>
        </w:rPr>
        <w:t>18.4. The Board may, from time to time, set aside any amount(s) out of the profits of the Company as a reserve or reserves for any purpose(s) which the Board,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other purposes, all as the Board may from time to time think fit.</w:t>
      </w:r>
    </w:p>
    <w:p>
      <w:pPr>
        <w:spacing w:after="0" w:line="183" w:lineRule="exact"/>
        <w:rPr>
          <w:sz w:val="20"/>
          <w:szCs w:val="20"/>
          <w:color w:val="auto"/>
        </w:rPr>
      </w:pPr>
    </w:p>
    <w:p>
      <w:pPr>
        <w:ind w:left="333" w:hanging="333"/>
        <w:spacing w:after="0"/>
        <w:tabs>
          <w:tab w:leader="none" w:pos="3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153" w:hanging="404"/>
        <w:spacing w:after="0" w:line="261" w:lineRule="auto"/>
        <w:rPr>
          <w:sz w:val="20"/>
          <w:szCs w:val="20"/>
          <w:color w:val="auto"/>
        </w:rPr>
      </w:pPr>
      <w:r>
        <w:rPr>
          <w:rFonts w:ascii="Times New Roman" w:cs="Times New Roman" w:eastAsia="Times New Roman" w:hAnsi="Times New Roman"/>
          <w:sz w:val="18"/>
          <w:szCs w:val="18"/>
          <w:color w:val="auto"/>
        </w:rPr>
        <w:t>19.1. The Board may, as it deems fit and subject to any applicable law, delegate to a committee certain of its powers and authorities, in whole or in part, as it deems appropriate. The curtailment or revocation of the powers and authorities of a committee by the Board shall not invalidate a prior act of such committee or an act taken in accordance with its instructions, which would have been valid had the powers and authorities of the committee not been altered or revoked by the Board.</w:t>
      </w:r>
    </w:p>
    <w:p>
      <w:pPr>
        <w:spacing w:after="0" w:line="180" w:lineRule="exact"/>
        <w:rPr>
          <w:sz w:val="20"/>
          <w:szCs w:val="20"/>
          <w:color w:val="auto"/>
        </w:rPr>
      </w:pPr>
    </w:p>
    <w:p>
      <w:pPr>
        <w:ind w:left="1153" w:right="180" w:hanging="404"/>
        <w:spacing w:after="0" w:line="261" w:lineRule="auto"/>
        <w:rPr>
          <w:sz w:val="20"/>
          <w:szCs w:val="20"/>
          <w:color w:val="auto"/>
        </w:rPr>
      </w:pPr>
      <w:r>
        <w:rPr>
          <w:rFonts w:ascii="Times New Roman" w:cs="Times New Roman" w:eastAsia="Times New Roman" w:hAnsi="Times New Roman"/>
          <w:sz w:val="18"/>
          <w:szCs w:val="18"/>
          <w:color w:val="auto"/>
        </w:rPr>
        <w:t>19.2. The meetings and proceedings of every such committee which is comprised of two (2) or more members shall be conducted in accordance with the provisions contained in these Articles in regard to the conduct of meetings and proceedings of the Board to the extent that the same are suitable for such committee, and so long as no provisions have been adopted in replacement thereof by the Board.</w:t>
      </w:r>
    </w:p>
    <w:p>
      <w:pPr>
        <w:spacing w:after="0" w:line="176" w:lineRule="exact"/>
        <w:rPr>
          <w:sz w:val="20"/>
          <w:szCs w:val="20"/>
          <w:color w:val="auto"/>
        </w:rPr>
      </w:pPr>
    </w:p>
    <w:p>
      <w:pPr>
        <w:ind w:left="333" w:hanging="333"/>
        <w:spacing w:after="0"/>
        <w:tabs>
          <w:tab w:leader="none" w:pos="3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RATIFICATION OF ACTIONS</w:t>
      </w:r>
    </w:p>
    <w:p>
      <w:pPr>
        <w:spacing w:after="0" w:line="229" w:lineRule="exact"/>
        <w:rPr>
          <w:sz w:val="20"/>
          <w:szCs w:val="20"/>
          <w:color w:val="auto"/>
        </w:rPr>
      </w:pPr>
    </w:p>
    <w:p>
      <w:pPr>
        <w:ind w:left="1153" w:right="120" w:hanging="404"/>
        <w:spacing w:after="0" w:line="261" w:lineRule="auto"/>
        <w:rPr>
          <w:sz w:val="20"/>
          <w:szCs w:val="20"/>
          <w:color w:val="auto"/>
        </w:rPr>
      </w:pPr>
      <w:r>
        <w:rPr>
          <w:rFonts w:ascii="Times New Roman" w:cs="Times New Roman" w:eastAsia="Times New Roman" w:hAnsi="Times New Roman"/>
          <w:sz w:val="18"/>
          <w:szCs w:val="18"/>
          <w:color w:val="auto"/>
        </w:rPr>
        <w:t>20.1. Subject to the Companies Law, all acts taken in good faith by the Board or a committee or by an individual acting as a member thereof shall be valid even if it is subsequently discovered that there was a defect in the appointment of the Board, the committee or the member, as the case may be, or that the members, or one of them, was or were disqualified from being appointed as a director(s) or to a committee.</w:t>
      </w:r>
    </w:p>
    <w:p>
      <w:pPr>
        <w:spacing w:after="0" w:line="180" w:lineRule="exact"/>
        <w:rPr>
          <w:sz w:val="20"/>
          <w:szCs w:val="20"/>
          <w:color w:val="auto"/>
        </w:rPr>
      </w:pPr>
    </w:p>
    <w:p>
      <w:pPr>
        <w:ind w:left="1153" w:right="200" w:hanging="404"/>
        <w:spacing w:after="0" w:line="261" w:lineRule="auto"/>
        <w:rPr>
          <w:sz w:val="20"/>
          <w:szCs w:val="20"/>
          <w:color w:val="auto"/>
        </w:rPr>
      </w:pPr>
      <w:r>
        <w:rPr>
          <w:rFonts w:ascii="Times New Roman" w:cs="Times New Roman" w:eastAsia="Times New Roman" w:hAnsi="Times New Roman"/>
          <w:sz w:val="18"/>
          <w:szCs w:val="18"/>
          <w:color w:val="auto"/>
        </w:rPr>
        <w:t>20.2. The Board or any committee may ratify any act the performance of which at the time of the ratification was within the scope of the authority of the Board or the relevant committee. The General Meeting shall be entitled to ratify any act taken by the Board or any committee without authority or which was tainted by some other defect. From the time of the ratification, every act ratified as aforesaid, shall be treated as though lawfully performed from the outset.</w:t>
      </w:r>
    </w:p>
    <w:p>
      <w:pPr>
        <w:spacing w:after="0" w:line="176" w:lineRule="exact"/>
        <w:rPr>
          <w:sz w:val="20"/>
          <w:szCs w:val="20"/>
          <w:color w:val="auto"/>
        </w:rPr>
      </w:pPr>
    </w:p>
    <w:p>
      <w:pPr>
        <w:ind w:left="333" w:hanging="333"/>
        <w:spacing w:after="0"/>
        <w:tabs>
          <w:tab w:leader="none" w:pos="3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SIGNING POWERS</w:t>
      </w:r>
    </w:p>
    <w:p>
      <w:pPr>
        <w:spacing w:after="0" w:line="229" w:lineRule="exact"/>
        <w:rPr>
          <w:sz w:val="20"/>
          <w:szCs w:val="20"/>
          <w:color w:val="auto"/>
        </w:rPr>
      </w:pPr>
    </w:p>
    <w:p>
      <w:pPr>
        <w:ind w:left="1153" w:right="160" w:hanging="404"/>
        <w:spacing w:after="0" w:line="261" w:lineRule="auto"/>
        <w:rPr>
          <w:sz w:val="20"/>
          <w:szCs w:val="20"/>
          <w:color w:val="auto"/>
        </w:rPr>
      </w:pPr>
      <w:r>
        <w:rPr>
          <w:rFonts w:ascii="Times New Roman" w:cs="Times New Roman" w:eastAsia="Times New Roman" w:hAnsi="Times New Roman"/>
          <w:sz w:val="18"/>
          <w:szCs w:val="18"/>
          <w:color w:val="auto"/>
        </w:rPr>
        <w:t>21.1. Subject to any other resolution on the subject passed by the Board, the Company shall be bound only pursuant to a document in writing bearing its seal or its rubber stamp or its printed or stamped name, and the signature of whomever may be authorized by the Board, which shall be entitled to empower any person, either alone or jointly with another, even if he is not a shareholder or a director, to sign and act in the name and on behalf of the Company.</w:t>
      </w:r>
    </w:p>
    <w:p>
      <w:pPr>
        <w:spacing w:after="0" w:line="180" w:lineRule="exact"/>
        <w:rPr>
          <w:sz w:val="20"/>
          <w:szCs w:val="20"/>
          <w:color w:val="auto"/>
        </w:rPr>
      </w:pPr>
    </w:p>
    <w:p>
      <w:pPr>
        <w:ind w:left="1153" w:right="40" w:hanging="404"/>
        <w:spacing w:after="0" w:line="282" w:lineRule="auto"/>
        <w:rPr>
          <w:sz w:val="20"/>
          <w:szCs w:val="20"/>
          <w:color w:val="auto"/>
        </w:rPr>
      </w:pPr>
      <w:r>
        <w:rPr>
          <w:rFonts w:ascii="Times New Roman" w:cs="Times New Roman" w:eastAsia="Times New Roman" w:hAnsi="Times New Roman"/>
          <w:sz w:val="18"/>
          <w:szCs w:val="18"/>
          <w:color w:val="auto"/>
        </w:rPr>
        <w:t>21.2. The Board shall be entitled to prescribe separate signing power in regard to different businesses of the Company and in respect of the limit of the amounts in respect of which various persons shall be authorized to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337185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3"/>
          </w:cols>
          <w:pgMar w:left="787" w:top="576" w:right="339" w:bottom="1440" w:gutter="0" w:footer="0" w:header="0"/>
        </w:sectPr>
      </w:pPr>
    </w:p>
    <w:bookmarkStart w:id="17" w:name="page18"/>
    <w:bookmarkEnd w:id="17"/>
    <w:p>
      <w:pPr>
        <w:ind w:left="333" w:hanging="333"/>
        <w:spacing w:after="0"/>
        <w:tabs>
          <w:tab w:leader="none" w:pos="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CHIEF EXECUTIVE OFFICER</w:t>
      </w:r>
    </w:p>
    <w:p>
      <w:pPr>
        <w:spacing w:after="0" w:line="229" w:lineRule="exact"/>
        <w:rPr>
          <w:sz w:val="20"/>
          <w:szCs w:val="20"/>
          <w:color w:val="auto"/>
        </w:rPr>
      </w:pPr>
    </w:p>
    <w:p>
      <w:pPr>
        <w:ind w:left="1153" w:right="100" w:hanging="404"/>
        <w:spacing w:after="0" w:line="282" w:lineRule="auto"/>
        <w:rPr>
          <w:sz w:val="20"/>
          <w:szCs w:val="20"/>
          <w:color w:val="auto"/>
        </w:rPr>
      </w:pPr>
      <w:r>
        <w:rPr>
          <w:rFonts w:ascii="Times New Roman" w:cs="Times New Roman" w:eastAsia="Times New Roman" w:hAnsi="Times New Roman"/>
          <w:sz w:val="18"/>
          <w:szCs w:val="18"/>
          <w:color w:val="auto"/>
        </w:rPr>
        <w:t>22.1. The Board shall, from time to time, appoint a Chief Executive Officer and subject to the provisions of the Companies Law delineate his powers and authorities and his remuneration and the Board may dismiss him or replace him at any time it deems fit.</w:t>
      </w:r>
    </w:p>
    <w:p>
      <w:pPr>
        <w:spacing w:after="0" w:line="162" w:lineRule="exact"/>
        <w:rPr>
          <w:sz w:val="20"/>
          <w:szCs w:val="20"/>
          <w:color w:val="auto"/>
        </w:rPr>
      </w:pPr>
    </w:p>
    <w:p>
      <w:pPr>
        <w:ind w:left="1153" w:right="580" w:hanging="404"/>
        <w:spacing w:after="0" w:line="261" w:lineRule="auto"/>
        <w:rPr>
          <w:sz w:val="20"/>
          <w:szCs w:val="20"/>
          <w:color w:val="auto"/>
        </w:rPr>
      </w:pPr>
      <w:r>
        <w:rPr>
          <w:rFonts w:ascii="Times New Roman" w:cs="Times New Roman" w:eastAsia="Times New Roman" w:hAnsi="Times New Roman"/>
          <w:sz w:val="18"/>
          <w:szCs w:val="18"/>
          <w:color w:val="auto"/>
        </w:rPr>
        <w:t>22.2. A Chief Executive Officer need not be a director or shareholder. Subject to the provisions of any contract between the Chief Executive Officer and the Company, if the Chief Executive Officer is also a director, all of the same provisions with regard to appointment, resignation and removal from office shall apply to the Chief Executive Officer in his capacity as a director, as applicable to the Company’s other directors who are not External Directors.</w:t>
      </w:r>
    </w:p>
    <w:p>
      <w:pPr>
        <w:spacing w:after="0" w:line="180" w:lineRule="exact"/>
        <w:rPr>
          <w:sz w:val="20"/>
          <w:szCs w:val="20"/>
          <w:color w:val="auto"/>
        </w:rPr>
      </w:pPr>
    </w:p>
    <w:p>
      <w:pPr>
        <w:ind w:left="1153" w:right="80" w:hanging="404"/>
        <w:spacing w:after="0" w:line="258" w:lineRule="auto"/>
        <w:rPr>
          <w:sz w:val="20"/>
          <w:szCs w:val="20"/>
          <w:color w:val="auto"/>
        </w:rPr>
      </w:pPr>
      <w:r>
        <w:rPr>
          <w:rFonts w:ascii="Times New Roman" w:cs="Times New Roman" w:eastAsia="Times New Roman" w:hAnsi="Times New Roman"/>
          <w:sz w:val="18"/>
          <w:szCs w:val="18"/>
          <w:color w:val="auto"/>
        </w:rPr>
        <w:t>22.3. The Board shall be entitled from time to time, subject to the provisions of the Companies Law, to delegate to the Chief Executive Officer for the time being such of the powers it has pursuant to these Articles as it deems appropriate. The Board shall be entitled to grant such powers for such period, for such purposes, on such conditions and with such restrictions as it deems appropriate, and it shall be entitled to grant such powers without renouncing the powers and authorities of the Board in such regard. The Board may revoke, annul and alter such delegated powers and authorities, in whole or in part, at any time.</w:t>
      </w:r>
    </w:p>
    <w:p>
      <w:pPr>
        <w:spacing w:after="0" w:line="183" w:lineRule="exact"/>
        <w:rPr>
          <w:sz w:val="20"/>
          <w:szCs w:val="20"/>
          <w:color w:val="auto"/>
        </w:rPr>
      </w:pPr>
    </w:p>
    <w:p>
      <w:pPr>
        <w:ind w:left="1153" w:right="160" w:hanging="404"/>
        <w:spacing w:after="0" w:line="258" w:lineRule="auto"/>
        <w:rPr>
          <w:sz w:val="20"/>
          <w:szCs w:val="20"/>
          <w:color w:val="auto"/>
        </w:rPr>
      </w:pPr>
      <w:r>
        <w:rPr>
          <w:rFonts w:ascii="Times New Roman" w:cs="Times New Roman" w:eastAsia="Times New Roman" w:hAnsi="Times New Roman"/>
          <w:sz w:val="18"/>
          <w:szCs w:val="18"/>
          <w:color w:val="auto"/>
        </w:rPr>
        <w:t xml:space="preserve">22.4. Subject to the provisions of any applicable law, the remuneration of the Chief Executive Officer shall be fixed from time to time by the Board (and, so long as required by the Companies Law, shall be approved by the Compensation Committee and by the shareholders unless exempted from shareholders’ approval) and such remuneration may be in the form of a fixed salary or commissions or a participation in profits, or combination thereof, or in any other manner which may be decided by the Board and approved according to this </w:t>
      </w:r>
      <w:r>
        <w:rPr>
          <w:rFonts w:ascii="Times New Roman" w:cs="Times New Roman" w:eastAsia="Times New Roman" w:hAnsi="Times New Roman"/>
          <w:sz w:val="18"/>
          <w:szCs w:val="18"/>
          <w:u w:val="single" w:color="auto"/>
          <w:color w:val="auto"/>
        </w:rPr>
        <w:t>Article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33" w:hanging="333"/>
        <w:spacing w:after="0"/>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 OFFICE-HOLDERS, CLERKS AND REPRESENTATIVES</w:t>
      </w:r>
    </w:p>
    <w:p>
      <w:pPr>
        <w:spacing w:after="0" w:line="229" w:lineRule="exact"/>
        <w:rPr>
          <w:sz w:val="20"/>
          <w:szCs w:val="20"/>
          <w:color w:val="auto"/>
        </w:rPr>
      </w:pPr>
    </w:p>
    <w:p>
      <w:pPr>
        <w:ind w:left="1153" w:right="20" w:hanging="404"/>
        <w:spacing w:after="0" w:line="272" w:lineRule="auto"/>
        <w:rPr>
          <w:sz w:val="20"/>
          <w:szCs w:val="20"/>
          <w:color w:val="auto"/>
        </w:rPr>
      </w:pPr>
      <w:r>
        <w:rPr>
          <w:rFonts w:ascii="Times New Roman" w:cs="Times New Roman" w:eastAsia="Times New Roman" w:hAnsi="Times New Roman"/>
          <w:sz w:val="17"/>
          <w:szCs w:val="17"/>
          <w:color w:val="auto"/>
        </w:rPr>
        <w:t>23.1. The Board shall be entitled, from time to time, to appoint, or, unless determined otherwise by the Board, the Chief Executive Officer, either alone or together with other persons designated by the Board, shall be entitled to appoint Office Holders (other than (i) directors and (ii) “officers” as defined under Rule 16a-1(f) of the U.S. Securities and Exchange Act of 1934, as amended (“</w:t>
      </w:r>
      <w:r>
        <w:rPr>
          <w:rFonts w:ascii="Times New Roman" w:cs="Times New Roman" w:eastAsia="Times New Roman" w:hAnsi="Times New Roman"/>
          <w:sz w:val="17"/>
          <w:szCs w:val="17"/>
          <w:b w:val="1"/>
          <w:bCs w:val="1"/>
          <w:color w:val="auto"/>
        </w:rPr>
        <w:t>Section</w:t>
      </w:r>
    </w:p>
    <w:p>
      <w:pPr>
        <w:spacing w:after="0" w:line="2" w:lineRule="exact"/>
        <w:rPr>
          <w:sz w:val="20"/>
          <w:szCs w:val="20"/>
          <w:color w:val="auto"/>
        </w:rPr>
      </w:pPr>
    </w:p>
    <w:p>
      <w:pPr>
        <w:ind w:left="1153"/>
        <w:spacing w:after="0" w:line="252" w:lineRule="auto"/>
        <w:rPr>
          <w:sz w:val="20"/>
          <w:szCs w:val="20"/>
          <w:color w:val="auto"/>
        </w:rPr>
      </w:pPr>
      <w:r>
        <w:rPr>
          <w:rFonts w:ascii="Times New Roman" w:cs="Times New Roman" w:eastAsia="Times New Roman" w:hAnsi="Times New Roman"/>
          <w:sz w:val="18"/>
          <w:szCs w:val="18"/>
          <w:b w:val="1"/>
          <w:bCs w:val="1"/>
          <w:color w:val="auto"/>
        </w:rPr>
        <w:t>16 Officers</w:t>
      </w:r>
      <w:r>
        <w:rPr>
          <w:rFonts w:ascii="Times New Roman" w:cs="Times New Roman" w:eastAsia="Times New Roman" w:hAnsi="Times New Roman"/>
          <w:sz w:val="18"/>
          <w:szCs w:val="18"/>
          <w:color w:val="auto"/>
        </w:rPr>
        <w:t>”)); a Secretary for the Company; employees and agents to such permanent, temporary or special positions; and to specify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change their titles, authorities and duties, and to set, their salaries, bonuses and other compensation. Salaries, bonuses and compensation of Office Holders who are not directors or Section 16 Officers shall be determined and approved by the Chief Executive Officer, or in such other manner as may be permitted from time to time under the Companies Law. The Board, or, unless determined otherwise by the Board, the Chief Executive Officer, either alone or together with other persons designated by the Board, shall be entitled at any time, in its, his or their (as applicable) sole and absolute discretion, to terminate the services of one of more of the foregoing persons (excluding, for clarity, directors and Section 16 Officers).</w:t>
      </w:r>
    </w:p>
    <w:p>
      <w:pPr>
        <w:spacing w:after="0" w:line="188" w:lineRule="exact"/>
        <w:rPr>
          <w:sz w:val="20"/>
          <w:szCs w:val="20"/>
          <w:color w:val="auto"/>
        </w:rPr>
      </w:pPr>
    </w:p>
    <w:p>
      <w:pPr>
        <w:ind w:left="1153" w:hanging="404"/>
        <w:spacing w:after="0" w:line="256" w:lineRule="auto"/>
        <w:rPr>
          <w:sz w:val="20"/>
          <w:szCs w:val="20"/>
          <w:color w:val="auto"/>
        </w:rPr>
      </w:pPr>
      <w:r>
        <w:rPr>
          <w:rFonts w:ascii="Times New Roman" w:cs="Times New Roman" w:eastAsia="Times New Roman" w:hAnsi="Times New Roman"/>
          <w:sz w:val="18"/>
          <w:szCs w:val="18"/>
          <w:color w:val="auto"/>
        </w:rPr>
        <w:t>23.2. The Board and the Chief Executive Officer may from time to time and at any time, subject to their powers under these Articles and the Companies Law, empower any person to serve as representative of the Company for such purposes and with such powers and authorities, instructions and discretions for such period and subject to such conditions as the Board or the Chief Executive Officer, as the case may be, shall deem appropriate. The Board or Chief Executive Officer may grant such person, inter alia, the power to further delegate the authority, powers and discretions vested in him, in whole or in part. The Board or the Chief Executive Officer, as the case may be, may revoke, annul, vary or change any such power or authority, or all such powers or authorities collectively.</w:t>
      </w:r>
    </w:p>
    <w:p>
      <w:pPr>
        <w:spacing w:after="0" w:line="183" w:lineRule="exact"/>
        <w:rPr>
          <w:sz w:val="20"/>
          <w:szCs w:val="20"/>
          <w:color w:val="auto"/>
        </w:rPr>
      </w:pPr>
    </w:p>
    <w:p>
      <w:pPr>
        <w:ind w:left="433" w:hanging="325"/>
        <w:spacing w:after="0"/>
        <w:tabs>
          <w:tab w:leader="none" w:pos="4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 BONUS SHARES, FUNDS AND CAPITALIZATION OF FUNDS AND PROFITS</w:t>
      </w:r>
    </w:p>
    <w:p>
      <w:pPr>
        <w:spacing w:after="0" w:line="229" w:lineRule="exact"/>
        <w:rPr>
          <w:sz w:val="20"/>
          <w:szCs w:val="20"/>
          <w:color w:val="auto"/>
        </w:rPr>
      </w:pPr>
    </w:p>
    <w:p>
      <w:pPr>
        <w:ind w:left="1253" w:hanging="404"/>
        <w:spacing w:after="0" w:line="255" w:lineRule="auto"/>
        <w:rPr>
          <w:sz w:val="20"/>
          <w:szCs w:val="20"/>
          <w:color w:val="auto"/>
        </w:rPr>
      </w:pPr>
      <w:r>
        <w:rPr>
          <w:rFonts w:ascii="Times New Roman" w:cs="Times New Roman" w:eastAsia="Times New Roman" w:hAnsi="Times New Roman"/>
          <w:sz w:val="18"/>
          <w:szCs w:val="18"/>
          <w:color w:val="auto"/>
        </w:rPr>
        <w:t>24.1. The Board may decide on the payment of a dividend or on the distribution of bonus shares. A dividend in cash or bonus shares shall be paid or distributed, as the case may be, equally to the holders of the Ordinary Shares registered in the Register, pro rata to the nominal amount of capital paid up or credited as paid up on par value of the shares, without reference to any premium which may have been paid thereon. However, whenever the rights attached to any shares or the terms of issue of the shares do not provide otherwise, an amount paid on account of a share prior to the payment thereof having been called, or prior to the due date for payment thereof, and on which the Company is paying interest, shall not be taken into account for purposes of this Article as an amount paid-up on account of the share.</w:t>
      </w:r>
    </w:p>
    <w:p>
      <w:pPr>
        <w:spacing w:after="0" w:line="189" w:lineRule="exact"/>
        <w:rPr>
          <w:sz w:val="20"/>
          <w:szCs w:val="20"/>
          <w:color w:val="auto"/>
        </w:rPr>
      </w:pPr>
    </w:p>
    <w:p>
      <w:pPr>
        <w:ind w:left="1253" w:right="40" w:hanging="404"/>
        <w:spacing w:after="0" w:line="266" w:lineRule="auto"/>
        <w:rPr>
          <w:sz w:val="20"/>
          <w:szCs w:val="20"/>
          <w:color w:val="auto"/>
        </w:rPr>
      </w:pPr>
      <w:r>
        <w:rPr>
          <w:rFonts w:ascii="Times New Roman" w:cs="Times New Roman" w:eastAsia="Times New Roman" w:hAnsi="Times New Roman"/>
          <w:sz w:val="18"/>
          <w:szCs w:val="18"/>
          <w:color w:val="auto"/>
        </w:rPr>
        <w:t>24.2. Except where determined otherwise in accordance with Article 11‎.9, only a person whose name, on the date determined by the Board for entitlement to the dividend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was registered in the Register as the owner of the shares shall be entitled to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-313055</wp:posOffset>
            </wp:positionV>
            <wp:extent cx="541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41655" cy="8890"/>
                    </a:xfrm>
                    <a:prstGeom prst="rect">
                      <a:avLst/>
                    </a:prstGeom>
                    <a:noFill/>
                  </pic:spPr>
                </pic:pic>
              </a:graphicData>
            </a:graphic>
          </wp:anchor>
        </w:drawing>
      </w:r>
    </w:p>
    <w:p>
      <w:pPr>
        <w:spacing w:after="0" w:line="156" w:lineRule="exact"/>
        <w:rPr>
          <w:sz w:val="20"/>
          <w:szCs w:val="20"/>
          <w:color w:val="auto"/>
        </w:rPr>
      </w:pPr>
    </w:p>
    <w:p>
      <w:pPr>
        <w:ind w:left="1253" w:right="40" w:hanging="404"/>
        <w:spacing w:after="0" w:line="256" w:lineRule="auto"/>
        <w:rPr>
          <w:sz w:val="20"/>
          <w:szCs w:val="20"/>
          <w:color w:val="auto"/>
        </w:rPr>
      </w:pPr>
      <w:r>
        <w:rPr>
          <w:rFonts w:ascii="Times New Roman" w:cs="Times New Roman" w:eastAsia="Times New Roman" w:hAnsi="Times New Roman"/>
          <w:sz w:val="18"/>
          <w:szCs w:val="18"/>
          <w:color w:val="auto"/>
        </w:rPr>
        <w:t>24.3. Unless other instructions are given, it shall be permissible to pay any dividend by way of a check or payment order to be sent by post to the registered address of the shareholder or the person entitled thereto, or in the case of joint shareholders being registered, to the shareholder whose name appears first in the Register in relation to the joint shareholding. Every such check shall be made in favor of the person to whom it is sent. A receipt by the person whose name, on the Record Date, was registered in the Register as the owner of the shares, or in the case of joint holders, by one of the joint holders, shall serve as a discharge with regard to all the payments made in connection with such share.</w:t>
      </w:r>
    </w:p>
    <w:p>
      <w:pPr>
        <w:spacing w:after="0" w:line="187" w:lineRule="exact"/>
        <w:rPr>
          <w:sz w:val="20"/>
          <w:szCs w:val="20"/>
          <w:color w:val="auto"/>
        </w:rPr>
      </w:pPr>
    </w:p>
    <w:p>
      <w:pPr>
        <w:ind w:left="1253" w:hanging="404"/>
        <w:spacing w:after="0" w:line="254" w:lineRule="auto"/>
        <w:rPr>
          <w:sz w:val="20"/>
          <w:szCs w:val="20"/>
          <w:color w:val="auto"/>
        </w:rPr>
      </w:pPr>
      <w:r>
        <w:rPr>
          <w:rFonts w:ascii="Times New Roman" w:cs="Times New Roman" w:eastAsia="Times New Roman" w:hAnsi="Times New Roman"/>
          <w:sz w:val="18"/>
          <w:szCs w:val="18"/>
          <w:color w:val="auto"/>
        </w:rPr>
        <w:t>24.4. The Board shall be entitled to invest any dividend which has not been claimed for a period of one (1) year after having been declared, or to make use thereof in any other way for the benefit of the Company until such time as it is claimed. A dividend or other beneficial rights in respect of shares shall not bear interest, and the Company shall not be obliged to pay interest or linkage in respect of an unclaimed dividend. The payment by the Board of any unclaimed dividend into a separate account shall not make the Company a trustee in respect thereof, and any dividend unclaimed after a period of seven (7) years from the date of declaration of such dividend shall be forfeited and shall revert to the Company, provided, however, that the Board may, at its discretion, cause the Company to pay any such dividend, or any part thereof, to a person who would have been entitled thereto had the same not reverted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356235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53"/>
          </w:cols>
          <w:pgMar w:left="787" w:top="576" w:right="359" w:bottom="333" w:gutter="0" w:footer="0" w:header="0"/>
        </w:sectPr>
      </w:pPr>
    </w:p>
    <w:bookmarkStart w:id="18" w:name="page19"/>
    <w:bookmarkEnd w:id="18"/>
    <w:p>
      <w:pPr>
        <w:ind w:left="600" w:right="200" w:hanging="404"/>
        <w:spacing w:after="0" w:line="261" w:lineRule="auto"/>
        <w:rPr>
          <w:sz w:val="20"/>
          <w:szCs w:val="20"/>
          <w:color w:val="auto"/>
        </w:rPr>
      </w:pPr>
      <w:r>
        <w:rPr>
          <w:rFonts w:ascii="Times New Roman" w:cs="Times New Roman" w:eastAsia="Times New Roman" w:hAnsi="Times New Roman"/>
          <w:sz w:val="18"/>
          <w:szCs w:val="18"/>
          <w:color w:val="auto"/>
        </w:rPr>
        <w:t>24.5. Unless otherwise specified in the terms of issue of shares or securities convertible into, or which grant a right to purchase, shares, any shares that are fully paid-up or credited as paid-up shall at any time confer on their holders the right to participate in the full dividends and in any other distribution for which the determining date for the right to receive the same is the date at which the aforesaid shares were fully paid-up or credited as fully paid-up, as the case may be, or subsequent to such date.</w:t>
      </w:r>
    </w:p>
    <w:p>
      <w:pPr>
        <w:spacing w:after="0" w:line="180" w:lineRule="exact"/>
        <w:rPr>
          <w:sz w:val="20"/>
          <w:szCs w:val="20"/>
          <w:color w:val="auto"/>
        </w:rPr>
      </w:pPr>
    </w:p>
    <w:p>
      <w:pPr>
        <w:ind w:left="600" w:right="60" w:hanging="404"/>
        <w:spacing w:after="0" w:line="256" w:lineRule="auto"/>
        <w:rPr>
          <w:sz w:val="20"/>
          <w:szCs w:val="20"/>
          <w:color w:val="auto"/>
        </w:rPr>
      </w:pPr>
      <w:r>
        <w:rPr>
          <w:rFonts w:ascii="Times New Roman" w:cs="Times New Roman" w:eastAsia="Times New Roman" w:hAnsi="Times New Roman"/>
          <w:sz w:val="18"/>
          <w:szCs w:val="18"/>
          <w:color w:val="auto"/>
        </w:rPr>
        <w:t>24.6. The Board shall be entitled to deduct from any dividend or other beneficial rights, all amounts of money which the holder of the share in respect of which the dividend is payable or in respect of which the other beneficial rights were given, may owe to the Company in respect of such share, whether or not the due date for payment thereof has arrived. The Board shall be entitled to retain any dividend or bonus shares or other beneficial rights in respect of a share in relation to which the Company has a lien, and to utilize any such amount or the proceeds received from the sale of any bonus shares or other beneficial rights, for the discharge of the debts or liabilities in respect of which the Company has a lien.</w:t>
      </w:r>
    </w:p>
    <w:p>
      <w:pPr>
        <w:spacing w:after="0" w:line="187" w:lineRule="exact"/>
        <w:rPr>
          <w:sz w:val="20"/>
          <w:szCs w:val="20"/>
          <w:color w:val="auto"/>
        </w:rPr>
      </w:pPr>
    </w:p>
    <w:p>
      <w:pPr>
        <w:ind w:left="600" w:right="160" w:hanging="404"/>
        <w:spacing w:after="0" w:line="282" w:lineRule="auto"/>
        <w:rPr>
          <w:sz w:val="20"/>
          <w:szCs w:val="20"/>
          <w:color w:val="auto"/>
        </w:rPr>
      </w:pPr>
      <w:r>
        <w:rPr>
          <w:rFonts w:ascii="Times New Roman" w:cs="Times New Roman" w:eastAsia="Times New Roman" w:hAnsi="Times New Roman"/>
          <w:sz w:val="18"/>
          <w:szCs w:val="18"/>
          <w:color w:val="auto"/>
        </w:rPr>
        <w:t>24.7. The Board may decide that a dividend is to be paid, in whole or in part, by way of a distribution of assets of the Company in kind, including by way of debentures of the Company, or shares or debentures of any other company, or in any other way.</w:t>
      </w:r>
    </w:p>
    <w:p>
      <w:pPr>
        <w:spacing w:after="0" w:line="162" w:lineRule="exact"/>
        <w:rPr>
          <w:sz w:val="20"/>
          <w:szCs w:val="20"/>
          <w:color w:val="auto"/>
        </w:rPr>
      </w:pPr>
    </w:p>
    <w:p>
      <w:pPr>
        <w:ind w:left="600" w:right="20" w:hanging="404"/>
        <w:spacing w:after="0" w:line="256" w:lineRule="auto"/>
        <w:rPr>
          <w:sz w:val="20"/>
          <w:szCs w:val="20"/>
          <w:color w:val="auto"/>
        </w:rPr>
      </w:pPr>
      <w:r>
        <w:rPr>
          <w:rFonts w:ascii="Times New Roman" w:cs="Times New Roman" w:eastAsia="Times New Roman" w:hAnsi="Times New Roman"/>
          <w:sz w:val="18"/>
          <w:szCs w:val="18"/>
          <w:color w:val="auto"/>
        </w:rPr>
        <w:t>24.8. The Board may decide that any portion of the amounts standing for the time being to the credit of any capital fund (including a fund created as a result of a revaluation of the assets of the Company), or which are held by the Company as profits available for distribution, shall be capitalized subject to and in accordance with the provisions of the Companies Law and of these Articles, and serve for the payment up in full (either at par or with a premium as prescribed by the Company) of shares which have not yet been issued or of debentures of the Company, which shall then be allotted and distributed amongst the shareholders as fully paid-up shares or debentures, pro rata to each shareholder’s entitlement under these Articles.</w:t>
      </w:r>
    </w:p>
    <w:p>
      <w:pPr>
        <w:spacing w:after="0" w:line="187" w:lineRule="exact"/>
        <w:rPr>
          <w:sz w:val="20"/>
          <w:szCs w:val="20"/>
          <w:color w:val="auto"/>
        </w:rPr>
      </w:pPr>
    </w:p>
    <w:p>
      <w:pPr>
        <w:ind w:left="600" w:hanging="404"/>
        <w:spacing w:after="0" w:line="253" w:lineRule="auto"/>
        <w:rPr>
          <w:sz w:val="20"/>
          <w:szCs w:val="20"/>
          <w:color w:val="auto"/>
        </w:rPr>
      </w:pPr>
      <w:r>
        <w:rPr>
          <w:rFonts w:ascii="Times New Roman" w:cs="Times New Roman" w:eastAsia="Times New Roman" w:hAnsi="Times New Roman"/>
          <w:sz w:val="18"/>
          <w:szCs w:val="18"/>
          <w:color w:val="auto"/>
        </w:rPr>
        <w:t>24.9. In every case that the Company issues bonus shares by way of a capitalization of profits or funds at a time at which securities issued by the Company are in circulation and confer on the holders thereof rights to convert the same into shares in the share capital of the Company, or options to purchase shares in the share capital of the Company (such rights of conversion or options shall henceforth be referred to as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the Board shall be entitled (in a case that the Rights or part thereof shall not be otherwise adjusted in accordance with the terms of their issue) to transfer to a special fund designated for the distribution of bonus shares in the future (to be called by any name that the Board may decide on and which shall henceforth be referred to as the “</w:t>
      </w:r>
      <w:r>
        <w:rPr>
          <w:rFonts w:ascii="Times New Roman" w:cs="Times New Roman" w:eastAsia="Times New Roman" w:hAnsi="Times New Roman"/>
          <w:sz w:val="18"/>
          <w:szCs w:val="18"/>
          <w:b w:val="1"/>
          <w:bCs w:val="1"/>
          <w:color w:val="auto"/>
        </w:rPr>
        <w:t>Special Fund</w:t>
      </w:r>
      <w:r>
        <w:rPr>
          <w:rFonts w:ascii="Times New Roman" w:cs="Times New Roman" w:eastAsia="Times New Roman" w:hAnsi="Times New Roman"/>
          <w:sz w:val="18"/>
          <w:szCs w:val="18"/>
          <w:color w:val="auto"/>
        </w:rPr>
        <w:t>”) an amount equivalent to the nominal amount of the share capital to which some or all of the Rights holders would have been entitled as a result of the issue of bonus shares, had they exercised their Rights prior to the determining date for the right to receive bonus shares, including rights to fractions of bonus shares, and in the case of a second or additional distribution of bonus shares in respect of which the Company acts pursuant to this Article, including entitlement stemming from a previous distribution of bonus shares.</w:t>
      </w:r>
    </w:p>
    <w:p>
      <w:pPr>
        <w:spacing w:after="0" w:line="194" w:lineRule="exact"/>
        <w:rPr>
          <w:sz w:val="20"/>
          <w:szCs w:val="20"/>
          <w:color w:val="auto"/>
        </w:rPr>
      </w:pPr>
    </w:p>
    <w:p>
      <w:pPr>
        <w:ind w:left="600" w:right="160" w:hanging="498"/>
        <w:spacing w:after="0" w:line="256" w:lineRule="auto"/>
        <w:rPr>
          <w:sz w:val="20"/>
          <w:szCs w:val="20"/>
          <w:color w:val="auto"/>
        </w:rPr>
      </w:pPr>
      <w:r>
        <w:rPr>
          <w:rFonts w:ascii="Times New Roman" w:cs="Times New Roman" w:eastAsia="Times New Roman" w:hAnsi="Times New Roman"/>
          <w:sz w:val="18"/>
          <w:szCs w:val="18"/>
          <w:color w:val="auto"/>
        </w:rPr>
        <w:t xml:space="preserve">24.10. In the case of the allotment of shares by the Company as a consequence of the exercise of entitlement by the owners of shares in those cases in which the Board has made a transfer to the Special Fund in respect of the Rights pursuant to </w:t>
      </w:r>
      <w:r>
        <w:rPr>
          <w:rFonts w:ascii="Times New Roman" w:cs="Times New Roman" w:eastAsia="Times New Roman" w:hAnsi="Times New Roman"/>
          <w:sz w:val="18"/>
          <w:szCs w:val="18"/>
          <w:u w:val="single" w:color="auto"/>
          <w:color w:val="auto"/>
        </w:rPr>
        <w:t>Article 24.9</w:t>
      </w:r>
      <w:r>
        <w:rPr>
          <w:rFonts w:ascii="Times New Roman" w:cs="Times New Roman" w:eastAsia="Times New Roman" w:hAnsi="Times New Roman"/>
          <w:sz w:val="18"/>
          <w:szCs w:val="18"/>
          <w:color w:val="auto"/>
        </w:rPr>
        <w:t xml:space="preserve"> above, the Board shall allot to each such shareholder, in addition to the shares to which he is entitled by virtue of having exercised his rights, such number of fully paid-up shares the nominal value of which is equivalent to the amount transferred to the Special Fund in respect of his rights, by way of a capitalization to be effected by the Board of an appropriate amount out of the Special Fund. The Board shall be entitled to decide on the manner of dealing with rights to fractions of shares in its sole discretion.</w:t>
      </w:r>
    </w:p>
    <w:p>
      <w:pPr>
        <w:spacing w:after="0" w:line="187" w:lineRule="exact"/>
        <w:rPr>
          <w:sz w:val="20"/>
          <w:szCs w:val="20"/>
          <w:color w:val="auto"/>
        </w:rPr>
      </w:pPr>
    </w:p>
    <w:p>
      <w:pPr>
        <w:ind w:left="600" w:right="160" w:hanging="498"/>
        <w:spacing w:after="0" w:line="258" w:lineRule="auto"/>
        <w:rPr>
          <w:sz w:val="20"/>
          <w:szCs w:val="20"/>
          <w:color w:val="auto"/>
        </w:rPr>
      </w:pPr>
      <w:r>
        <w:rPr>
          <w:rFonts w:ascii="Times New Roman" w:cs="Times New Roman" w:eastAsia="Times New Roman" w:hAnsi="Times New Roman"/>
          <w:sz w:val="18"/>
          <w:szCs w:val="18"/>
          <w:color w:val="auto"/>
        </w:rPr>
        <w:t>24.11. If after any transfer to the Special Fund has been made the Rights should lapse, or the period should end for the exercise of Rights in respect of which the transfer was effected without such Rights being exercised, then any amount which was transferred to the Special Fund in respect of the aforesaid unexercised Rights shall be released from the Special Fund, and the Company may deal with the amount so released in any manner it would have been entitled to deal therewith had such amount not been transferred to the Special Fund.</w:t>
      </w:r>
    </w:p>
    <w:p>
      <w:pPr>
        <w:spacing w:after="0" w:line="183" w:lineRule="exact"/>
        <w:rPr>
          <w:sz w:val="20"/>
          <w:szCs w:val="20"/>
          <w:color w:val="auto"/>
        </w:rPr>
      </w:pPr>
    </w:p>
    <w:p>
      <w:pPr>
        <w:ind w:left="600" w:right="320" w:hanging="498"/>
        <w:spacing w:after="0" w:line="282" w:lineRule="auto"/>
        <w:rPr>
          <w:sz w:val="20"/>
          <w:szCs w:val="20"/>
          <w:color w:val="auto"/>
        </w:rPr>
      </w:pPr>
      <w:r>
        <w:rPr>
          <w:rFonts w:ascii="Times New Roman" w:cs="Times New Roman" w:eastAsia="Times New Roman" w:hAnsi="Times New Roman"/>
          <w:sz w:val="18"/>
          <w:szCs w:val="18"/>
          <w:color w:val="auto"/>
        </w:rPr>
        <w:t>24.12. For the implementation of any resolution regarding a distribution of shares or debentures by way of a capitalization of profits as aforesaid, the Board may:</w:t>
      </w:r>
    </w:p>
    <w:p>
      <w:pPr>
        <w:spacing w:after="0" w:line="162" w:lineRule="exact"/>
        <w:rPr>
          <w:sz w:val="20"/>
          <w:szCs w:val="20"/>
          <w:color w:val="auto"/>
        </w:rPr>
      </w:pPr>
    </w:p>
    <w:p>
      <w:pPr>
        <w:ind w:left="1480" w:right="300" w:hanging="634"/>
        <w:spacing w:after="0" w:line="282" w:lineRule="auto"/>
        <w:rPr>
          <w:sz w:val="20"/>
          <w:szCs w:val="20"/>
          <w:color w:val="auto"/>
        </w:rPr>
      </w:pPr>
      <w:r>
        <w:rPr>
          <w:rFonts w:ascii="Times New Roman" w:cs="Times New Roman" w:eastAsia="Times New Roman" w:hAnsi="Times New Roman"/>
          <w:sz w:val="18"/>
          <w:szCs w:val="18"/>
          <w:color w:val="auto"/>
        </w:rPr>
        <w:t>24.12.1. Resolve any difficulty which arises or may arise in regard to the distribution in such manner as it deems fit and may take all of the steps that it deems appropriate in order to overcome such difficulty.</w:t>
      </w:r>
    </w:p>
    <w:p>
      <w:pPr>
        <w:spacing w:after="0" w:line="162" w:lineRule="exact"/>
        <w:rPr>
          <w:sz w:val="20"/>
          <w:szCs w:val="20"/>
          <w:color w:val="auto"/>
        </w:rPr>
      </w:pPr>
    </w:p>
    <w:p>
      <w:pPr>
        <w:ind w:left="1480" w:right="20" w:hanging="634"/>
        <w:spacing w:after="0" w:line="266" w:lineRule="auto"/>
        <w:rPr>
          <w:sz w:val="20"/>
          <w:szCs w:val="20"/>
          <w:color w:val="auto"/>
        </w:rPr>
      </w:pPr>
      <w:r>
        <w:rPr>
          <w:rFonts w:ascii="Times New Roman" w:cs="Times New Roman" w:eastAsia="Times New Roman" w:hAnsi="Times New Roman"/>
          <w:sz w:val="18"/>
          <w:szCs w:val="18"/>
          <w:color w:val="auto"/>
        </w:rPr>
        <w:t>24.12.2. Issue certificates in respect of fractions of shares, or decide that fractions of less than an amount to be decided by the Board shall not be taken into account for purposes of adjusting the rights of the shareholders or may sell the fractions of shares and pay the net proceeds to the persons entitled thereto.</w:t>
      </w:r>
    </w:p>
    <w:p>
      <w:pPr>
        <w:spacing w:after="0" w:line="176" w:lineRule="exact"/>
        <w:rPr>
          <w:sz w:val="20"/>
          <w:szCs w:val="20"/>
          <w:color w:val="auto"/>
        </w:rPr>
      </w:pPr>
    </w:p>
    <w:p>
      <w:pPr>
        <w:ind w:left="1480" w:right="40" w:hanging="634"/>
        <w:spacing w:after="0" w:line="261" w:lineRule="auto"/>
        <w:rPr>
          <w:sz w:val="20"/>
          <w:szCs w:val="20"/>
          <w:color w:val="auto"/>
        </w:rPr>
      </w:pPr>
      <w:r>
        <w:rPr>
          <w:rFonts w:ascii="Times New Roman" w:cs="Times New Roman" w:eastAsia="Times New Roman" w:hAnsi="Times New Roman"/>
          <w:sz w:val="18"/>
          <w:szCs w:val="18"/>
          <w:color w:val="auto"/>
        </w:rPr>
        <w:t>24.12.3. Sign, or appoint a person to sign, on behalf of the shareholders on any contract or other document which may be required for purposes of giving effect to the distribution, and, in particular, shall be entitled to sign or appoint a person who shall be entitled to appoint and submit a contract or other document as referred to in Section 291 of the Companies Law.</w:t>
      </w:r>
    </w:p>
    <w:p>
      <w:pPr>
        <w:spacing w:after="0" w:line="180" w:lineRule="exact"/>
        <w:rPr>
          <w:sz w:val="20"/>
          <w:szCs w:val="20"/>
          <w:color w:val="auto"/>
        </w:rPr>
      </w:pPr>
    </w:p>
    <w:p>
      <w:pPr>
        <w:ind w:left="1480" w:right="780" w:hanging="634"/>
        <w:spacing w:after="0" w:line="282" w:lineRule="auto"/>
        <w:rPr>
          <w:sz w:val="20"/>
          <w:szCs w:val="20"/>
          <w:color w:val="auto"/>
        </w:rPr>
      </w:pPr>
      <w:r>
        <w:rPr>
          <w:rFonts w:ascii="Times New Roman" w:cs="Times New Roman" w:eastAsia="Times New Roman" w:hAnsi="Times New Roman"/>
          <w:sz w:val="18"/>
          <w:szCs w:val="18"/>
          <w:color w:val="auto"/>
        </w:rPr>
        <w:t>24.12.4. Make any arrangement or other scheme which is required in the opinion of the Board in order to facilitate the distribution.</w:t>
      </w:r>
    </w:p>
    <w:p>
      <w:pPr>
        <w:spacing w:after="0" w:line="162" w:lineRule="exact"/>
        <w:rPr>
          <w:sz w:val="20"/>
          <w:szCs w:val="20"/>
          <w:color w:val="auto"/>
        </w:rPr>
      </w:pPr>
    </w:p>
    <w:p>
      <w:pPr>
        <w:ind w:left="600" w:right="40" w:hanging="498"/>
        <w:spacing w:after="0" w:line="254" w:lineRule="auto"/>
        <w:rPr>
          <w:sz w:val="20"/>
          <w:szCs w:val="20"/>
          <w:color w:val="auto"/>
        </w:rPr>
      </w:pPr>
      <w:r>
        <w:rPr>
          <w:rFonts w:ascii="Times New Roman" w:cs="Times New Roman" w:eastAsia="Times New Roman" w:hAnsi="Times New Roman"/>
          <w:sz w:val="18"/>
          <w:szCs w:val="18"/>
          <w:color w:val="auto"/>
        </w:rPr>
        <w:t>24.13. The Board shall be entitled, as it deems appropriate and expedient, to appoint trustees or nominees for those registered shareholders who have failed to notify the Company of a change of their address and who have not applied to the Company in order to receive dividends, shares or debentures out of capital, or other benefits during the aforesaid period. Such trustees or nominees shall be appointed for the use, collection or receipt of dividends, shares or debentures out of capital and rights to subscribe for shares which have not yet been issued and which are offered to the shareholders but they shall not be entitled to transfer the shares in respect of which they were appointed, or to vote on the basis of holding such shares. In all of the terms and conditions governing such trusts and the appointment of such nominees it shall be stipulated by the Company that upon the first demand by a beneficial holder of a share being held by the trustee or nominee, such trustee or nominee shall be obliged to return to such shareholder the share in question and all of those rights held by it on the shareholder’s behalf (all as the case may be). Any act or arrangement effected by</w:t>
      </w:r>
    </w:p>
    <w:p>
      <w:pPr>
        <w:sectPr>
          <w:pgSz w:w="11900" w:h="16838" w:orient="portrait"/>
          <w:cols w:equalWidth="0" w:num="1">
            <w:col w:w="10120"/>
          </w:cols>
          <w:pgMar w:left="1440" w:top="580" w:right="339" w:bottom="0" w:gutter="0" w:footer="0" w:header="0"/>
        </w:sectPr>
      </w:pPr>
    </w:p>
    <w:bookmarkStart w:id="19" w:name="page20"/>
    <w:bookmarkEnd w:id="19"/>
    <w:p>
      <w:pPr>
        <w:ind w:left="600"/>
        <w:spacing w:after="0" w:line="282" w:lineRule="auto"/>
        <w:rPr>
          <w:sz w:val="20"/>
          <w:szCs w:val="20"/>
          <w:color w:val="auto"/>
        </w:rPr>
      </w:pPr>
      <w:r>
        <w:rPr>
          <w:rFonts w:ascii="Times New Roman" w:cs="Times New Roman" w:eastAsia="Times New Roman" w:hAnsi="Times New Roman"/>
          <w:sz w:val="18"/>
          <w:szCs w:val="18"/>
          <w:color w:val="auto"/>
        </w:rPr>
        <w:t>any such nominees or trustee and any agreement between the Board and a nominee or trustee shall be valid and binding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20"/>
          </w:cols>
          <w:pgMar w:left="1440" w:top="121" w:right="839" w:bottom="1440" w:gutter="0" w:footer="0" w:header="0"/>
        </w:sectPr>
      </w:pPr>
    </w:p>
    <w:bookmarkStart w:id="20" w:name="page21"/>
    <w:bookmarkEnd w:id="20"/>
    <w:p>
      <w:pPr>
        <w:ind w:left="325" w:hanging="325"/>
        <w:spacing w:after="0"/>
        <w:tabs>
          <w:tab w:leader="none" w:pos="3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RECORDS AND REGISTERS</w:t>
      </w:r>
    </w:p>
    <w:p>
      <w:pPr>
        <w:spacing w:after="0" w:line="229" w:lineRule="exact"/>
        <w:rPr>
          <w:sz w:val="20"/>
          <w:szCs w:val="20"/>
          <w:color w:val="auto"/>
        </w:rPr>
      </w:pPr>
    </w:p>
    <w:p>
      <w:pPr>
        <w:ind w:left="1145" w:right="20" w:hanging="404"/>
        <w:spacing w:after="0" w:line="282" w:lineRule="auto"/>
        <w:rPr>
          <w:sz w:val="20"/>
          <w:szCs w:val="20"/>
          <w:color w:val="auto"/>
        </w:rPr>
      </w:pPr>
      <w:r>
        <w:rPr>
          <w:rFonts w:ascii="Times New Roman" w:cs="Times New Roman" w:eastAsia="Times New Roman" w:hAnsi="Times New Roman"/>
          <w:sz w:val="18"/>
          <w:szCs w:val="18"/>
          <w:color w:val="auto"/>
        </w:rPr>
        <w:t>25.1. The Company shall comply with all the provisions of the Companies Law in regard to the recording of charges and the keeping and maintaining of a register of directors, the Register and register of charges.</w:t>
      </w:r>
    </w:p>
    <w:p>
      <w:pPr>
        <w:spacing w:after="0" w:line="162" w:lineRule="exact"/>
        <w:rPr>
          <w:sz w:val="20"/>
          <w:szCs w:val="20"/>
          <w:color w:val="auto"/>
        </w:rPr>
      </w:pPr>
    </w:p>
    <w:p>
      <w:pPr>
        <w:ind w:left="1145" w:right="360" w:hanging="404"/>
        <w:spacing w:after="0" w:line="282" w:lineRule="auto"/>
        <w:rPr>
          <w:sz w:val="20"/>
          <w:szCs w:val="20"/>
          <w:color w:val="auto"/>
        </w:rPr>
      </w:pPr>
      <w:r>
        <w:rPr>
          <w:rFonts w:ascii="Times New Roman" w:cs="Times New Roman" w:eastAsia="Times New Roman" w:hAnsi="Times New Roman"/>
          <w:sz w:val="18"/>
          <w:szCs w:val="18"/>
          <w:color w:val="auto"/>
        </w:rPr>
        <w:t>25.2. Any book, register and record that the Company is obliged to keep in accordance with the Companies Law or pursuant to these Articles shall be recorded in a regular book, or by digital, electronic or other means, as the Board shall decide.</w:t>
      </w:r>
    </w:p>
    <w:p>
      <w:pPr>
        <w:spacing w:after="0" w:line="162" w:lineRule="exact"/>
        <w:rPr>
          <w:sz w:val="20"/>
          <w:szCs w:val="20"/>
          <w:color w:val="auto"/>
        </w:rPr>
      </w:pPr>
    </w:p>
    <w:p>
      <w:pPr>
        <w:ind w:left="1145" w:right="40" w:hanging="404"/>
        <w:spacing w:after="0" w:line="261" w:lineRule="auto"/>
        <w:rPr>
          <w:sz w:val="20"/>
          <w:szCs w:val="20"/>
          <w:color w:val="auto"/>
        </w:rPr>
      </w:pPr>
      <w:r>
        <w:rPr>
          <w:rFonts w:ascii="Times New Roman" w:cs="Times New Roman" w:eastAsia="Times New Roman" w:hAnsi="Times New Roman"/>
          <w:sz w:val="18"/>
          <w:szCs w:val="18"/>
          <w:color w:val="auto"/>
        </w:rPr>
        <w:t>25.3. Subject to and in accordance with the provisions of Sections 138 and 139 of the Companies Law, the Company may cause supplementary registers to be kept in any place outside Israel as the Board may deem fit, and, subject to all applicable requirements of the Companies Law, the Board may from time to time adopt such rules and procedures as it may deem fit in connection with the keeping of such supplementary registers.</w:t>
      </w:r>
    </w:p>
    <w:p>
      <w:pPr>
        <w:spacing w:after="0" w:line="176" w:lineRule="exact"/>
        <w:rPr>
          <w:sz w:val="20"/>
          <w:szCs w:val="20"/>
          <w:color w:val="auto"/>
        </w:rPr>
      </w:pPr>
    </w:p>
    <w:p>
      <w:pPr>
        <w:ind w:left="325" w:hanging="325"/>
        <w:spacing w:after="0"/>
        <w:tabs>
          <w:tab w:leader="none" w:pos="3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ind w:left="1105" w:right="20" w:hanging="364"/>
        <w:spacing w:after="0" w:line="258" w:lineRule="auto"/>
        <w:rPr>
          <w:sz w:val="20"/>
          <w:szCs w:val="20"/>
          <w:color w:val="auto"/>
        </w:rPr>
      </w:pPr>
      <w:r>
        <w:rPr>
          <w:rFonts w:ascii="Times New Roman" w:cs="Times New Roman" w:eastAsia="Times New Roman" w:hAnsi="Times New Roman"/>
          <w:sz w:val="18"/>
          <w:szCs w:val="18"/>
          <w:color w:val="auto"/>
        </w:rPr>
        <w:t>26.1.The Board shall keep proper books of account in accordance with the provisions of the Companies Law. The books of account shall be kept at the Office, or at such other place or places as the Board shall deem appropriate, and shall at all times be open to the inspection of members of the Board. A shareholder of the Company who is not a member of the Board shall not have the right to inspect any books or accounts or documents of the Company, unless such right has been expressly granted to him by the Companies Law, or if he has been permitted to do so by the Board.</w:t>
      </w:r>
    </w:p>
    <w:p>
      <w:pPr>
        <w:spacing w:after="0" w:line="183" w:lineRule="exact"/>
        <w:rPr>
          <w:sz w:val="20"/>
          <w:szCs w:val="20"/>
          <w:color w:val="auto"/>
        </w:rPr>
      </w:pPr>
    </w:p>
    <w:p>
      <w:pPr>
        <w:ind w:left="1105" w:right="160" w:hanging="364"/>
        <w:spacing w:after="0" w:line="282" w:lineRule="auto"/>
        <w:rPr>
          <w:sz w:val="20"/>
          <w:szCs w:val="20"/>
          <w:color w:val="auto"/>
        </w:rPr>
      </w:pPr>
      <w:r>
        <w:rPr>
          <w:rFonts w:ascii="Times New Roman" w:cs="Times New Roman" w:eastAsia="Times New Roman" w:hAnsi="Times New Roman"/>
          <w:sz w:val="18"/>
          <w:szCs w:val="18"/>
          <w:color w:val="auto"/>
        </w:rPr>
        <w:t>26.2.At least once each year the accounts of the Company and the correctness of the statement of income and the balance sheet shall be audited and confirmed by an independent auditor.</w:t>
      </w:r>
    </w:p>
    <w:p>
      <w:pPr>
        <w:spacing w:after="0" w:line="162" w:lineRule="exact"/>
        <w:rPr>
          <w:sz w:val="20"/>
          <w:szCs w:val="20"/>
          <w:color w:val="auto"/>
        </w:rPr>
      </w:pPr>
    </w:p>
    <w:p>
      <w:pPr>
        <w:ind w:left="1105" w:hanging="364"/>
        <w:spacing w:after="0" w:line="254" w:lineRule="auto"/>
        <w:rPr>
          <w:sz w:val="20"/>
          <w:szCs w:val="20"/>
          <w:color w:val="auto"/>
        </w:rPr>
      </w:pPr>
      <w:r>
        <w:rPr>
          <w:rFonts w:ascii="Times New Roman" w:cs="Times New Roman" w:eastAsia="Times New Roman" w:hAnsi="Times New Roman"/>
          <w:sz w:val="18"/>
          <w:szCs w:val="18"/>
          <w:color w:val="auto"/>
        </w:rPr>
        <w:t>26.3.The Company shall, in an annual General Meeting, appoint an independent auditor who shall hold such position until the next annual General Meeting, or for a term beyond the aforesaid, provided that such term shall not extend beyond the third (3rd) annual General Meeting following the annual General Meeting at which such independent auditor was appointed, and his appointment, remuneration and rights and duties shall be subject to the provisions of the Companies Law, provided, however, that in exercising its authority to fix the remuneration of the auditor, the shareholders in an annual General Meeting may, by a resolution, act (and in the absence of any action in connection therewith shall be deemed to have so acted) to authorize the Board (with right of delegation to a Committee thereof or to management) to fix such remuneration subject to such criteria or standards, if any, as may be provided in such resolution, and if no such criteria or standards are so provided, such remuneration shall be fixed in an amount commensurate with both the volume and nature of the services rendered by the auditor.</w:t>
      </w:r>
    </w:p>
    <w:p>
      <w:pPr>
        <w:spacing w:after="0" w:line="188" w:lineRule="exact"/>
        <w:rPr>
          <w:sz w:val="20"/>
          <w:szCs w:val="20"/>
          <w:color w:val="auto"/>
        </w:rPr>
      </w:pPr>
    </w:p>
    <w:p>
      <w:pPr>
        <w:ind w:left="1145" w:right="400" w:hanging="404"/>
        <w:spacing w:after="0" w:line="266" w:lineRule="auto"/>
        <w:rPr>
          <w:sz w:val="20"/>
          <w:szCs w:val="20"/>
          <w:color w:val="auto"/>
        </w:rPr>
      </w:pPr>
      <w:r>
        <w:rPr>
          <w:rFonts w:ascii="Times New Roman" w:cs="Times New Roman" w:eastAsia="Times New Roman" w:hAnsi="Times New Roman"/>
          <w:sz w:val="18"/>
          <w:szCs w:val="18"/>
          <w:color w:val="auto"/>
        </w:rPr>
        <w:t>26.4. To the extent required by the Companies Law, the auditor shall be entitled to receive notices of every General Meeting of the Company and to attend such meetings and to express his opinions on all matters pertaining to his function as the auditor of the Company.</w:t>
      </w:r>
    </w:p>
    <w:p>
      <w:pPr>
        <w:spacing w:after="0" w:line="176" w:lineRule="exact"/>
        <w:rPr>
          <w:sz w:val="20"/>
          <w:szCs w:val="20"/>
          <w:color w:val="auto"/>
        </w:rPr>
      </w:pPr>
    </w:p>
    <w:p>
      <w:pPr>
        <w:ind w:left="1145" w:right="380" w:hanging="404"/>
        <w:spacing w:after="0" w:line="266" w:lineRule="auto"/>
        <w:rPr>
          <w:sz w:val="20"/>
          <w:szCs w:val="20"/>
          <w:color w:val="auto"/>
        </w:rPr>
      </w:pPr>
      <w:r>
        <w:rPr>
          <w:rFonts w:ascii="Times New Roman" w:cs="Times New Roman" w:eastAsia="Times New Roman" w:hAnsi="Times New Roman"/>
          <w:sz w:val="18"/>
          <w:szCs w:val="18"/>
          <w:color w:val="auto"/>
        </w:rPr>
        <w:t>26.5. Subject to the provisions of the Companies Law and the U.S. Rules, any act carried out by the auditor of the Company shall be valid as against any person doing business in good faith with the Company, notwithstanding any defect in the appointment or qualification of the auditor.</w:t>
      </w:r>
    </w:p>
    <w:p>
      <w:pPr>
        <w:spacing w:after="0" w:line="176" w:lineRule="exact"/>
        <w:rPr>
          <w:sz w:val="20"/>
          <w:szCs w:val="20"/>
          <w:color w:val="auto"/>
        </w:rPr>
      </w:pPr>
    </w:p>
    <w:p>
      <w:pPr>
        <w:ind w:left="1145" w:right="40" w:hanging="404"/>
        <w:spacing w:after="0" w:line="258" w:lineRule="auto"/>
        <w:rPr>
          <w:sz w:val="20"/>
          <w:szCs w:val="20"/>
          <w:color w:val="auto"/>
        </w:rPr>
      </w:pPr>
      <w:r>
        <w:rPr>
          <w:rFonts w:ascii="Times New Roman" w:cs="Times New Roman" w:eastAsia="Times New Roman" w:hAnsi="Times New Roman"/>
          <w:sz w:val="18"/>
          <w:szCs w:val="18"/>
          <w:color w:val="auto"/>
        </w:rPr>
        <w:t>26.6. To the extent required by the Companies Law, it shall appoint an internal auditor possessing the authorities set forth in the Companies Law. The internal auditor of the Company shall present all of its proposed work plans to the Board or to the audit committee of the Board, as determined by the Board from time to time, and the Board or audit committee (as applicable) shall have the authority to approve them, subject to any modifications in its discretion. Until such time as the Board determines otherwise, the work plan shall be submitted to the audit committee of the Board and approved by it, subject to any modifications in its discretion.</w:t>
      </w:r>
    </w:p>
    <w:p>
      <w:pPr>
        <w:spacing w:after="0" w:line="179" w:lineRule="exact"/>
        <w:rPr>
          <w:sz w:val="20"/>
          <w:szCs w:val="20"/>
          <w:color w:val="auto"/>
        </w:rPr>
      </w:pPr>
    </w:p>
    <w:p>
      <w:pPr>
        <w:ind w:left="325" w:hanging="325"/>
        <w:spacing w:after="0"/>
        <w:tabs>
          <w:tab w:leader="none" w:pos="3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1145" w:right="180" w:hanging="404"/>
        <w:spacing w:after="0" w:line="257" w:lineRule="auto"/>
        <w:rPr>
          <w:sz w:val="20"/>
          <w:szCs w:val="20"/>
          <w:color w:val="auto"/>
        </w:rPr>
      </w:pPr>
      <w:r>
        <w:rPr>
          <w:rFonts w:ascii="Times New Roman" w:cs="Times New Roman" w:eastAsia="Times New Roman" w:hAnsi="Times New Roman"/>
          <w:sz w:val="18"/>
          <w:szCs w:val="18"/>
          <w:color w:val="auto"/>
        </w:rPr>
        <w:t>27.1. The Company may serve any written notice or other document on a shareholder by way of delivery by hand, by facsimile transmission, by email or other electronic transmission, or by dispatch by prepaid registered mail to his address as recorded in the Register, or if there is no such recorded address, to the address given by him to the Company for the sending of notices to</w:t>
      </w:r>
    </w:p>
    <w:p>
      <w:pPr>
        <w:spacing w:after="0" w:line="1" w:lineRule="exact"/>
        <w:rPr>
          <w:sz w:val="20"/>
          <w:szCs w:val="20"/>
          <w:color w:val="auto"/>
        </w:rPr>
      </w:pPr>
    </w:p>
    <w:p>
      <w:pPr>
        <w:ind w:left="1145" w:right="140"/>
        <w:spacing w:after="0" w:line="253" w:lineRule="auto"/>
        <w:rPr>
          <w:sz w:val="20"/>
          <w:szCs w:val="20"/>
          <w:color w:val="auto"/>
        </w:rPr>
      </w:pPr>
      <w:r>
        <w:rPr>
          <w:rFonts w:ascii="Times New Roman" w:cs="Times New Roman" w:eastAsia="Times New Roman" w:hAnsi="Times New Roman"/>
          <w:sz w:val="18"/>
          <w:szCs w:val="18"/>
          <w:color w:val="auto"/>
        </w:rPr>
        <w:t>him. Notwithstanding the foregoing or any other provision to the contrary contained herein, notices or any other information or documents required to be delivered to a shareholder shall be deemed to have been duly delivered if submitted, published, filed or lodged in any manner prescribed by applicable law. With respect to the manner of providing such notices or other disclosures, the Company may distinguish between the shareholders listed on its regular Registry and those listed in any “additional registry”, as defined in Section 138(a) of the Companies Law, administered by a transfer agent or stock exchange registration company.</w:t>
      </w:r>
    </w:p>
    <w:p>
      <w:pPr>
        <w:spacing w:after="0" w:line="187" w:lineRule="exact"/>
        <w:rPr>
          <w:sz w:val="20"/>
          <w:szCs w:val="20"/>
          <w:color w:val="auto"/>
        </w:rPr>
      </w:pPr>
    </w:p>
    <w:p>
      <w:pPr>
        <w:ind w:left="1145" w:right="360" w:hanging="404"/>
        <w:spacing w:after="0" w:line="282" w:lineRule="auto"/>
        <w:rPr>
          <w:sz w:val="20"/>
          <w:szCs w:val="20"/>
          <w:color w:val="auto"/>
        </w:rPr>
      </w:pPr>
      <w:r>
        <w:rPr>
          <w:rFonts w:ascii="Times New Roman" w:cs="Times New Roman" w:eastAsia="Times New Roman" w:hAnsi="Times New Roman"/>
          <w:sz w:val="18"/>
          <w:szCs w:val="18"/>
          <w:color w:val="auto"/>
        </w:rPr>
        <w:t>27.2. Any shareholder may serve any written notice or other document on the Company by way of delivery by hand at the Office, by facsimile or email transmission to the Company or by dispatch by prepaid registered mail to the Company at the Office.</w:t>
      </w:r>
    </w:p>
    <w:p>
      <w:pPr>
        <w:spacing w:after="0" w:line="162" w:lineRule="exact"/>
        <w:rPr>
          <w:sz w:val="20"/>
          <w:szCs w:val="20"/>
          <w:color w:val="auto"/>
        </w:rPr>
      </w:pPr>
    </w:p>
    <w:p>
      <w:pPr>
        <w:jc w:val="both"/>
        <w:ind w:left="1145" w:right="40" w:hanging="404"/>
        <w:spacing w:after="0" w:line="258" w:lineRule="auto"/>
        <w:rPr>
          <w:sz w:val="20"/>
          <w:szCs w:val="20"/>
          <w:color w:val="auto"/>
        </w:rPr>
      </w:pPr>
      <w:r>
        <w:rPr>
          <w:rFonts w:ascii="Times New Roman" w:cs="Times New Roman" w:eastAsia="Times New Roman" w:hAnsi="Times New Roman"/>
          <w:sz w:val="18"/>
          <w:szCs w:val="18"/>
          <w:color w:val="auto"/>
        </w:rPr>
        <w:t>27.3. Any notice or document which is delivered or sent to a shareholder in accordance with these Articles shall be deemed to have been duly delivered and sent in respect of the shares held by him (whether in respect of shares held by him alone or jointly with others), notwithstanding the fact that such shareholder has died or been declared bankrupt at such time (whether or not the Company knew of his death or bankruptcy), and shall be deemed to be sufficient delivery or dispatch to heirs, trustees, administrators or transferees and any other persons (if any) who have a right in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351155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5"/>
          </w:cols>
          <w:pgMar w:left="895" w:top="576" w:right="359" w:bottom="1440" w:gutter="0" w:footer="0" w:header="0"/>
        </w:sectPr>
      </w:pPr>
    </w:p>
    <w:bookmarkStart w:id="21" w:name="page22"/>
    <w:bookmarkEnd w:id="21"/>
    <w:p>
      <w:pPr>
        <w:spacing w:after="0" w:line="3"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8"/>
          <w:szCs w:val="18"/>
          <w:color w:val="auto"/>
        </w:rPr>
        <w:t>27.4. Any such notice or other document shall be deemed to have been served:</w:t>
      </w:r>
    </w:p>
    <w:p>
      <w:pPr>
        <w:spacing w:after="0" w:line="225" w:lineRule="exact"/>
        <w:rPr>
          <w:sz w:val="20"/>
          <w:szCs w:val="20"/>
          <w:color w:val="auto"/>
        </w:rPr>
      </w:pPr>
    </w:p>
    <w:p>
      <w:pPr>
        <w:ind w:left="1925" w:right="480" w:hanging="539"/>
        <w:spacing w:after="0" w:line="282" w:lineRule="auto"/>
        <w:rPr>
          <w:sz w:val="20"/>
          <w:szCs w:val="20"/>
          <w:color w:val="auto"/>
        </w:rPr>
      </w:pPr>
      <w:r>
        <w:rPr>
          <w:rFonts w:ascii="Times New Roman" w:cs="Times New Roman" w:eastAsia="Times New Roman" w:hAnsi="Times New Roman"/>
          <w:sz w:val="18"/>
          <w:szCs w:val="18"/>
          <w:color w:val="auto"/>
        </w:rPr>
        <w:t>27.4.1. in the case of mailing, forty-eight (48) hours after it has been posted, or when actually received by the addressee if sooner than forty-eight (48) hours after it has been posted;</w:t>
      </w:r>
    </w:p>
    <w:p>
      <w:pPr>
        <w:spacing w:after="0" w:line="162" w:lineRule="exact"/>
        <w:rPr>
          <w:sz w:val="20"/>
          <w:szCs w:val="20"/>
          <w:color w:val="auto"/>
        </w:rPr>
      </w:pPr>
    </w:p>
    <w:p>
      <w:pPr>
        <w:ind w:left="1925" w:right="400" w:hanging="539"/>
        <w:spacing w:after="0" w:line="282" w:lineRule="auto"/>
        <w:rPr>
          <w:sz w:val="20"/>
          <w:szCs w:val="20"/>
          <w:color w:val="auto"/>
        </w:rPr>
      </w:pPr>
      <w:r>
        <w:rPr>
          <w:rFonts w:ascii="Times New Roman" w:cs="Times New Roman" w:eastAsia="Times New Roman" w:hAnsi="Times New Roman"/>
          <w:sz w:val="18"/>
          <w:szCs w:val="18"/>
          <w:color w:val="auto"/>
        </w:rPr>
        <w:t>27.4.2. in the case of overnight air courier, on the next day following the day sent, with receipt confirmed by the courier, or when actually received by the addressee if sooner;</w:t>
      </w:r>
    </w:p>
    <w:p>
      <w:pPr>
        <w:spacing w:after="0" w:line="162" w:lineRule="exact"/>
        <w:rPr>
          <w:sz w:val="20"/>
          <w:szCs w:val="20"/>
          <w:color w:val="auto"/>
        </w:rPr>
      </w:pPr>
    </w:p>
    <w:p>
      <w:pPr>
        <w:ind w:left="1385"/>
        <w:spacing w:after="0"/>
        <w:rPr>
          <w:sz w:val="20"/>
          <w:szCs w:val="20"/>
          <w:color w:val="auto"/>
        </w:rPr>
      </w:pPr>
      <w:r>
        <w:rPr>
          <w:rFonts w:ascii="Times New Roman" w:cs="Times New Roman" w:eastAsia="Times New Roman" w:hAnsi="Times New Roman"/>
          <w:sz w:val="18"/>
          <w:szCs w:val="18"/>
          <w:color w:val="auto"/>
        </w:rPr>
        <w:t>27.4.3. in the case of personal delivery, when actually tendered in person to such shareholder;</w:t>
      </w:r>
    </w:p>
    <w:p>
      <w:pPr>
        <w:spacing w:after="0" w:line="225" w:lineRule="exact"/>
        <w:rPr>
          <w:sz w:val="20"/>
          <w:szCs w:val="20"/>
          <w:color w:val="auto"/>
        </w:rPr>
      </w:pPr>
    </w:p>
    <w:p>
      <w:pPr>
        <w:ind w:left="1925" w:right="60" w:hanging="539"/>
        <w:spacing w:after="0" w:line="266" w:lineRule="auto"/>
        <w:rPr>
          <w:sz w:val="20"/>
          <w:szCs w:val="20"/>
          <w:color w:val="auto"/>
        </w:rPr>
      </w:pPr>
      <w:r>
        <w:rPr>
          <w:rFonts w:ascii="Times New Roman" w:cs="Times New Roman" w:eastAsia="Times New Roman" w:hAnsi="Times New Roman"/>
          <w:sz w:val="18"/>
          <w:szCs w:val="18"/>
          <w:color w:val="auto"/>
        </w:rPr>
        <w:t>27.4.4. in the case of facsimile or other electronic transmission (including email), upon transmission, provided that the notice or other document shall not be deemed served if the sender receives an automatic system-generated response that such facsimile or other electronic transmission was undeliverable or not delivered; or</w:t>
      </w:r>
    </w:p>
    <w:p>
      <w:pPr>
        <w:spacing w:after="0" w:line="176" w:lineRule="exact"/>
        <w:rPr>
          <w:sz w:val="20"/>
          <w:szCs w:val="20"/>
          <w:color w:val="auto"/>
        </w:rPr>
      </w:pPr>
    </w:p>
    <w:p>
      <w:pPr>
        <w:ind w:left="1925" w:right="700" w:hanging="539"/>
        <w:spacing w:after="0" w:line="282" w:lineRule="auto"/>
        <w:rPr>
          <w:sz w:val="20"/>
          <w:szCs w:val="20"/>
          <w:color w:val="auto"/>
        </w:rPr>
      </w:pPr>
      <w:r>
        <w:rPr>
          <w:rFonts w:ascii="Times New Roman" w:cs="Times New Roman" w:eastAsia="Times New Roman" w:hAnsi="Times New Roman"/>
          <w:sz w:val="18"/>
          <w:szCs w:val="18"/>
          <w:color w:val="auto"/>
        </w:rPr>
        <w:t xml:space="preserve">27.4.5. in the case a notice is, in fact, received by the addressee, when received, notwithstanding that it was defectively addressed or failed, in some other respect, to comply with the provisions of this </w:t>
      </w:r>
      <w:r>
        <w:rPr>
          <w:rFonts w:ascii="Times New Roman" w:cs="Times New Roman" w:eastAsia="Times New Roman" w:hAnsi="Times New Roman"/>
          <w:sz w:val="18"/>
          <w:szCs w:val="18"/>
          <w:u w:val="single" w:color="auto"/>
          <w:color w:val="auto"/>
        </w:rPr>
        <w:t>Article 27.4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color w:val="auto"/>
        </w:rPr>
        <w:t>27.5. Any shareholder whose address is not described in the Register, and who shall not have designated in writing an address for the</w:t>
      </w:r>
    </w:p>
    <w:p>
      <w:pPr>
        <w:spacing w:after="0" w:line="27" w:lineRule="exact"/>
        <w:rPr>
          <w:sz w:val="20"/>
          <w:szCs w:val="20"/>
          <w:color w:val="auto"/>
        </w:rPr>
      </w:pPr>
    </w:p>
    <w:p>
      <w:pPr>
        <w:ind w:left="1145" w:right="280"/>
        <w:spacing w:after="0" w:line="255" w:lineRule="auto"/>
        <w:rPr>
          <w:sz w:val="20"/>
          <w:szCs w:val="20"/>
          <w:color w:val="auto"/>
        </w:rPr>
      </w:pPr>
      <w:r>
        <w:rPr>
          <w:rFonts w:ascii="Times New Roman" w:cs="Times New Roman" w:eastAsia="Times New Roman" w:hAnsi="Times New Roman"/>
          <w:sz w:val="18"/>
          <w:szCs w:val="18"/>
          <w:color w:val="auto"/>
        </w:rPr>
        <w:t>receipt of notices, shall not be entitled to receive any notice from the Company. In the case of joint holders of a share, the Company shall be entitled to deliver a notice by dispatch to the joint holder whose name stands first in the Register in respect of such share.</w:t>
      </w:r>
    </w:p>
    <w:p>
      <w:pPr>
        <w:spacing w:after="0" w:line="186" w:lineRule="exact"/>
        <w:rPr>
          <w:sz w:val="20"/>
          <w:szCs w:val="20"/>
          <w:color w:val="auto"/>
        </w:rPr>
      </w:pPr>
    </w:p>
    <w:p>
      <w:pPr>
        <w:ind w:left="1145" w:right="260" w:hanging="404"/>
        <w:spacing w:after="0" w:line="282" w:lineRule="auto"/>
        <w:rPr>
          <w:sz w:val="20"/>
          <w:szCs w:val="20"/>
          <w:color w:val="auto"/>
        </w:rPr>
      </w:pPr>
      <w:r>
        <w:rPr>
          <w:rFonts w:ascii="Times New Roman" w:cs="Times New Roman" w:eastAsia="Times New Roman" w:hAnsi="Times New Roman"/>
          <w:sz w:val="18"/>
          <w:szCs w:val="18"/>
          <w:color w:val="auto"/>
        </w:rPr>
        <w:t>27.6. Whenever it is necessary to give notice of a particular number of days or a notice for another period, the day of delivery shall be counted in the number of calendar days or the period, unless otherwise specified.</w:t>
      </w:r>
    </w:p>
    <w:p>
      <w:pPr>
        <w:spacing w:after="0" w:line="162" w:lineRule="exact"/>
        <w:rPr>
          <w:sz w:val="20"/>
          <w:szCs w:val="20"/>
          <w:color w:val="auto"/>
        </w:rPr>
      </w:pPr>
    </w:p>
    <w:p>
      <w:pPr>
        <w:ind w:left="1145" w:right="180" w:hanging="404"/>
        <w:spacing w:after="0" w:line="261" w:lineRule="auto"/>
        <w:rPr>
          <w:sz w:val="20"/>
          <w:szCs w:val="20"/>
          <w:color w:val="auto"/>
        </w:rPr>
      </w:pPr>
      <w:r>
        <w:rPr>
          <w:rFonts w:ascii="Times New Roman" w:cs="Times New Roman" w:eastAsia="Times New Roman" w:hAnsi="Times New Roman"/>
          <w:sz w:val="18"/>
          <w:szCs w:val="18"/>
          <w:color w:val="auto"/>
        </w:rPr>
        <w:t>27.7. Notwithstanding anything to the contrary contained herein, notice by the Company of a General Meeting, containing the information required to be set forth in such notice under these Articles, which is published, within the time otherwise required for giving notice of such meeting, in either or several of the following manners shall be deemed to be notice of such meeting duly given or service of such materials on the date of such publication:</w:t>
      </w:r>
    </w:p>
    <w:p>
      <w:pPr>
        <w:spacing w:after="0" w:line="180" w:lineRule="exact"/>
        <w:rPr>
          <w:sz w:val="20"/>
          <w:szCs w:val="20"/>
          <w:color w:val="auto"/>
        </w:rPr>
      </w:pPr>
    </w:p>
    <w:p>
      <w:pPr>
        <w:ind w:left="1385"/>
        <w:spacing w:after="0"/>
        <w:rPr>
          <w:sz w:val="20"/>
          <w:szCs w:val="20"/>
          <w:color w:val="auto"/>
        </w:rPr>
      </w:pPr>
      <w:r>
        <w:rPr>
          <w:rFonts w:ascii="Times New Roman" w:cs="Times New Roman" w:eastAsia="Times New Roman" w:hAnsi="Times New Roman"/>
          <w:sz w:val="18"/>
          <w:szCs w:val="18"/>
          <w:color w:val="auto"/>
        </w:rPr>
        <w:t>27.7.1. on the Company’s website; and/or</w:t>
      </w:r>
    </w:p>
    <w:p>
      <w:pPr>
        <w:spacing w:after="0" w:line="225" w:lineRule="exact"/>
        <w:rPr>
          <w:sz w:val="20"/>
          <w:szCs w:val="20"/>
          <w:color w:val="auto"/>
        </w:rPr>
      </w:pPr>
    </w:p>
    <w:p>
      <w:pPr>
        <w:ind w:left="1385"/>
        <w:spacing w:after="0"/>
        <w:rPr>
          <w:sz w:val="20"/>
          <w:szCs w:val="20"/>
          <w:color w:val="auto"/>
        </w:rPr>
      </w:pPr>
      <w:r>
        <w:rPr>
          <w:rFonts w:ascii="Times New Roman" w:cs="Times New Roman" w:eastAsia="Times New Roman" w:hAnsi="Times New Roman"/>
          <w:sz w:val="18"/>
          <w:szCs w:val="18"/>
          <w:color w:val="auto"/>
        </w:rPr>
        <w:t>27.7.2. in a report or a schedule filed with, or furnished to, the SEC.</w:t>
      </w:r>
    </w:p>
    <w:p>
      <w:pPr>
        <w:spacing w:after="0" w:line="221" w:lineRule="exact"/>
        <w:rPr>
          <w:sz w:val="20"/>
          <w:szCs w:val="20"/>
          <w:color w:val="auto"/>
        </w:rPr>
      </w:pPr>
    </w:p>
    <w:p>
      <w:pPr>
        <w:ind w:left="325" w:hanging="325"/>
        <w:spacing w:after="0"/>
        <w:tabs>
          <w:tab w:leader="none" w:pos="3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 INDEMNITY AND EXCULPATION</w:t>
      </w:r>
    </w:p>
    <w:p>
      <w:pPr>
        <w:spacing w:after="0" w:line="229" w:lineRule="exact"/>
        <w:rPr>
          <w:sz w:val="20"/>
          <w:szCs w:val="20"/>
          <w:color w:val="auto"/>
        </w:rPr>
      </w:pPr>
    </w:p>
    <w:p>
      <w:pPr>
        <w:ind w:left="1145" w:right="120" w:hanging="404"/>
        <w:spacing w:after="0" w:line="266" w:lineRule="auto"/>
        <w:rPr>
          <w:sz w:val="20"/>
          <w:szCs w:val="20"/>
          <w:color w:val="auto"/>
        </w:rPr>
      </w:pPr>
      <w:r>
        <w:rPr>
          <w:rFonts w:ascii="Times New Roman" w:cs="Times New Roman" w:eastAsia="Times New Roman" w:hAnsi="Times New Roman"/>
          <w:sz w:val="18"/>
          <w:szCs w:val="18"/>
          <w:color w:val="auto"/>
        </w:rPr>
        <w:t>28.1. Subject to the provisions of the Companies Law, the Company shall be entitled to enter into a contract to insure all or part of the liability of an Office Holder of the Company, imposed on him in consequence of an act which he has performed by virtue of being an Office Holder, in respect of any of the following:</w:t>
      </w:r>
    </w:p>
    <w:p>
      <w:pPr>
        <w:spacing w:after="0" w:line="176" w:lineRule="exact"/>
        <w:rPr>
          <w:sz w:val="20"/>
          <w:szCs w:val="20"/>
          <w:color w:val="auto"/>
        </w:rPr>
      </w:pPr>
    </w:p>
    <w:p>
      <w:pPr>
        <w:ind w:left="1385"/>
        <w:spacing w:after="0"/>
        <w:rPr>
          <w:sz w:val="20"/>
          <w:szCs w:val="20"/>
          <w:color w:val="auto"/>
        </w:rPr>
      </w:pPr>
      <w:r>
        <w:rPr>
          <w:rFonts w:ascii="Times New Roman" w:cs="Times New Roman" w:eastAsia="Times New Roman" w:hAnsi="Times New Roman"/>
          <w:sz w:val="18"/>
          <w:szCs w:val="18"/>
          <w:color w:val="auto"/>
        </w:rPr>
        <w:t>28.1.1. The breach of a duty of care to the Company or to any other person;</w:t>
      </w:r>
    </w:p>
    <w:p>
      <w:pPr>
        <w:spacing w:after="0" w:line="225" w:lineRule="exact"/>
        <w:rPr>
          <w:sz w:val="20"/>
          <w:szCs w:val="20"/>
          <w:color w:val="auto"/>
        </w:rPr>
      </w:pPr>
    </w:p>
    <w:p>
      <w:pPr>
        <w:ind w:left="1925" w:right="140" w:hanging="539"/>
        <w:spacing w:after="0" w:line="282" w:lineRule="auto"/>
        <w:rPr>
          <w:sz w:val="20"/>
          <w:szCs w:val="20"/>
          <w:color w:val="auto"/>
        </w:rPr>
      </w:pPr>
      <w:r>
        <w:rPr>
          <w:rFonts w:ascii="Times New Roman" w:cs="Times New Roman" w:eastAsia="Times New Roman" w:hAnsi="Times New Roman"/>
          <w:sz w:val="18"/>
          <w:szCs w:val="18"/>
          <w:color w:val="auto"/>
        </w:rPr>
        <w:t>28.1.2. The breach of a duty of loyalty to the Company, provided that the Office Holder acted in good faith and had reasonable grounds for believing that the action would not adversely affect the best interests of the Company;</w:t>
      </w:r>
    </w:p>
    <w:p>
      <w:pPr>
        <w:spacing w:after="0" w:line="162" w:lineRule="exact"/>
        <w:rPr>
          <w:sz w:val="20"/>
          <w:szCs w:val="20"/>
          <w:color w:val="auto"/>
        </w:rPr>
      </w:pPr>
    </w:p>
    <w:p>
      <w:pPr>
        <w:ind w:left="1385"/>
        <w:spacing w:after="0"/>
        <w:rPr>
          <w:sz w:val="20"/>
          <w:szCs w:val="20"/>
          <w:color w:val="auto"/>
        </w:rPr>
      </w:pPr>
      <w:r>
        <w:rPr>
          <w:rFonts w:ascii="Times New Roman" w:cs="Times New Roman" w:eastAsia="Times New Roman" w:hAnsi="Times New Roman"/>
          <w:sz w:val="18"/>
          <w:szCs w:val="18"/>
          <w:color w:val="auto"/>
        </w:rPr>
        <w:t>28.1.3. A pecuniary liability imposed on him in favor of any other person; or</w:t>
      </w:r>
    </w:p>
    <w:p>
      <w:pPr>
        <w:spacing w:after="0" w:line="225" w:lineRule="exact"/>
        <w:rPr>
          <w:sz w:val="20"/>
          <w:szCs w:val="20"/>
          <w:color w:val="auto"/>
        </w:rPr>
      </w:pPr>
    </w:p>
    <w:p>
      <w:pPr>
        <w:ind w:left="1925" w:right="380" w:hanging="539"/>
        <w:spacing w:after="0" w:line="282" w:lineRule="auto"/>
        <w:rPr>
          <w:sz w:val="20"/>
          <w:szCs w:val="20"/>
          <w:color w:val="auto"/>
        </w:rPr>
      </w:pPr>
      <w:r>
        <w:rPr>
          <w:rFonts w:ascii="Times New Roman" w:cs="Times New Roman" w:eastAsia="Times New Roman" w:hAnsi="Times New Roman"/>
          <w:sz w:val="18"/>
          <w:szCs w:val="18"/>
          <w:color w:val="auto"/>
        </w:rPr>
        <w:t>28.1.4. Any other circumstances arising under the law with respect to which the Company may, or will be able to, insure an Office Holder.</w:t>
      </w:r>
    </w:p>
    <w:p>
      <w:pPr>
        <w:spacing w:after="0" w:line="162" w:lineRule="exact"/>
        <w:rPr>
          <w:sz w:val="20"/>
          <w:szCs w:val="20"/>
          <w:color w:val="auto"/>
        </w:rPr>
      </w:pPr>
    </w:p>
    <w:p>
      <w:pPr>
        <w:ind w:left="1145" w:right="120" w:hanging="404"/>
        <w:spacing w:after="0" w:line="258" w:lineRule="auto"/>
        <w:rPr>
          <w:sz w:val="20"/>
          <w:szCs w:val="20"/>
          <w:color w:val="auto"/>
        </w:rPr>
      </w:pPr>
      <w:r>
        <w:rPr>
          <w:rFonts w:ascii="Times New Roman" w:cs="Times New Roman" w:eastAsia="Times New Roman" w:hAnsi="Times New Roman"/>
          <w:sz w:val="18"/>
          <w:szCs w:val="18"/>
          <w:color w:val="auto"/>
        </w:rPr>
        <w:t xml:space="preserve">28.2. Subject to the provisions of the Companies Law, the Company shall be entitled to indemnify an Office Holder of the Company, to the fullest extent permitted by applicable law. Subject to the provisions of the Companies Law, the Company may retroactively to indemnify an Office Holder with respect to the following liabilities and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of the below cases, that such liabilities or expenses were incurred by such Office Holder in connection with an action performed by such Office Holder in his capacity as an Office Holder of the Company:</w:t>
      </w:r>
    </w:p>
    <w:p>
      <w:pPr>
        <w:spacing w:after="0" w:line="183" w:lineRule="exact"/>
        <w:rPr>
          <w:sz w:val="20"/>
          <w:szCs w:val="20"/>
          <w:color w:val="auto"/>
        </w:rPr>
      </w:pPr>
    </w:p>
    <w:p>
      <w:pPr>
        <w:ind w:left="1925" w:right="320" w:hanging="539"/>
        <w:spacing w:after="0" w:line="282" w:lineRule="auto"/>
        <w:rPr>
          <w:sz w:val="20"/>
          <w:szCs w:val="20"/>
          <w:color w:val="auto"/>
        </w:rPr>
      </w:pPr>
      <w:r>
        <w:rPr>
          <w:rFonts w:ascii="Times New Roman" w:cs="Times New Roman" w:eastAsia="Times New Roman" w:hAnsi="Times New Roman"/>
          <w:sz w:val="18"/>
          <w:szCs w:val="18"/>
          <w:color w:val="auto"/>
        </w:rPr>
        <w:t>28.2.1. a monetary liability imposed on him in favor of a third party in any judgment, including any settlement confirmed as judgment and an arbitrator’s award which has been confirmed by the court;</w:t>
      </w:r>
    </w:p>
    <w:p>
      <w:pPr>
        <w:spacing w:after="0" w:line="162" w:lineRule="exact"/>
        <w:rPr>
          <w:sz w:val="20"/>
          <w:szCs w:val="20"/>
          <w:color w:val="auto"/>
        </w:rPr>
      </w:pPr>
    </w:p>
    <w:p>
      <w:pPr>
        <w:ind w:left="1925" w:right="60" w:hanging="539"/>
        <w:spacing w:after="0" w:line="255" w:lineRule="auto"/>
        <w:rPr>
          <w:sz w:val="20"/>
          <w:szCs w:val="20"/>
          <w:color w:val="auto"/>
        </w:rPr>
      </w:pPr>
      <w:r>
        <w:rPr>
          <w:rFonts w:ascii="Times New Roman" w:cs="Times New Roman" w:eastAsia="Times New Roman" w:hAnsi="Times New Roman"/>
          <w:sz w:val="18"/>
          <w:szCs w:val="18"/>
          <w:color w:val="auto"/>
        </w:rPr>
        <w:t>28.2.2. reasonable litigation expenses, including legal fees, paid for by the Office Holder, in an investigation or proceeding conducted against such Office Holder by an agency authorized to conduct such investigation or proceeding, and which investigation or proceeding: (i) concluded without the filing of an indictment (as defined in the Companies Law) against such Office Holder and without a monetary liability having been imposed against such Office Holder in lieu of a criminal proceeding (as defined in the Companies Law); or (ii) concluded without the filing of an indictment against such Office Holder but with a monetary liability having been imposed against such Office Holder in lieu of a criminal proceeding for an offense that does not require proof of criminal intent; or (iii) involves financial sanction;</w:t>
      </w:r>
    </w:p>
    <w:p>
      <w:pPr>
        <w:spacing w:after="0" w:line="189" w:lineRule="exact"/>
        <w:rPr>
          <w:sz w:val="20"/>
          <w:szCs w:val="20"/>
          <w:color w:val="auto"/>
        </w:rPr>
      </w:pPr>
    </w:p>
    <w:p>
      <w:pPr>
        <w:ind w:left="1925" w:right="120" w:hanging="539"/>
        <w:spacing w:after="0" w:line="281" w:lineRule="auto"/>
        <w:rPr>
          <w:sz w:val="20"/>
          <w:szCs w:val="20"/>
          <w:color w:val="auto"/>
        </w:rPr>
      </w:pPr>
      <w:r>
        <w:rPr>
          <w:rFonts w:ascii="Times New Roman" w:cs="Times New Roman" w:eastAsia="Times New Roman" w:hAnsi="Times New Roman"/>
          <w:sz w:val="17"/>
          <w:szCs w:val="17"/>
          <w:color w:val="auto"/>
        </w:rPr>
        <w:t>28.2.3. reasonable litigation expenses, including legal fees, paid for by the Office Holder, or which the Office Holder is obligated to pay under a court order or ruling, in a proceeding brought against the Office Holder by the Company, or on its behalf, or by a third party, or in a criminal proceeding in which the Office Holder is found innocent, or in a criminal proceeding in which the Office Holder was convicted of an offense that does not require proof of criminal intent; and</w:t>
      </w:r>
    </w:p>
    <w:p>
      <w:pPr>
        <w:spacing w:after="0" w:line="164" w:lineRule="exact"/>
        <w:rPr>
          <w:sz w:val="20"/>
          <w:szCs w:val="20"/>
          <w:color w:val="auto"/>
        </w:rPr>
      </w:pPr>
    </w:p>
    <w:p>
      <w:pPr>
        <w:ind w:left="1925" w:hanging="539"/>
        <w:spacing w:after="0" w:line="312" w:lineRule="auto"/>
        <w:rPr>
          <w:sz w:val="20"/>
          <w:szCs w:val="20"/>
          <w:color w:val="auto"/>
        </w:rPr>
      </w:pPr>
      <w:r>
        <w:rPr>
          <w:rFonts w:ascii="Times New Roman" w:cs="Times New Roman" w:eastAsia="Times New Roman" w:hAnsi="Times New Roman"/>
          <w:sz w:val="17"/>
          <w:szCs w:val="17"/>
          <w:color w:val="auto"/>
        </w:rPr>
        <w:t>28.2.4. any other event, occurrence or circumstances in respect of which the Company may lawfully indemnify an Office Holder of the Company (including, without limitation, indemnification with respect to the matters referred to under Section</w:t>
      </w:r>
    </w:p>
    <w:p>
      <w:pPr>
        <w:sectPr>
          <w:pgSz w:w="11900" w:h="16841" w:orient="portrait"/>
          <w:cols w:equalWidth="0" w:num="1">
            <w:col w:w="10645"/>
          </w:cols>
          <w:pgMar w:left="895" w:top="580" w:right="359" w:bottom="0" w:gutter="0" w:footer="0" w:header="0"/>
        </w:sectPr>
      </w:pPr>
    </w:p>
    <w:bookmarkStart w:id="22" w:name="page23"/>
    <w:bookmarkEnd w:id="22"/>
    <w:p>
      <w:pPr>
        <w:ind w:left="1380"/>
        <w:spacing w:after="0" w:line="282" w:lineRule="auto"/>
        <w:rPr>
          <w:sz w:val="20"/>
          <w:szCs w:val="20"/>
          <w:color w:val="auto"/>
        </w:rPr>
      </w:pPr>
      <w:r>
        <w:rPr>
          <w:rFonts w:ascii="Times New Roman" w:cs="Times New Roman" w:eastAsia="Times New Roman" w:hAnsi="Times New Roman"/>
          <w:sz w:val="18"/>
          <w:szCs w:val="18"/>
          <w:color w:val="auto"/>
        </w:rPr>
        <w:t>56h(b)(1) of the Israeli Securities Law, 5728-1968, as amended, and Section 50P(b)(2) of the Israeli Economic Competition Law 5748-1988).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121" w:right="1119" w:bottom="1440" w:gutter="0" w:footer="0" w:header="0"/>
        </w:sectPr>
      </w:pPr>
    </w:p>
    <w:bookmarkStart w:id="23" w:name="page24"/>
    <w:bookmarkEnd w:id="23"/>
    <w:p>
      <w:pPr>
        <w:ind w:left="1560" w:right="40" w:hanging="404"/>
        <w:spacing w:after="0" w:line="255" w:lineRule="auto"/>
        <w:rPr>
          <w:sz w:val="20"/>
          <w:szCs w:val="20"/>
          <w:color w:val="auto"/>
        </w:rPr>
      </w:pPr>
      <w:r>
        <w:rPr>
          <w:rFonts w:ascii="Times New Roman" w:cs="Times New Roman" w:eastAsia="Times New Roman" w:hAnsi="Times New Roman"/>
          <w:sz w:val="18"/>
          <w:szCs w:val="18"/>
          <w:color w:val="auto"/>
        </w:rPr>
        <w:t>28.3. The Company may undertake to indemnify an Office Holder as aforesaid in Articles 28.2.1, 28.2.2, 28.2.3 and 28.2.4 prospectively, provided that, with respect to the matters set forth in Article 28‎.2.1, any indemnification undertaking with respect to the foregoing shall be limited (a) to events which, in the opinion of the Board, are foreseeable in light of the Company’s actual operations at the time of granting the indemnification undertaking, and (b) to an amount or by criteria determined by the Board to be reasonable in the given circumstances, and (c) the events that in the opinion of the Board are foreseeable in light of the Company’s actual operations at the time of granting the indemnification undertaking are listed in the indemnification undertaking together with the amount or criteria determined by the Board to be reasonable in the given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-716915</wp:posOffset>
            </wp:positionV>
            <wp:extent cx="631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31190" cy="8890"/>
                    </a:xfrm>
                    <a:prstGeom prst="rect">
                      <a:avLst/>
                    </a:prstGeom>
                    <a:noFill/>
                  </pic:spPr>
                </pic:pic>
              </a:graphicData>
            </a:graphic>
          </wp:anchor>
        </w:drawing>
      </w:r>
    </w:p>
    <w:p>
      <w:pPr>
        <w:spacing w:after="0" w:line="169" w:lineRule="exact"/>
        <w:rPr>
          <w:sz w:val="20"/>
          <w:szCs w:val="20"/>
          <w:color w:val="auto"/>
        </w:rPr>
      </w:pPr>
    </w:p>
    <w:p>
      <w:pPr>
        <w:jc w:val="both"/>
        <w:ind w:left="1560" w:right="240" w:hanging="404"/>
        <w:spacing w:after="0" w:line="266" w:lineRule="auto"/>
        <w:rPr>
          <w:sz w:val="20"/>
          <w:szCs w:val="20"/>
          <w:color w:val="auto"/>
        </w:rPr>
      </w:pPr>
      <w:r>
        <w:rPr>
          <w:rFonts w:ascii="Times New Roman" w:cs="Times New Roman" w:eastAsia="Times New Roman" w:hAnsi="Times New Roman"/>
          <w:sz w:val="18"/>
          <w:szCs w:val="18"/>
          <w:color w:val="auto"/>
        </w:rPr>
        <w:t>28.4. Subject to the provisions of the Companies Law including the receipt of all approvals as required therein or under any applicable law, the Company may, to the maximum extent permitted by the Companies Law, exempt and release, including in advance, any Office Holder from any liability for damages arising out of a breach of a duty of care towards the Company.</w:t>
      </w:r>
    </w:p>
    <w:p>
      <w:pPr>
        <w:spacing w:after="0" w:line="176" w:lineRule="exact"/>
        <w:rPr>
          <w:sz w:val="20"/>
          <w:szCs w:val="20"/>
          <w:color w:val="auto"/>
        </w:rPr>
      </w:pPr>
    </w:p>
    <w:p>
      <w:pPr>
        <w:ind w:left="1560" w:right="40" w:hanging="404"/>
        <w:spacing w:after="0" w:line="261" w:lineRule="auto"/>
        <w:rPr>
          <w:sz w:val="20"/>
          <w:szCs w:val="20"/>
          <w:color w:val="auto"/>
        </w:rPr>
      </w:pPr>
      <w:r>
        <w:rPr>
          <w:rFonts w:ascii="Times New Roman" w:cs="Times New Roman" w:eastAsia="Times New Roman" w:hAnsi="Times New Roman"/>
          <w:sz w:val="18"/>
          <w:szCs w:val="18"/>
          <w:color w:val="auto"/>
        </w:rPr>
        <w:t xml:space="preserve">28.5. Any amendment to the Companies Law or other applicable law adversely affecting the right of any Office Holder to be indemnified or insured pursuant to </w:t>
      </w:r>
      <w:r>
        <w:rPr>
          <w:rFonts w:ascii="Times New Roman" w:cs="Times New Roman" w:eastAsia="Times New Roman" w:hAnsi="Times New Roman"/>
          <w:sz w:val="18"/>
          <w:szCs w:val="18"/>
          <w:u w:val="single" w:color="auto"/>
          <w:color w:val="auto"/>
        </w:rPr>
        <w:t>Articles 28.1, 28.2, 28.3 and 28.4</w:t>
      </w:r>
      <w:r>
        <w:rPr>
          <w:rFonts w:ascii="Times New Roman" w:cs="Times New Roman" w:eastAsia="Times New Roman" w:hAnsi="Times New Roman"/>
          <w:sz w:val="18"/>
          <w:szCs w:val="18"/>
          <w:color w:val="auto"/>
        </w:rPr>
        <w:t xml:space="preserve"> and any amendments to such Articles shall be prospective in effect, and shall not affect the Company’s obligation or ability to indemnify or insure an Office Holder for any act or omission occurring prior to such amendment, unless otherwise provided by applicable law.</w:t>
      </w:r>
    </w:p>
    <w:p>
      <w:pPr>
        <w:spacing w:after="0" w:line="180" w:lineRule="exact"/>
        <w:rPr>
          <w:sz w:val="20"/>
          <w:szCs w:val="20"/>
          <w:color w:val="auto"/>
        </w:rPr>
      </w:pPr>
    </w:p>
    <w:p>
      <w:pPr>
        <w:ind w:left="1560" w:right="120" w:hanging="404"/>
        <w:spacing w:after="0" w:line="258" w:lineRule="auto"/>
        <w:rPr>
          <w:sz w:val="20"/>
          <w:szCs w:val="20"/>
          <w:color w:val="auto"/>
        </w:rPr>
      </w:pPr>
      <w:r>
        <w:rPr>
          <w:rFonts w:ascii="Times New Roman" w:cs="Times New Roman" w:eastAsia="Times New Roman" w:hAnsi="Times New Roman"/>
          <w:sz w:val="18"/>
          <w:szCs w:val="18"/>
          <w:color w:val="auto"/>
        </w:rPr>
        <w:t xml:space="preserve">28.6. The provisions of </w:t>
      </w:r>
      <w:r>
        <w:rPr>
          <w:rFonts w:ascii="Times New Roman" w:cs="Times New Roman" w:eastAsia="Times New Roman" w:hAnsi="Times New Roman"/>
          <w:sz w:val="18"/>
          <w:szCs w:val="18"/>
          <w:u w:val="single" w:color="auto"/>
          <w:color w:val="auto"/>
        </w:rPr>
        <w:t>Articles 28.1, 28.2, 28.3 and 28.4</w:t>
      </w:r>
      <w:r>
        <w:rPr>
          <w:rFonts w:ascii="Times New Roman" w:cs="Times New Roman" w:eastAsia="Times New Roman" w:hAnsi="Times New Roman"/>
          <w:sz w:val="18"/>
          <w:szCs w:val="18"/>
          <w:color w:val="auto"/>
        </w:rPr>
        <w:t xml:space="preserve"> are not intended, and shall not be interpreted so as to restrict the Company, in any manner, in respect of the procurement of insurance or in respect of indemnification or exculpation, in favor of any person who is not an Office Holder, including, without limitation, any employee, agent, consultant or contractor of the Company who is not an Office Holder; or any Office Holder to the extent that such insurance and/or indemnification is not specifically prohibited under law.</w:t>
      </w:r>
    </w:p>
    <w:p>
      <w:pPr>
        <w:spacing w:after="0" w:line="179" w:lineRule="exact"/>
        <w:rPr>
          <w:sz w:val="20"/>
          <w:szCs w:val="20"/>
          <w:color w:val="auto"/>
        </w:rPr>
      </w:pPr>
    </w:p>
    <w:p>
      <w:pPr>
        <w:ind w:left="740" w:hanging="325"/>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WINDING-UP AND REORGANIZATION</w:t>
      </w:r>
    </w:p>
    <w:p>
      <w:pPr>
        <w:spacing w:after="0" w:line="229" w:lineRule="exact"/>
        <w:rPr>
          <w:sz w:val="20"/>
          <w:szCs w:val="20"/>
          <w:color w:val="auto"/>
        </w:rPr>
      </w:pPr>
    </w:p>
    <w:p>
      <w:pPr>
        <w:jc w:val="both"/>
        <w:ind w:left="1560" w:right="220" w:hanging="404"/>
        <w:spacing w:after="0" w:line="266" w:lineRule="auto"/>
        <w:rPr>
          <w:sz w:val="20"/>
          <w:szCs w:val="20"/>
          <w:color w:val="auto"/>
        </w:rPr>
      </w:pPr>
      <w:r>
        <w:rPr>
          <w:rFonts w:ascii="Times New Roman" w:cs="Times New Roman" w:eastAsia="Times New Roman" w:hAnsi="Times New Roman"/>
          <w:sz w:val="18"/>
          <w:szCs w:val="18"/>
          <w:color w:val="auto"/>
        </w:rPr>
        <w:t>29.1. Should the Company be wound up and assets of the Company remain available for distribution after covering all the Company’s outstanding liabilities, such assets shall be distributed among the shareholders pro rata to the nominal value of the paid-up capital on the shares held by each of them.</w:t>
      </w:r>
    </w:p>
    <w:p>
      <w:pPr>
        <w:spacing w:after="0" w:line="176" w:lineRule="exact"/>
        <w:rPr>
          <w:sz w:val="20"/>
          <w:szCs w:val="20"/>
          <w:color w:val="auto"/>
        </w:rPr>
      </w:pPr>
    </w:p>
    <w:p>
      <w:pPr>
        <w:ind w:left="1560" w:hanging="404"/>
        <w:spacing w:after="0" w:line="253" w:lineRule="auto"/>
        <w:rPr>
          <w:sz w:val="20"/>
          <w:szCs w:val="20"/>
          <w:color w:val="auto"/>
        </w:rPr>
      </w:pPr>
      <w:r>
        <w:rPr>
          <w:rFonts w:ascii="Times New Roman" w:cs="Times New Roman" w:eastAsia="Times New Roman" w:hAnsi="Times New Roman"/>
          <w:sz w:val="18"/>
          <w:szCs w:val="18"/>
          <w:color w:val="auto"/>
        </w:rPr>
        <w:t>29.2. Upon the sale of the Company’s assets, the Board may, or in the case of a liquidation, the liquidators may, if authorized to do so by a resolution of the Company, accept fully or partly paid-up shares, or securities of another company, Israeli or non-Israeli, whether in existence at such time or about to be formed, in order to purchase the property of the Company, or part thereof, and to the extent permitted under the Companies Law, the Board may (or in the case of a liquidation, the liquidators may) distribute the aforesaid shares or securities or any other property of the Company among the shareholders without realizing the same, or may deposit the same in the hands of trustees for the shareholders, and the General Meeting by a resolution may decide, subject to the provisions of the Companies Law, on the distribution or allotment of cash, shares or other securities, or the property of the Company and on the valuation of the aforesaid securities or property at such price and in such manner as the shareholders at such General Meeting shall decide, and all of the shareholders shall be obliged to accept any valuation or distribution determined as aforesaid and to waive their rights in this regard, except, in a case in which the Company is about to be wound-up and is in the process of liquidation, for those legal rights (if any) which, according to the provisions of the Companies Law, may not be changed or modified.</w:t>
      </w:r>
    </w:p>
    <w:p>
      <w:pPr>
        <w:spacing w:after="0" w:line="188" w:lineRule="exact"/>
        <w:rPr>
          <w:sz w:val="20"/>
          <w:szCs w:val="20"/>
          <w:color w:val="auto"/>
        </w:rPr>
      </w:pPr>
    </w:p>
    <w:p>
      <w:pPr>
        <w:ind w:left="740" w:hanging="325"/>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TRANSLATION AND BINDING EFFECT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Articles may be translated into Hebrew and/or into other languages. Notwithstanding the aforesaid, the English version of these Articles shall be binding upon the Company, its shareholders and/or any third party and shall supersede any translation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1080"/>
          </w:cols>
          <w:pgMar w:left="480" w:top="58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TO AMENDED AND RESTATED NON-EMPLOYEE DIRECTOR AND OFFICER COMPENSATION POLICY</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2.2.3 Insurance, Exculpation and Indemnification. The directors and officers of the Company shall be entitled to benefit from the insurance, exculpation and indemnification arrangements to the fullest extent permitted by applicable law, to be approved from time to time by the Company, pursuant to the provisions of the Articles of Association of the Company and applicable law. The insurance arrangements shall provide coverage in such amounts as shall be determined by the Compensation Committee of the Company, and, if required by applicable law, the Board, and may include “run-off” (a/k/a “tail”) provisions for a period of up to the later of (i) 10 years after the termination of their services with the Company, and (ii) the resolution of existing claims, and such insurance arrangements may also include Public Offering of Securities Insurance (POSI) or similar insurance. The insurance arrangements (which may also cover the liability of any controlling shareholders of the Company and their relatives (within the meanings of such terms in the Companies Law), in their capacity as directors and officers of the Company) shall be subject to the following limitations, which shall be determined by the Compensation Committee of the Company, and, if required by applicable law, the Board: (i) the annual premium to be paid by the Company as well as the amount of the deductible for the Company shall be on market terms as of the date of the issuance of the policy; and (ii) the cost of the policy to the Company shall not have a material impact on the Company’s profitability, assets or liabilities.</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March 29, 2017 and May 3,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April 19,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 Date/Effective Date: May 9,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August 29,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April 26,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June 8,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17,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June 7,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7,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June 8,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July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September 7,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June 14,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August 6,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June 30, 2025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Approved by the Stockholders: August 26, 2025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19, 2026</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Approved by the Stockholders: June 22, 2026</w:t>
      </w:r>
    </w:p>
    <w:p>
      <w:pPr>
        <w:spacing w:after="0" w:line="203"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540" w:hanging="388"/>
        <w:spacing w:after="0"/>
        <w:tabs>
          <w:tab w:leader="none" w:pos="54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560" w:hanging="408"/>
        <w:spacing w:after="0"/>
        <w:tabs>
          <w:tab w:leader="none" w:pos="5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types of Awards: (i) Incentive Stock Options, (ii) Nonstatutory Stock Options,</w:t>
      </w:r>
    </w:p>
    <w:p>
      <w:pPr>
        <w:spacing w:after="0" w:line="31" w:lineRule="exact"/>
        <w:rPr>
          <w:rFonts w:ascii="Times New Roman" w:cs="Times New Roman" w:eastAsia="Times New Roman" w:hAnsi="Times New Roman"/>
          <w:sz w:val="18"/>
          <w:szCs w:val="18"/>
          <w:b w:val="1"/>
          <w:bCs w:val="1"/>
          <w:color w:val="auto"/>
        </w:rPr>
      </w:pPr>
    </w:p>
    <w:p>
      <w:pPr>
        <w:ind w:left="160" w:right="140" w:hanging="8"/>
        <w:spacing w:after="0" w:line="260" w:lineRule="auto"/>
        <w:tabs>
          <w:tab w:leader="none" w:pos="47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(iv) Restricted Stock Awards, (v) Restricted Stock Unit Awards, (vi) Performance Stock Awards, (vii) Performance Cash Awards, and (viii) Other Stock Awards.</w:t>
      </w:r>
    </w:p>
    <w:p>
      <w:pPr>
        <w:spacing w:after="0" w:line="177" w:lineRule="exact"/>
        <w:rPr>
          <w:rFonts w:ascii="Times New Roman" w:cs="Times New Roman" w:eastAsia="Times New Roman" w:hAnsi="Times New Roman"/>
          <w:sz w:val="18"/>
          <w:szCs w:val="18"/>
          <w:color w:val="auto"/>
        </w:rPr>
      </w:pPr>
    </w:p>
    <w:p>
      <w:pPr>
        <w:ind w:left="160" w:hanging="8"/>
        <w:spacing w:after="0" w:line="268" w:lineRule="auto"/>
        <w:tabs>
          <w:tab w:leader="none" w:pos="54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 of Awards, is intended to help the Company secure and retain the services of eligible award recipients,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provide a means by which the eligible recipients may benefit from increases in value of the Ordinary Shares.</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60" w:right="80" w:hanging="8"/>
        <w:spacing w:after="0" w:line="286" w:lineRule="auto"/>
        <w:tabs>
          <w:tab w:leader="none" w:pos="55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Section 2(c).</w:t>
      </w:r>
    </w:p>
    <w:p>
      <w:pPr>
        <w:spacing w:after="0" w:line="154" w:lineRule="exact"/>
        <w:rPr>
          <w:rFonts w:ascii="Times New Roman" w:cs="Times New Roman" w:eastAsia="Times New Roman" w:hAnsi="Times New Roman"/>
          <w:sz w:val="18"/>
          <w:szCs w:val="18"/>
          <w:b w:val="1"/>
          <w:bCs w:val="1"/>
          <w:color w:val="auto"/>
        </w:rPr>
      </w:pPr>
    </w:p>
    <w:p>
      <w:pPr>
        <w:ind w:left="560" w:hanging="390"/>
        <w:spacing w:after="0"/>
        <w:tabs>
          <w:tab w:leader="none" w:pos="560"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determine: (A) who will be granted Awards; (B) when and how each Award will be granted; (C) what type of Award will be granted; (D) the</w:t>
      </w:r>
    </w:p>
    <w:p>
      <w:pPr>
        <w:spacing w:after="0" w:line="27" w:lineRule="exact"/>
        <w:rPr>
          <w:sz w:val="20"/>
          <w:szCs w:val="20"/>
          <w:color w:val="auto"/>
        </w:rPr>
      </w:pPr>
    </w:p>
    <w:p>
      <w:pPr>
        <w:ind w:left="660" w:right="320" w:hanging="274"/>
        <w:spacing w:after="0" w:line="187" w:lineRule="auto"/>
        <w:tabs>
          <w:tab w:leader="none" w:pos="660" w:val="left"/>
        </w:tabs>
        <w:numPr>
          <w:ilvl w:val="0"/>
          <w:numId w:val="3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provisions of each Award (which need not be identical), including when a person will be permitted to exercise or otherwise receive cash or Ordinary Shares under the Award; (E) the number of Ordinary Shares subject to, or the cash value of, an Award; and (F) the Fair Market Value applicable to a Stock Award.</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administration of the</w:t>
      </w:r>
    </w:p>
    <w:p>
      <w:pPr>
        <w:spacing w:after="0" w:line="27" w:lineRule="exact"/>
        <w:rPr>
          <w:sz w:val="20"/>
          <w:szCs w:val="20"/>
          <w:color w:val="auto"/>
        </w:rPr>
      </w:pPr>
    </w:p>
    <w:p>
      <w:pPr>
        <w:ind w:left="700" w:right="240" w:hanging="314"/>
        <w:spacing w:after="0" w:line="187" w:lineRule="auto"/>
        <w:tabs>
          <w:tab w:leader="none" w:pos="700" w:val="left"/>
        </w:tabs>
        <w:numPr>
          <w:ilvl w:val="0"/>
          <w:numId w:val="3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200" w:lineRule="exact"/>
        <w:rPr>
          <w:rFonts w:ascii="Times New Roman" w:cs="Times New Roman" w:eastAsia="Times New Roman" w:hAnsi="Times New Roman"/>
          <w:sz w:val="36"/>
          <w:szCs w:val="36"/>
          <w:color w:val="auto"/>
          <w:vertAlign w:val="subscript"/>
        </w:rPr>
      </w:pPr>
    </w:p>
    <w:p>
      <w:pPr>
        <w:ind w:left="600" w:hanging="214"/>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color w:val="auto"/>
        </w:rPr>
      </w:pPr>
    </w:p>
    <w:p>
      <w:pPr>
        <w:ind w:left="720" w:right="360" w:hanging="334"/>
        <w:spacing w:after="0" w:line="184" w:lineRule="auto"/>
        <w:tabs>
          <w:tab w:leader="none" w:pos="720" w:val="left"/>
        </w:tabs>
        <w:numPr>
          <w:ilvl w:val="0"/>
          <w:numId w:val="3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 accelerate, in whole or in part, the time at which an Award may be exercised or vest (or the time at which cash or Ordinary Shares may be issued in settlement thereof).</w:t>
      </w:r>
    </w:p>
    <w:p>
      <w:pPr>
        <w:spacing w:after="0" w:line="198" w:lineRule="exact"/>
        <w:rPr>
          <w:rFonts w:ascii="Times New Roman" w:cs="Times New Roman" w:eastAsia="Times New Roman" w:hAnsi="Times New Roman"/>
          <w:sz w:val="34"/>
          <w:szCs w:val="34"/>
          <w:color w:val="auto"/>
          <w:vertAlign w:val="subscript"/>
        </w:rPr>
      </w:pPr>
    </w:p>
    <w:p>
      <w:pPr>
        <w:ind w:left="680" w:right="140" w:hanging="294"/>
        <w:spacing w:after="0" w:line="184" w:lineRule="auto"/>
        <w:tabs>
          <w:tab w:leader="none" w:pos="680" w:val="left"/>
        </w:tabs>
        <w:numPr>
          <w:ilvl w:val="0"/>
          <w:numId w:val="3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w:t>
      </w:r>
    </w:p>
    <w:p>
      <w:pPr>
        <w:spacing w:after="0" w:line="198" w:lineRule="exact"/>
        <w:rPr>
          <w:sz w:val="20"/>
          <w:szCs w:val="20"/>
          <w:color w:val="auto"/>
        </w:rPr>
      </w:pPr>
    </w:p>
    <w:p>
      <w:pPr>
        <w:jc w:val="both"/>
        <w:ind w:left="740" w:right="240"/>
        <w:spacing w:after="0" w:line="269" w:lineRule="auto"/>
        <w:rPr>
          <w:sz w:val="20"/>
          <w:szCs w:val="20"/>
          <w:color w:val="auto"/>
        </w:rPr>
      </w:pPr>
      <w:r>
        <w:rPr>
          <w:rFonts w:ascii="Times New Roman" w:cs="Times New Roman" w:eastAsia="Times New Roman" w:hAnsi="Times New Roman"/>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(taking into account any permissible and effective opting out by the Company from</w:t>
      </w:r>
    </w:p>
    <w:p>
      <w:pPr>
        <w:spacing w:after="0" w:line="3" w:lineRule="exact"/>
        <w:rPr>
          <w:sz w:val="20"/>
          <w:szCs w:val="20"/>
          <w:color w:val="auto"/>
        </w:rPr>
      </w:pPr>
    </w:p>
    <w:p>
      <w:pPr>
        <w:ind w:left="740" w:right="20" w:hanging="354"/>
        <w:spacing w:after="0" w:line="219" w:lineRule="auto"/>
        <w:tabs>
          <w:tab w:leader="none" w:pos="740" w:val="left"/>
        </w:tabs>
        <w:numPr>
          <w:ilvl w:val="0"/>
          <w:numId w:val="3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such requirements), and except as provided in Section 9(a) relating to Capitalization Adjustments, the Company will seek stockholder approval of any amendment of the Plan that (A) materially increases the number of Ordinary Shares available for issuance under the Plan, (B) materially expands the class of individuals eligible to receive Awards under the Plan, (C) materially increases the benefits accruing to Participants under the Plan, (D) materially reduces the price at which Ordinary Shares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98" w:lineRule="exact"/>
        <w:rPr>
          <w:rFonts w:ascii="Times New Roman" w:cs="Times New Roman" w:eastAsia="Times New Roman" w:hAnsi="Times New Roman"/>
          <w:sz w:val="36"/>
          <w:szCs w:val="36"/>
          <w:color w:val="auto"/>
          <w:vertAlign w:val="subscript"/>
        </w:rPr>
      </w:pPr>
    </w:p>
    <w:p>
      <w:pPr>
        <w:ind w:left="800" w:right="360" w:hanging="414"/>
        <w:spacing w:after="0" w:line="312" w:lineRule="auto"/>
        <w:tabs>
          <w:tab w:leader="none" w:pos="8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submit any amendment to the Plan for stockholder approval, including, but not limited to, amendments to the Plan intended to satisfy the requirements of (A) Section 162(m) of the Code regarding the exclusion of performance-based compensation from the limit on corporate</w:t>
      </w:r>
    </w:p>
    <w:p>
      <w:pPr>
        <w:sectPr>
          <w:pgSz w:w="11900" w:h="16838" w:orient="portrait"/>
          <w:cols w:equalWidth="0" w:num="1">
            <w:col w:w="11240"/>
          </w:cols>
          <w:pgMar w:left="320" w:top="333" w:right="339" w:bottom="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deductibility of compensation paid to Covered Employees, (B) Section 422 of the Code regarding “incentive stock options” and/or (C)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337185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1120" w:top="121" w:right="339" w:bottom="1440" w:gutter="0" w:footer="0" w:header="0"/>
        </w:sectPr>
      </w:pPr>
    </w:p>
    <w:bookmarkStart w:id="27" w:name="page28"/>
    <w:bookmarkEnd w:id="27"/>
    <w:p>
      <w:pPr>
        <w:ind w:left="832" w:right="40"/>
        <w:spacing w:after="0" w:line="254" w:lineRule="auto"/>
        <w:rPr>
          <w:sz w:val="20"/>
          <w:szCs w:val="20"/>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w:t>
      </w:r>
    </w:p>
    <w:p>
      <w:pPr>
        <w:spacing w:after="0" w:line="3" w:lineRule="exact"/>
        <w:rPr>
          <w:sz w:val="20"/>
          <w:szCs w:val="20"/>
          <w:color w:val="auto"/>
        </w:rPr>
      </w:pPr>
    </w:p>
    <w:p>
      <w:pPr>
        <w:ind w:left="832" w:right="160" w:hanging="454"/>
        <w:spacing w:after="0" w:line="252" w:lineRule="auto"/>
        <w:tabs>
          <w:tab w:leader="none" w:pos="8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and/or (D) to comply with other applicable laws or listing requirements.</w:t>
      </w:r>
    </w:p>
    <w:p>
      <w:pPr>
        <w:spacing w:after="0" w:line="189" w:lineRule="exact"/>
        <w:rPr>
          <w:rFonts w:ascii="Times New Roman" w:cs="Times New Roman" w:eastAsia="Times New Roman" w:hAnsi="Times New Roman"/>
          <w:sz w:val="18"/>
          <w:szCs w:val="18"/>
          <w:color w:val="auto"/>
        </w:rPr>
      </w:pPr>
    </w:p>
    <w:p>
      <w:pPr>
        <w:ind w:left="732" w:right="520" w:hanging="354"/>
        <w:spacing w:after="0" w:line="184" w:lineRule="auto"/>
        <w:tabs>
          <w:tab w:leader="none" w:pos="732" w:val="left"/>
        </w:tabs>
        <w:numPr>
          <w:ilvl w:val="0"/>
          <w:numId w:val="3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98"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w:t>
      </w:r>
    </w:p>
    <w:p>
      <w:pPr>
        <w:spacing w:after="0" w:line="27" w:lineRule="exact"/>
        <w:rPr>
          <w:sz w:val="20"/>
          <w:szCs w:val="20"/>
          <w:color w:val="auto"/>
        </w:rPr>
      </w:pPr>
    </w:p>
    <w:p>
      <w:pPr>
        <w:ind w:left="672" w:right="100" w:hanging="294"/>
        <w:spacing w:after="0" w:line="290" w:lineRule="auto"/>
        <w:tabs>
          <w:tab w:leader="none" w:pos="672" w:val="left"/>
        </w:tabs>
        <w:numPr>
          <w:ilvl w:val="3"/>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are not United States nationals or who are employed outside the United States (provided that Board approval will not be necessary for immaterial modifications to the Plan or any Award Agreement that are required for compliance with the laws of the relevant foreign jurisdiction).</w:t>
      </w:r>
    </w:p>
    <w:p>
      <w:pPr>
        <w:spacing w:after="0" w:line="153" w:lineRule="exact"/>
        <w:rPr>
          <w:rFonts w:ascii="Times New Roman" w:cs="Times New Roman" w:eastAsia="Times New Roman" w:hAnsi="Times New Roman"/>
          <w:sz w:val="17"/>
          <w:szCs w:val="17"/>
          <w:color w:val="auto"/>
        </w:rPr>
      </w:pPr>
    </w:p>
    <w:p>
      <w:pPr>
        <w:ind w:left="532" w:hanging="388"/>
        <w:spacing w:after="0"/>
        <w:tabs>
          <w:tab w:leader="none" w:pos="532"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left="492" w:right="100" w:hanging="6"/>
        <w:spacing w:after="0" w:line="256" w:lineRule="auto"/>
        <w:tabs>
          <w:tab w:leader="none" w:pos="707" w:val="left"/>
        </w:tabs>
        <w:numPr>
          <w:ilvl w:val="4"/>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2" w:lineRule="exact"/>
        <w:rPr>
          <w:rFonts w:ascii="Times New Roman" w:cs="Times New Roman" w:eastAsia="Times New Roman" w:hAnsi="Times New Roman"/>
          <w:sz w:val="18"/>
          <w:szCs w:val="18"/>
          <w:b w:val="1"/>
          <w:bCs w:val="1"/>
          <w:color w:val="auto"/>
        </w:rPr>
      </w:pPr>
    </w:p>
    <w:p>
      <w:pPr>
        <w:ind w:left="492" w:right="100" w:hanging="6"/>
        <w:spacing w:after="0" w:line="286" w:lineRule="auto"/>
        <w:tabs>
          <w:tab w:leader="none" w:pos="757" w:val="left"/>
        </w:tabs>
        <w:numPr>
          <w:ilvl w:val="4"/>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162(m) and Rule 16b-3 Compliance. </w:t>
      </w:r>
      <w:r>
        <w:rPr>
          <w:rFonts w:ascii="Times New Roman" w:cs="Times New Roman" w:eastAsia="Times New Roman" w:hAnsi="Times New Roman"/>
          <w:sz w:val="18"/>
          <w:szCs w:val="18"/>
          <w:color w:val="auto"/>
        </w:rPr>
        <w:t>The Committee may consist solely of two or more Outside Directors, in accordance with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162(m) of the Code, or solely of two or more Non-Employee Directors, in accordance with Rule 16b-3.</w:t>
      </w:r>
    </w:p>
    <w:p>
      <w:pPr>
        <w:spacing w:after="0" w:line="154" w:lineRule="exact"/>
        <w:rPr>
          <w:rFonts w:ascii="Times New Roman" w:cs="Times New Roman" w:eastAsia="Times New Roman" w:hAnsi="Times New Roman"/>
          <w:sz w:val="18"/>
          <w:szCs w:val="18"/>
          <w:b w:val="1"/>
          <w:bCs w:val="1"/>
          <w:color w:val="auto"/>
        </w:rPr>
      </w:pPr>
    </w:p>
    <w:p>
      <w:pPr>
        <w:ind w:left="172" w:hanging="10"/>
        <w:spacing w:after="0" w:line="255" w:lineRule="auto"/>
        <w:tabs>
          <w:tab w:leader="none" w:pos="572"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may delegate to one (1) or more Officers the authority to do one or both of the following (i)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who are not Officers to be recipients of Options and SARs (and, to the extent permitted by applicable law, other Stock Awards) and, to the extent permitted by applicable law, the terms of such Awards, and (ii) determine the number of Ordinary Shares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Ordinary Shares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Fair Market Value.</w:t>
      </w:r>
    </w:p>
    <w:p>
      <w:pPr>
        <w:spacing w:after="0" w:line="184" w:lineRule="exact"/>
        <w:rPr>
          <w:rFonts w:ascii="Times New Roman" w:cs="Times New Roman" w:eastAsia="Times New Roman" w:hAnsi="Times New Roman"/>
          <w:sz w:val="18"/>
          <w:szCs w:val="18"/>
          <w:b w:val="1"/>
          <w:bCs w:val="1"/>
          <w:color w:val="auto"/>
        </w:rPr>
      </w:pPr>
    </w:p>
    <w:p>
      <w:pPr>
        <w:ind w:left="172" w:right="60" w:hanging="10"/>
        <w:spacing w:after="0" w:line="262" w:lineRule="auto"/>
        <w:tabs>
          <w:tab w:leader="none" w:pos="551"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Repricing of Awards. </w:t>
      </w:r>
      <w:r>
        <w:rPr>
          <w:rFonts w:ascii="Times New Roman" w:cs="Times New Roman" w:eastAsia="Times New Roman" w:hAnsi="Times New Roman"/>
          <w:sz w:val="18"/>
          <w:szCs w:val="18"/>
          <w:color w:val="auto"/>
        </w:rPr>
        <w:t>Neither the Board nor any Committee will have the authority to (i) reduce the exercise or strike price of any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SAR or (ii) cancel any outstanding Option or SAR that has an exercise or strike price (per share) greater than the then-current Fair Market Value of the Ordinary Shares in exchange for cash or other Stock Awards under the Plan, unless the shareholders of the Company have approved such an action within twelve (12) months prior to such an event.</w:t>
      </w:r>
    </w:p>
    <w:p>
      <w:pPr>
        <w:spacing w:after="0" w:line="176" w:lineRule="exact"/>
        <w:rPr>
          <w:rFonts w:ascii="Times New Roman" w:cs="Times New Roman" w:eastAsia="Times New Roman" w:hAnsi="Times New Roman"/>
          <w:sz w:val="18"/>
          <w:szCs w:val="18"/>
          <w:b w:val="1"/>
          <w:bCs w:val="1"/>
          <w:color w:val="auto"/>
        </w:rPr>
      </w:pPr>
    </w:p>
    <w:p>
      <w:pPr>
        <w:ind w:left="172" w:right="140" w:hanging="10"/>
        <w:spacing w:after="0" w:line="286" w:lineRule="auto"/>
        <w:tabs>
          <w:tab w:leader="none" w:pos="532"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Decision. </w:t>
      </w:r>
      <w:r>
        <w:rPr>
          <w:rFonts w:ascii="Times New Roman" w:cs="Times New Roman" w:eastAsia="Times New Roman" w:hAnsi="Times New Roman"/>
          <w:sz w:val="18"/>
          <w:szCs w:val="18"/>
          <w:color w:val="auto"/>
        </w:rPr>
        <w:t>All determinations, interpretations and constructions made by the Board in good faith will not be subject to review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72" w:right="20" w:hanging="10"/>
        <w:spacing w:after="0" w:line="257" w:lineRule="auto"/>
        <w:tabs>
          <w:tab w:leader="none" w:pos="562"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the aggregate number of Ordinary Shares that may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Stock Awards from and after the Effective Date will not exceed 9,750,167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172" w:right="20" w:hanging="10"/>
        <w:spacing w:after="0" w:line="257" w:lineRule="auto"/>
        <w:tabs>
          <w:tab w:leader="none" w:pos="572"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 (i) expires or otherwise terminates without all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termination or settlement will not reduce (or otherwise offset) the number of Ordinary Shares that may be available for issuance under the Plan and the Ordinary Shares relating to such Stock Award (or portion thereof) will again become available for issuance under the Plan. If any Ordinary Shares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152" w:hanging="8"/>
        <w:spacing w:after="0" w:line="256" w:lineRule="auto"/>
        <w:tabs>
          <w:tab w:leader="none" w:pos="39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The following shares will not become available again for issuance under the Plan: (A)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reacquired or withheld (or not issued) by the Company to satisfy the exercise, strike or purchase price of a Stock Award granted under the Plan (including any shares subject to such award that are not delivered because such award is exercised through a reduction of shares subject to such award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“net exercised”)); (B) any shares that are reacquired or withheld (or not issued) by the Company to satisfy a tax withholding obligation in connection with a Stock Award granted under the Plan; (C) any shares repurchased by the Company on the open market with the proceeds of the exercise, strike or purchase price of a Stock Award; and (D) in the event that a Stock Appreciation Right is settled in shares, the gross number of shares subject to such award.</w:t>
      </w:r>
    </w:p>
    <w:p>
      <w:pPr>
        <w:sectPr>
          <w:pgSz w:w="11900" w:h="16838" w:orient="portrait"/>
          <w:cols w:equalWidth="0" w:num="1">
            <w:col w:w="11232"/>
          </w:cols>
          <w:pgMar w:left="328" w:top="580" w:right="339" w:bottom="112" w:gutter="0" w:footer="0" w:header="0"/>
        </w:sectPr>
      </w:pPr>
    </w:p>
    <w:bookmarkStart w:id="28" w:name="page29"/>
    <w:bookmarkEnd w:id="28"/>
    <w:p>
      <w:pPr>
        <w:ind w:left="10" w:hanging="10"/>
        <w:spacing w:after="0" w:line="286" w:lineRule="auto"/>
        <w:tabs>
          <w:tab w:leader="none" w:pos="41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provisions of Section 9(a) relating to Capitalization Adjustments, the aggregate maximum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that may be issued pursuant to the exercise of Incentive Stock Options will be 5,600,000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335280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0"/>
          </w:cols>
          <w:pgMar w:left="490" w:top="117" w:right="379" w:bottom="1440" w:gutter="0" w:footer="0" w:header="0"/>
        </w:sectPr>
      </w:pPr>
    </w:p>
    <w:bookmarkStart w:id="29" w:name="page30"/>
    <w:bookmarkEnd w:id="29"/>
    <w:p>
      <w:pPr>
        <w:ind w:left="172" w:right="100" w:hanging="10"/>
        <w:spacing w:after="0" w:line="286" w:lineRule="auto"/>
        <w:tabs>
          <w:tab w:leader="none" w:pos="551"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162(m) Limitations</w:t>
      </w:r>
      <w:r>
        <w:rPr>
          <w:rFonts w:ascii="Times New Roman" w:cs="Times New Roman" w:eastAsia="Times New Roman" w:hAnsi="Times New Roman"/>
          <w:sz w:val="18"/>
          <w:szCs w:val="18"/>
          <w:color w:val="auto"/>
        </w:rPr>
        <w:t>. Subject to the provisions of Section 9(a) relating to Capitalization Adjustments, at such time as the Company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applicable provisions of Section 162(m) of the Code, the following limitations shall apply.</w:t>
      </w:r>
    </w:p>
    <w:p>
      <w:pPr>
        <w:spacing w:after="0" w:line="158" w:lineRule="exact"/>
        <w:rPr>
          <w:rFonts w:ascii="Times New Roman" w:cs="Times New Roman" w:eastAsia="Times New Roman" w:hAnsi="Times New Roman"/>
          <w:sz w:val="18"/>
          <w:szCs w:val="18"/>
          <w:b w:val="1"/>
          <w:bCs w:val="1"/>
          <w:color w:val="auto"/>
        </w:rPr>
      </w:pPr>
    </w:p>
    <w:p>
      <w:pPr>
        <w:ind w:left="492" w:hanging="6"/>
        <w:spacing w:after="0" w:line="255" w:lineRule="auto"/>
        <w:tabs>
          <w:tab w:leader="none" w:pos="707"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of 500,000 Ordinary Shares subject to Options, SARs and Other Stock Awards whose value is determined by reference to an increase over an exercise or strike price of at least 100% of the Fair Market Value on the date the Stock Award is granted may be granted to any one Participant during any one calendar year. Notwithstanding the foregoing, if any additional Options, SARs or Other Stock Awards whose value is determined by reference to an increase over an exercise or strike price of at least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88" w:lineRule="exact"/>
        <w:rPr>
          <w:rFonts w:ascii="Times New Roman" w:cs="Times New Roman" w:eastAsia="Times New Roman" w:hAnsi="Times New Roman"/>
          <w:sz w:val="18"/>
          <w:szCs w:val="18"/>
          <w:color w:val="auto"/>
        </w:rPr>
      </w:pPr>
    </w:p>
    <w:p>
      <w:pPr>
        <w:ind w:left="492" w:right="240" w:hanging="6"/>
        <w:spacing w:after="0" w:line="282" w:lineRule="auto"/>
        <w:tabs>
          <w:tab w:leader="none" w:pos="757"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of 500,000 Ordinary Shares subject to Performance Stock Awards may be granted to any one Participant during any one calendar year (whether the grant, vesting or exercise is contingent upon the attainment during the Performance Period of the Performance Goals).</w:t>
      </w:r>
    </w:p>
    <w:p>
      <w:pPr>
        <w:spacing w:after="0" w:line="161" w:lineRule="exact"/>
        <w:rPr>
          <w:rFonts w:ascii="Times New Roman" w:cs="Times New Roman" w:eastAsia="Times New Roman" w:hAnsi="Times New Roman"/>
          <w:sz w:val="18"/>
          <w:szCs w:val="18"/>
          <w:color w:val="auto"/>
        </w:rPr>
      </w:pPr>
    </w:p>
    <w:p>
      <w:pPr>
        <w:ind w:left="792" w:hanging="306"/>
        <w:spacing w:after="0"/>
        <w:tabs>
          <w:tab w:leader="none" w:pos="792"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of $3.0 million may be granted as a Performance Cash Award to any one Participant during any one calendar year.</w:t>
      </w:r>
    </w:p>
    <w:p>
      <w:pPr>
        <w:spacing w:after="0" w:line="221" w:lineRule="exact"/>
        <w:rPr>
          <w:rFonts w:ascii="Times New Roman" w:cs="Times New Roman" w:eastAsia="Times New Roman" w:hAnsi="Times New Roman"/>
          <w:sz w:val="18"/>
          <w:szCs w:val="18"/>
          <w:color w:val="auto"/>
        </w:rPr>
      </w:pPr>
    </w:p>
    <w:p>
      <w:pPr>
        <w:ind w:left="172" w:right="300" w:hanging="10"/>
        <w:spacing w:after="0" w:line="286" w:lineRule="auto"/>
        <w:tabs>
          <w:tab w:leader="none" w:pos="532"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Except as otherwise provided herein, the stock issuable under the Plan will be shares of authorized but unissued or reacquired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including 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right="40" w:hanging="8"/>
        <w:spacing w:after="0" w:line="272" w:lineRule="auto"/>
        <w:tabs>
          <w:tab w:leader="none" w:pos="542" w:val="left"/>
        </w:tabs>
        <w:numPr>
          <w:ilvl w:val="1"/>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 for Specific Stock Awards</w:t>
      </w:r>
      <w:r>
        <w:rPr>
          <w:rFonts w:ascii="Times New Roman" w:cs="Times New Roman" w:eastAsia="Times New Roman" w:hAnsi="Times New Roman"/>
          <w:sz w:val="17"/>
          <w:szCs w:val="17"/>
          <w:color w:val="auto"/>
        </w:rPr>
        <w:t>. Incentive Stock Options may be granted only to employees of the Company or a “parent corporation”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Stock Awards may not be granted to Employees, Directors and Consultants who are providing Continuous Service only to any “parent” of the Company, as such term is defined in Rule 405 of the Securities Act, unless</w:t>
      </w:r>
    </w:p>
    <w:p>
      <w:pPr>
        <w:jc w:val="both"/>
        <w:ind w:left="152" w:right="40" w:hanging="8"/>
        <w:spacing w:after="0" w:line="253" w:lineRule="auto"/>
        <w:tabs>
          <w:tab w:leader="none" w:pos="3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84" w:lineRule="exact"/>
        <w:rPr>
          <w:rFonts w:ascii="Times New Roman" w:cs="Times New Roman" w:eastAsia="Times New Roman" w:hAnsi="Times New Roman"/>
          <w:sz w:val="18"/>
          <w:szCs w:val="18"/>
          <w:color w:val="auto"/>
        </w:rPr>
      </w:pPr>
    </w:p>
    <w:p>
      <w:pPr>
        <w:ind w:left="152" w:right="120" w:hanging="8"/>
        <w:spacing w:after="0" w:line="286" w:lineRule="auto"/>
        <w:tabs>
          <w:tab w:leader="none" w:pos="55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 Option is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110% of the Fair Market Value on the date of grant and the Option is not exercisable after the expiration of five years from the date of grant.</w:t>
      </w:r>
    </w:p>
    <w:p>
      <w:pPr>
        <w:spacing w:after="0" w:line="15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2" w:right="60"/>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Ordinary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185" w:lineRule="exact"/>
        <w:rPr>
          <w:sz w:val="20"/>
          <w:szCs w:val="20"/>
          <w:color w:val="auto"/>
        </w:rPr>
      </w:pPr>
    </w:p>
    <w:p>
      <w:pPr>
        <w:ind w:left="152" w:right="260" w:hanging="8"/>
        <w:spacing w:after="0" w:line="286" w:lineRule="auto"/>
        <w:tabs>
          <w:tab w:leader="none" w:pos="54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years from the date of its grant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left="152" w:right="100" w:hanging="8"/>
        <w:spacing w:after="0" w:line="257" w:lineRule="auto"/>
        <w:tabs>
          <w:tab w:leader="none" w:pos="5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not less than 100% of the Fair Market Value of the Ordinary Shares subject to the Option or SAR on the date the Award is granted. Notwithstanding the foregoing, an Option or SAR may be granted with an exercise or strike price lower than 100% of the Fair Market Value of the Ordinary Shares subject to the Award 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Ordinary Shares equivalents.</w:t>
      </w:r>
    </w:p>
    <w:p>
      <w:pPr>
        <w:spacing w:after="0" w:line="182" w:lineRule="exact"/>
        <w:rPr>
          <w:rFonts w:ascii="Times New Roman" w:cs="Times New Roman" w:eastAsia="Times New Roman" w:hAnsi="Times New Roman"/>
          <w:sz w:val="18"/>
          <w:szCs w:val="18"/>
          <w:b w:val="1"/>
          <w:bCs w:val="1"/>
          <w:color w:val="auto"/>
        </w:rPr>
      </w:pPr>
    </w:p>
    <w:p>
      <w:pPr>
        <w:ind w:left="152" w:right="120" w:hanging="8"/>
        <w:spacing w:after="0" w:line="259" w:lineRule="auto"/>
        <w:tabs>
          <w:tab w:leader="none" w:pos="53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Ordinary Shares acquired pursuant to the exercise of an Option may be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3" w:lineRule="exact"/>
        <w:rPr>
          <w:rFonts w:ascii="Times New Roman" w:cs="Times New Roman" w:eastAsia="Times New Roman" w:hAnsi="Times New Roman"/>
          <w:sz w:val="18"/>
          <w:szCs w:val="18"/>
          <w:b w:val="1"/>
          <w:bCs w:val="1"/>
          <w:color w:val="auto"/>
        </w:rPr>
      </w:pPr>
    </w:p>
    <w:p>
      <w:pPr>
        <w:ind w:left="692" w:hanging="224"/>
        <w:spacing w:after="0"/>
        <w:tabs>
          <w:tab w:leader="none" w:pos="6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color w:val="auto"/>
        </w:rPr>
      </w:pPr>
    </w:p>
    <w:p>
      <w:pPr>
        <w:ind w:left="472" w:right="60" w:hanging="4"/>
        <w:spacing w:after="0" w:line="266" w:lineRule="auto"/>
        <w:tabs>
          <w:tab w:leader="none" w:pos="73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color w:val="auto"/>
        </w:rPr>
      </w:pPr>
    </w:p>
    <w:p>
      <w:pPr>
        <w:ind w:left="792" w:hanging="324"/>
        <w:spacing w:after="0"/>
        <w:tabs>
          <w:tab w:leader="none" w:pos="7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by actual delivery or attestation) of Ordinary Shares;</w:t>
      </w:r>
    </w:p>
    <w:p>
      <w:pPr>
        <w:spacing w:after="0" w:line="225" w:lineRule="exact"/>
        <w:rPr>
          <w:rFonts w:ascii="Times New Roman" w:cs="Times New Roman" w:eastAsia="Times New Roman" w:hAnsi="Times New Roman"/>
          <w:sz w:val="18"/>
          <w:szCs w:val="18"/>
          <w:color w:val="auto"/>
        </w:rPr>
      </w:pPr>
    </w:p>
    <w:p>
      <w:pPr>
        <w:ind w:left="472" w:right="160" w:hanging="4"/>
        <w:spacing w:after="0" w:line="255" w:lineRule="auto"/>
        <w:tabs>
          <w:tab w:leader="none" w:pos="77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Option is a Nonstatutory Stock Option, by a “net exercise” arrangement pursuant to which the Company will reduce the number of Ordinary Shares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Ordinary Shares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ectPr>
          <w:pgSz w:w="11900" w:h="16838" w:orient="portrait"/>
          <w:cols w:equalWidth="0" w:num="1">
            <w:col w:w="11232"/>
          </w:cols>
          <w:pgMar w:left="328" w:top="576" w:right="3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(v) in any other form of legal consideration that may be acceptable to the Board and specified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384810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59"/>
          </w:cols>
          <w:pgMar w:left="800" w:top="337" w:right="1440" w:bottom="1440" w:gutter="0" w:footer="0" w:header="0"/>
        </w:sectPr>
      </w:pPr>
    </w:p>
    <w:bookmarkStart w:id="31" w:name="page32"/>
    <w:bookmarkEnd w:id="31"/>
    <w:p>
      <w:pPr>
        <w:ind w:left="8" w:right="80" w:hanging="8"/>
        <w:spacing w:after="0" w:line="256" w:lineRule="auto"/>
        <w:tabs>
          <w:tab w:leader="none" w:pos="40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Participant is vested under such SAR, and with respect to which the Participant is exercising the SAR on such date, over (B) the aggregate strike price of the number of Ordinary Share equivalents with respect to which the Participant is exercising the SAR on such date. The appreciation distribution may be paid in Ordinary Shares, in cash, in any combination of the two or in any other form of consideration, as determined by the Board and contained in the Award Agreement evidencing such SAR.</w:t>
      </w:r>
    </w:p>
    <w:p>
      <w:pPr>
        <w:spacing w:after="0" w:line="182" w:lineRule="exact"/>
        <w:rPr>
          <w:rFonts w:ascii="Times New Roman" w:cs="Times New Roman" w:eastAsia="Times New Roman" w:hAnsi="Times New Roman"/>
          <w:sz w:val="18"/>
          <w:szCs w:val="18"/>
          <w:b w:val="1"/>
          <w:bCs w:val="1"/>
          <w:color w:val="auto"/>
        </w:rPr>
      </w:pPr>
    </w:p>
    <w:p>
      <w:pPr>
        <w:ind w:left="8" w:right="40" w:hanging="8"/>
        <w:spacing w:after="0" w:line="268" w:lineRule="auto"/>
        <w:tabs>
          <w:tab w:leader="none" w:pos="38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 SARs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will determine. In the absence of such a determination by the Board to the contrary, the following restrictions on the transferability of Options and SARs will apply:</w:t>
      </w:r>
    </w:p>
    <w:p>
      <w:pPr>
        <w:spacing w:after="0" w:line="170" w:lineRule="exact"/>
        <w:rPr>
          <w:rFonts w:ascii="Times New Roman" w:cs="Times New Roman" w:eastAsia="Times New Roman" w:hAnsi="Times New Roman"/>
          <w:sz w:val="18"/>
          <w:szCs w:val="18"/>
          <w:b w:val="1"/>
          <w:bCs w:val="1"/>
          <w:color w:val="auto"/>
        </w:rPr>
      </w:pPr>
    </w:p>
    <w:p>
      <w:pPr>
        <w:ind w:left="328" w:right="100" w:hanging="4"/>
        <w:spacing w:after="0" w:line="262" w:lineRule="auto"/>
        <w:tabs>
          <w:tab w:leader="none" w:pos="543"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(or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6" w:lineRule="exact"/>
        <w:rPr>
          <w:sz w:val="20"/>
          <w:szCs w:val="20"/>
          <w:color w:val="auto"/>
        </w:rPr>
      </w:pPr>
    </w:p>
    <w:p>
      <w:pPr>
        <w:ind w:left="328" w:right="100" w:hanging="4"/>
        <w:spacing w:after="0" w:line="262" w:lineRule="auto"/>
        <w:tabs>
          <w:tab w:leader="none" w:pos="54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 transferred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6" w:lineRule="exact"/>
        <w:rPr>
          <w:sz w:val="20"/>
          <w:szCs w:val="20"/>
          <w:color w:val="auto"/>
        </w:rPr>
      </w:pPr>
    </w:p>
    <w:p>
      <w:pPr>
        <w:ind w:left="328" w:hanging="4"/>
        <w:spacing w:after="0" w:line="256" w:lineRule="auto"/>
        <w:tabs>
          <w:tab w:leader="none" w:pos="643"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 form approved by the Company (or the designated broker), designate a third party who, on the death of the Participant, will thereafter be entitled to exercise the Option or SAR and receive the Ordinary Shares or other consideration resulting from such exercise. In the absence of such a designation, upon the death of the Participant, the executor or administrator of the Participant’s estate will be entitled to exercise the Option or SAR and receive the Ordinary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left="8" w:hanging="8"/>
        <w:spacing w:after="0" w:line="259" w:lineRule="auto"/>
        <w:tabs>
          <w:tab w:leader="none" w:pos="36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Ordinary Shares subject to an Option or SAR may vest and become exercisable in periodic installments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left="8" w:right="60" w:hanging="8"/>
        <w:spacing w:after="0" w:line="256" w:lineRule="auto"/>
        <w:tabs>
          <w:tab w:leader="none" w:pos="39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ninety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82" w:lineRule="exact"/>
        <w:rPr>
          <w:rFonts w:ascii="Times New Roman" w:cs="Times New Roman" w:eastAsia="Times New Roman" w:hAnsi="Times New Roman"/>
          <w:sz w:val="18"/>
          <w:szCs w:val="18"/>
          <w:b w:val="1"/>
          <w:bCs w:val="1"/>
          <w:color w:val="auto"/>
        </w:rPr>
      </w:pPr>
    </w:p>
    <w:p>
      <w:pPr>
        <w:ind w:left="8" w:hanging="8"/>
        <w:spacing w:after="0" w:line="254" w:lineRule="auto"/>
        <w:tabs>
          <w:tab w:leader="none" w:pos="40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 the Participant’s Continuous Service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Cause and other than upon the Participant’s death or Disability) would be prohibited at any time solely because the issuance of Ordinary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Ordinary Shares received on exercise of an Option or SAR following the termination of the Participant’s Continuous Service (other than for Cause) would violate the Company’s insider trading policy, then the Option or SAR will terminate on the earlier of (i) the expiration of the period of days or months (that need not be consecutive)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82" w:lineRule="exact"/>
        <w:rPr>
          <w:rFonts w:ascii="Times New Roman" w:cs="Times New Roman" w:eastAsia="Times New Roman" w:hAnsi="Times New Roman"/>
          <w:sz w:val="18"/>
          <w:szCs w:val="18"/>
          <w:b w:val="1"/>
          <w:bCs w:val="1"/>
          <w:color w:val="auto"/>
        </w:rPr>
      </w:pPr>
    </w:p>
    <w:p>
      <w:pPr>
        <w:ind w:left="8" w:right="120" w:hanging="8"/>
        <w:spacing w:after="0" w:line="256" w:lineRule="auto"/>
        <w:tabs>
          <w:tab w:leader="none" w:pos="35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p>
    <w:p>
      <w:pPr>
        <w:spacing w:after="0" w:line="31" w:lineRule="exact"/>
        <w:rPr>
          <w:rFonts w:ascii="Times New Roman" w:cs="Times New Roman" w:eastAsia="Times New Roman" w:hAnsi="Times New Roman"/>
          <w:sz w:val="18"/>
          <w:szCs w:val="18"/>
          <w:b w:val="1"/>
          <w:bCs w:val="1"/>
          <w:color w:val="auto"/>
        </w:rPr>
      </w:pPr>
    </w:p>
    <w:p>
      <w:pPr>
        <w:ind w:left="8" w:right="1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which occurs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ectPr>
          <w:pgSz w:w="11900" w:h="16838" w:orient="portrait"/>
          <w:cols w:equalWidth="0" w:num="1">
            <w:col w:w="11088"/>
          </w:cols>
          <w:pgMar w:left="472" w:top="576" w:right="339" w:bottom="0" w:gutter="0" w:footer="0" w:header="0"/>
        </w:sectPr>
      </w:pPr>
    </w:p>
    <w:bookmarkStart w:id="32" w:name="page33"/>
    <w:bookmarkEnd w:id="32"/>
    <w:p>
      <w:pPr>
        <w:ind w:left="8" w:hanging="8"/>
        <w:spacing w:after="0" w:line="262" w:lineRule="auto"/>
        <w:tabs>
          <w:tab w:leader="none" w:pos="40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349250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8"/>
          </w:cols>
          <w:pgMar w:left="472" w:top="117" w:right="359" w:bottom="1440" w:gutter="0" w:footer="0" w:header="0"/>
        </w:sectPr>
      </w:pPr>
    </w:p>
    <w:bookmarkStart w:id="33" w:name="page34"/>
    <w:bookmarkEnd w:id="33"/>
    <w:p>
      <w:pPr>
        <w:ind w:left="152" w:hanging="8"/>
        <w:spacing w:after="0" w:line="253" w:lineRule="auto"/>
        <w:tabs>
          <w:tab w:leader="none" w:pos="502"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 Labor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1938, as amended, the Option or SAR will not be first exercisable for any Ordinary Shares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9"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225" w:lineRule="exact"/>
        <w:rPr>
          <w:rFonts w:ascii="Times New Roman" w:cs="Times New Roman" w:eastAsia="Times New Roman" w:hAnsi="Times New Roman"/>
          <w:sz w:val="18"/>
          <w:szCs w:val="18"/>
          <w:b w:val="1"/>
          <w:bCs w:val="1"/>
          <w:color w:val="auto"/>
        </w:rPr>
      </w:pPr>
    </w:p>
    <w:p>
      <w:pPr>
        <w:ind w:left="152" w:hanging="8"/>
        <w:spacing w:after="0" w:line="256" w:lineRule="auto"/>
        <w:tabs>
          <w:tab w:leader="none" w:pos="542"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deem appropriate. To the extent consistent with the Company’s articles of association, at the Board’s election, Ordinary Shares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2" w:lineRule="exact"/>
        <w:rPr>
          <w:rFonts w:ascii="Times New Roman" w:cs="Times New Roman" w:eastAsia="Times New Roman" w:hAnsi="Times New Roman"/>
          <w:sz w:val="18"/>
          <w:szCs w:val="18"/>
          <w:b w:val="1"/>
          <w:bCs w:val="1"/>
          <w:color w:val="auto"/>
        </w:rPr>
      </w:pPr>
    </w:p>
    <w:p>
      <w:pPr>
        <w:ind w:left="312" w:right="620" w:hanging="6"/>
        <w:spacing w:after="0" w:line="268" w:lineRule="auto"/>
        <w:tabs>
          <w:tab w:leader="none" w:pos="527"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 payable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 past services to the Company or an Affiliate, or (C) any other form of legal consideration (including future services) that may be acceptable to the Board, in its sole discretion,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left="312" w:right="120" w:hanging="6"/>
        <w:spacing w:after="0" w:line="286" w:lineRule="auto"/>
        <w:tabs>
          <w:tab w:leader="none" w:pos="577"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Ordinary Shares awarded under the Restricted Stock Award Agreement may be subject to forfeiture to the Company in accordance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left="312" w:right="180" w:hanging="6"/>
        <w:spacing w:after="0" w:line="268" w:lineRule="auto"/>
        <w:tabs>
          <w:tab w:leader="none" w:pos="627"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Continuous Service. </w:t>
      </w:r>
      <w:r>
        <w:rPr>
          <w:rFonts w:ascii="Times New Roman" w:cs="Times New Roman" w:eastAsia="Times New Roman" w:hAnsi="Times New Roman"/>
          <w:sz w:val="18"/>
          <w:szCs w:val="18"/>
          <w:color w:val="auto"/>
        </w:rPr>
        <w:t>If a Participant’s Continuous Service terminates, the Company may receive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condition or a repurchase right any or all of the Ordinary Shares held by the Participant that have not vested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left="312" w:right="100" w:hanging="6"/>
        <w:spacing w:after="0" w:line="268" w:lineRule="auto"/>
        <w:tabs>
          <w:tab w:leader="none" w:pos="617"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Ordinary Shares under the Restricted Stock Award Agreement will be transferable by the Participant only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and conditions as are set forth in the Restricted Stock Award Agreement, as the Board will determine in its sole discretion, so long as Ordinary Shares awarded under the Restricted Stock Award Agreement remains subject to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left="312" w:right="40" w:hanging="6"/>
        <w:spacing w:after="0" w:line="256" w:lineRule="auto"/>
        <w:tabs>
          <w:tab w:leader="none" w:pos="567"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 same vesting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restrictions as apply to the shares subject to the Restricted Stock Award to which they relate; provided, however, that (i) no dividends may be paid with respect to any such shares before the date such shares have vested under the terms of such Restricted Stock Award Agreement, (ii) any dividends that are credited with respect to any such shares will be subject to all of the terms and conditions applicable to such shares under the terms of such Restricted Stock Award Agreement (including, but not limited to, any vesting conditions), and (iii) any dividends that are credited with respect to any such shares will be forfeited to the Company on the date, if any, such shares are forfeited to or repurchased by the Company due to a failure to meet any vesting conditions under the terms of such Restricted Stock Award Agreement.</w:t>
      </w:r>
    </w:p>
    <w:p>
      <w:pPr>
        <w:spacing w:after="0" w:line="182" w:lineRule="exact"/>
        <w:rPr>
          <w:rFonts w:ascii="Times New Roman" w:cs="Times New Roman" w:eastAsia="Times New Roman" w:hAnsi="Times New Roman"/>
          <w:sz w:val="18"/>
          <w:szCs w:val="18"/>
          <w:b w:val="1"/>
          <w:bCs w:val="1"/>
          <w:color w:val="auto"/>
        </w:rPr>
      </w:pPr>
    </w:p>
    <w:p>
      <w:pPr>
        <w:ind w:left="152" w:right="40" w:hanging="8"/>
        <w:spacing w:after="0" w:line="262" w:lineRule="auto"/>
        <w:tabs>
          <w:tab w:leader="none" w:pos="552"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will be in such form and will contain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6" w:lineRule="exact"/>
        <w:rPr>
          <w:rFonts w:ascii="Times New Roman" w:cs="Times New Roman" w:eastAsia="Times New Roman" w:hAnsi="Times New Roman"/>
          <w:sz w:val="18"/>
          <w:szCs w:val="18"/>
          <w:b w:val="1"/>
          <w:bCs w:val="1"/>
          <w:color w:val="auto"/>
        </w:rPr>
      </w:pPr>
    </w:p>
    <w:p>
      <w:pPr>
        <w:ind w:left="472" w:right="220" w:hanging="4"/>
        <w:spacing w:after="0" w:line="262" w:lineRule="auto"/>
        <w:tabs>
          <w:tab w:leader="none" w:pos="687" w:val="left"/>
        </w:tabs>
        <w:numPr>
          <w:ilvl w:val="3"/>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delivery of each share of Ordinary Shares subject to the Restricted Stock Unit Award. The consideration to be paid (if any) by the Participant for each share of Ordinary Shares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left="472" w:right="100" w:hanging="4"/>
        <w:spacing w:after="0" w:line="286" w:lineRule="auto"/>
        <w:tabs>
          <w:tab w:leader="none" w:pos="737" w:val="left"/>
        </w:tabs>
        <w:numPr>
          <w:ilvl w:val="3"/>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 vesting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left="472" w:hanging="4"/>
        <w:spacing w:after="0" w:line="286" w:lineRule="auto"/>
        <w:tabs>
          <w:tab w:leader="none" w:pos="787" w:val="left"/>
        </w:tabs>
        <w:numPr>
          <w:ilvl w:val="3"/>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 Restricted Stock Unit Award may be settled by the delivery of Ordinary Shares, their cash equivalent, any combination thereof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form of consideration, as determined by the Board and contained in the Restricted Stock Unit Award Agreement.</w:t>
      </w:r>
    </w:p>
    <w:p>
      <w:pPr>
        <w:spacing w:after="0" w:line="154" w:lineRule="exact"/>
        <w:rPr>
          <w:rFonts w:ascii="Times New Roman" w:cs="Times New Roman" w:eastAsia="Times New Roman" w:hAnsi="Times New Roman"/>
          <w:sz w:val="18"/>
          <w:szCs w:val="18"/>
          <w:b w:val="1"/>
          <w:bCs w:val="1"/>
          <w:color w:val="auto"/>
        </w:rPr>
      </w:pPr>
    </w:p>
    <w:p>
      <w:pPr>
        <w:ind w:left="472" w:right="140" w:hanging="4"/>
        <w:spacing w:after="0" w:line="268" w:lineRule="auto"/>
        <w:tabs>
          <w:tab w:leader="none" w:pos="777" w:val="left"/>
        </w:tabs>
        <w:numPr>
          <w:ilvl w:val="3"/>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or conditions that delay the delivery of the Ordinary Shares (or their cash equivalent) subject to a Restricted Stock Unit Award to a time after the vesting of such Restricted Stock Unit Award.</w:t>
      </w:r>
    </w:p>
    <w:p>
      <w:pPr>
        <w:spacing w:after="0" w:line="170" w:lineRule="exact"/>
        <w:rPr>
          <w:rFonts w:ascii="Times New Roman" w:cs="Times New Roman" w:eastAsia="Times New Roman" w:hAnsi="Times New Roman"/>
          <w:sz w:val="18"/>
          <w:szCs w:val="18"/>
          <w:b w:val="1"/>
          <w:bCs w:val="1"/>
          <w:color w:val="auto"/>
        </w:rPr>
      </w:pPr>
    </w:p>
    <w:p>
      <w:pPr>
        <w:ind w:left="472" w:right="140" w:hanging="4"/>
        <w:spacing w:after="0" w:line="256" w:lineRule="auto"/>
        <w:tabs>
          <w:tab w:leader="none" w:pos="727" w:val="left"/>
        </w:tabs>
        <w:numPr>
          <w:ilvl w:val="3"/>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Ordinary Shares covered by a Restricted Stock Unit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and contained in the Restricted Stock Unit Award Agreement; provided, however, that (i) no dividend equivalents may be paid with respect to any such shares before the date such shares have vested under the terms of such Restricted Stock Unit Award Agreement, (ii) any dividend equivalents that are credited with respect to any such shares will be subject to all of the terms and conditions applicable to such shares under the terms of such Restricted Stock Unit Award Agreement (including, but not limited to, any vesting conditions), and (iii) any dividend equivalents that are credited with respect to any such shares will be forfeited to the Company on the date, if any, such shares are forfeited to or repurchased by the Company due to a failure to meet any vesting conditions under the terms of such Restricted Stock Unit Award Agreement</w:t>
      </w:r>
    </w:p>
    <w:p>
      <w:pPr>
        <w:sectPr>
          <w:pgSz w:w="11900" w:h="16838" w:orient="portrait"/>
          <w:cols w:equalWidth="0" w:num="1">
            <w:col w:w="11232"/>
          </w:cols>
          <w:pgMar w:left="328" w:top="576" w:right="339" w:bottom="0" w:gutter="0" w:footer="0" w:header="0"/>
        </w:sectPr>
      </w:pPr>
    </w:p>
    <w:bookmarkStart w:id="34" w:name="page35"/>
    <w:bookmarkEnd w:id="34"/>
    <w:p>
      <w:pPr>
        <w:ind w:left="4" w:hanging="4"/>
        <w:spacing w:after="0" w:line="317" w:lineRule="auto"/>
        <w:tabs>
          <w:tab w:leader="none" w:pos="309"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of Participant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s Continuous Service. </w:t>
      </w:r>
      <w:r>
        <w:rPr>
          <w:rFonts w:ascii="Times New Roman" w:cs="Times New Roman" w:eastAsia="Times New Roman" w:hAnsi="Times New Roman"/>
          <w:sz w:val="17"/>
          <w:szCs w:val="17"/>
          <w:color w:val="auto"/>
        </w:rPr>
        <w:t>Except as otherwise provided in the applicable Restricted Stock Unit Award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portion of the Restricted Stock Unit Award that has not vested will be forfeited upon the Participant’s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320675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4"/>
          </w:cols>
          <w:pgMar w:left="796" w:top="117" w:right="619" w:bottom="1440" w:gutter="0" w:footer="0" w:header="0"/>
        </w:sectPr>
      </w:pPr>
    </w:p>
    <w:bookmarkStart w:id="35" w:name="page36"/>
    <w:bookmarkEnd w:id="35"/>
    <w:p>
      <w:pPr>
        <w:ind w:left="532" w:hanging="388"/>
        <w:spacing w:after="0"/>
        <w:tabs>
          <w:tab w:leader="none" w:pos="53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72" w:right="40" w:hanging="4"/>
        <w:spacing w:after="0" w:line="256" w:lineRule="auto"/>
        <w:tabs>
          <w:tab w:leader="none" w:pos="687"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Stock Awards</w:t>
      </w:r>
      <w:r>
        <w:rPr>
          <w:rFonts w:ascii="Times New Roman" w:cs="Times New Roman" w:eastAsia="Times New Roman" w:hAnsi="Times New Roman"/>
          <w:sz w:val="18"/>
          <w:szCs w:val="18"/>
          <w:color w:val="auto"/>
        </w:rPr>
        <w:t>. A Performance Stock Award is a Stock Award (covering a number of shares not in excess of that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3(d) above)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or the Committee may determine that cash may be used in payment of Performance Stock Awards.</w:t>
      </w:r>
    </w:p>
    <w:p>
      <w:pPr>
        <w:spacing w:after="0" w:line="182" w:lineRule="exact"/>
        <w:rPr>
          <w:rFonts w:ascii="Times New Roman" w:cs="Times New Roman" w:eastAsia="Times New Roman" w:hAnsi="Times New Roman"/>
          <w:sz w:val="18"/>
          <w:szCs w:val="18"/>
          <w:b w:val="1"/>
          <w:bCs w:val="1"/>
          <w:color w:val="auto"/>
        </w:rPr>
      </w:pPr>
    </w:p>
    <w:p>
      <w:pPr>
        <w:ind w:left="472" w:right="80" w:hanging="4"/>
        <w:spacing w:after="0" w:line="255" w:lineRule="auto"/>
        <w:tabs>
          <w:tab w:leader="none" w:pos="737"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Cash Awards</w:t>
      </w:r>
      <w:r>
        <w:rPr>
          <w:rFonts w:ascii="Times New Roman" w:cs="Times New Roman" w:eastAsia="Times New Roman" w:hAnsi="Times New Roman"/>
          <w:sz w:val="18"/>
          <w:szCs w:val="18"/>
          <w:color w:val="auto"/>
        </w:rPr>
        <w:t>. A Performance Cash Award is a cash award (for a dollar value not in excess of that set forth in Section 3(d)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or the Committee may specify the form of payment of Performance Cash Awards, which may be cash or other property, or may provide for a Participant to have the option for his or her Performance Cash Award, or such portion thereof as the Board or the Committee may specify, to be paid in whole or in part in cash or other property.</w:t>
      </w:r>
    </w:p>
    <w:p>
      <w:pPr>
        <w:spacing w:after="0" w:line="184" w:lineRule="exact"/>
        <w:rPr>
          <w:rFonts w:ascii="Times New Roman" w:cs="Times New Roman" w:eastAsia="Times New Roman" w:hAnsi="Times New Roman"/>
          <w:sz w:val="18"/>
          <w:szCs w:val="18"/>
          <w:b w:val="1"/>
          <w:bCs w:val="1"/>
          <w:color w:val="auto"/>
        </w:rPr>
      </w:pPr>
    </w:p>
    <w:p>
      <w:pPr>
        <w:ind w:left="472" w:right="40" w:hanging="4"/>
        <w:spacing w:after="0" w:line="262" w:lineRule="auto"/>
        <w:tabs>
          <w:tab w:leader="none" w:pos="787"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and Committee Discretion</w:t>
      </w:r>
      <w:r>
        <w:rPr>
          <w:rFonts w:ascii="Times New Roman" w:cs="Times New Roman" w:eastAsia="Times New Roman" w:hAnsi="Times New Roman"/>
          <w:sz w:val="18"/>
          <w:szCs w:val="18"/>
          <w:color w:val="auto"/>
        </w:rPr>
        <w:t>. The Board and the Committee retain the discretion to reduce or eliminate the compensation or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6" w:lineRule="exact"/>
        <w:rPr>
          <w:rFonts w:ascii="Times New Roman" w:cs="Times New Roman" w:eastAsia="Times New Roman" w:hAnsi="Times New Roman"/>
          <w:sz w:val="18"/>
          <w:szCs w:val="18"/>
          <w:b w:val="1"/>
          <w:bCs w:val="1"/>
          <w:color w:val="auto"/>
        </w:rPr>
      </w:pPr>
    </w:p>
    <w:p>
      <w:pPr>
        <w:ind w:left="472" w:right="40" w:hanging="4"/>
        <w:spacing w:after="0" w:line="254" w:lineRule="auto"/>
        <w:tabs>
          <w:tab w:leader="none" w:pos="777"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162(m) Compliance</w:t>
      </w:r>
      <w:r>
        <w:rPr>
          <w:rFonts w:ascii="Times New Roman" w:cs="Times New Roman" w:eastAsia="Times New Roman" w:hAnsi="Times New Roman"/>
          <w:sz w:val="18"/>
          <w:szCs w:val="18"/>
          <w:color w:val="auto"/>
        </w:rPr>
        <w:t>. Unless otherwise permitted in compliance with the requirements of Section 162(m) of the Code with respect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intended to qualify as “performance-based compensation” thereunder, the Committee will establish the Performance Goals applicable to, and the formula for calculating the amount payable under, the Award no later than the earlier of (a) the date which occurs 90 days after the commencement of the applicable Performance Period, and (b) the date on which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Performance Goals relate solely to the increase in the value of the Ordinary Shares). Notwithstanding satisfaction of, or completion of any Performance Goals, the number of Ordinary Shares,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182" w:lineRule="exact"/>
        <w:rPr>
          <w:rFonts w:ascii="Times New Roman" w:cs="Times New Roman" w:eastAsia="Times New Roman" w:hAnsi="Times New Roman"/>
          <w:sz w:val="18"/>
          <w:szCs w:val="18"/>
          <w:b w:val="1"/>
          <w:bCs w:val="1"/>
          <w:color w:val="auto"/>
        </w:rPr>
      </w:pPr>
    </w:p>
    <w:p>
      <w:pPr>
        <w:ind w:left="152" w:right="80" w:hanging="8"/>
        <w:spacing w:after="0" w:line="257" w:lineRule="auto"/>
        <w:tabs>
          <w:tab w:leader="none" w:pos="5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Other forms of Stock Awards valued in whole or in part by reference to, or otherwise based on,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appreciation in value thereof (e.g., options or stock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w:t>
      </w:r>
    </w:p>
    <w:p>
      <w:pPr>
        <w:spacing w:after="0" w:line="182"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hanging="8"/>
        <w:spacing w:after="0" w:line="286" w:lineRule="auto"/>
        <w:tabs>
          <w:tab w:leader="none" w:pos="54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Ordinary Shares reasonably required to satisfy then-outstanding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w:t>
      </w:r>
    </w:p>
    <w:p>
      <w:pPr>
        <w:spacing w:after="0" w:line="154" w:lineRule="exact"/>
        <w:rPr>
          <w:rFonts w:ascii="Times New Roman" w:cs="Times New Roman" w:eastAsia="Times New Roman" w:hAnsi="Times New Roman"/>
          <w:sz w:val="18"/>
          <w:szCs w:val="18"/>
          <w:b w:val="1"/>
          <w:bCs w:val="1"/>
          <w:color w:val="auto"/>
        </w:rPr>
      </w:pPr>
    </w:p>
    <w:p>
      <w:pPr>
        <w:ind w:left="152" w:right="40" w:hanging="8"/>
        <w:spacing w:after="0" w:line="255" w:lineRule="auto"/>
        <w:tabs>
          <w:tab w:leader="none" w:pos="55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 Plan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authority as may be required to grant Stock Awards and to issue and sell Ordinary Shares upon exercise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the Plan, any Stock Award or any Ordinary Shares issued or issuable pursuant to any such Stock Award. If, after reasonable efforts and at a reasonable cost, the Company is unable to obtain from any such regulatory commission or agency the authority that counsel for the Company deems necessary for the lawful issuance and sale of Ordinary Shares under the Plan, the Company will be relieved from any liability for failure to issue and sell Ordinary Shares upon exercise of such Stock Awards unless and until such authority is obtained. A Participant will not be eligible for the grant of an Award or the subsequent issuance of cash or Ordinary Shares pursuant to the Award if such grant or issuance would be in violation of any applicable securities law.</w:t>
      </w:r>
    </w:p>
    <w:p>
      <w:pPr>
        <w:spacing w:after="0" w:line="184" w:lineRule="exact"/>
        <w:rPr>
          <w:rFonts w:ascii="Times New Roman" w:cs="Times New Roman" w:eastAsia="Times New Roman" w:hAnsi="Times New Roman"/>
          <w:sz w:val="18"/>
          <w:szCs w:val="18"/>
          <w:b w:val="1"/>
          <w:bCs w:val="1"/>
          <w:color w:val="auto"/>
        </w:rPr>
      </w:pPr>
    </w:p>
    <w:p>
      <w:pPr>
        <w:ind w:left="152" w:right="120" w:hanging="8"/>
        <w:spacing w:after="0" w:line="262" w:lineRule="auto"/>
        <w:tabs>
          <w:tab w:leader="none" w:pos="53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36" w:name="page37"/>
    <w:bookmarkEnd w:id="36"/>
    <w:p>
      <w:pPr>
        <w:ind w:left="312" w:hanging="312"/>
        <w:spacing w:after="0"/>
        <w:tabs>
          <w:tab w:leader="none" w:pos="31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52" w:right="240" w:hanging="8"/>
        <w:spacing w:after="0" w:line="286" w:lineRule="auto"/>
        <w:tabs>
          <w:tab w:leader="none" w:pos="54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Ordinary Shares. </w:t>
      </w:r>
      <w:r>
        <w:rPr>
          <w:rFonts w:ascii="Times New Roman" w:cs="Times New Roman" w:eastAsia="Times New Roman" w:hAnsi="Times New Roman"/>
          <w:sz w:val="18"/>
          <w:szCs w:val="18"/>
          <w:color w:val="auto"/>
        </w:rPr>
        <w:t>Proceeds from the sale of Ordinary Shares pursuant to Awards will constitute general funds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4" w:lineRule="exact"/>
        <w:rPr>
          <w:rFonts w:ascii="Times New Roman" w:cs="Times New Roman" w:eastAsia="Times New Roman" w:hAnsi="Times New Roman"/>
          <w:sz w:val="18"/>
          <w:szCs w:val="18"/>
          <w:b w:val="1"/>
          <w:bCs w:val="1"/>
          <w:color w:val="auto"/>
        </w:rPr>
      </w:pPr>
    </w:p>
    <w:p>
      <w:pPr>
        <w:ind w:left="152" w:right="40" w:hanging="8"/>
        <w:spacing w:after="0" w:line="256" w:lineRule="auto"/>
        <w:tabs>
          <w:tab w:leader="none" w:pos="55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left="152" w:hanging="8"/>
        <w:spacing w:after="0" w:line="291" w:lineRule="auto"/>
        <w:tabs>
          <w:tab w:leader="none" w:pos="532" w:val="left"/>
        </w:tabs>
        <w:numPr>
          <w:ilvl w:val="1"/>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 Rights. </w:t>
      </w:r>
      <w:r>
        <w:rPr>
          <w:rFonts w:ascii="Times New Roman" w:cs="Times New Roman" w:eastAsia="Times New Roman" w:hAnsi="Times New Roman"/>
          <w:sz w:val="17"/>
          <w:szCs w:val="17"/>
          <w:color w:val="auto"/>
        </w:rPr>
        <w:t>No Participant will be deemed to be the holder of, or to have any of the rights of a holder with respect to, any Ordinary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an Award unless and until (i) such Participant has satisfied all requirements for exercise of, or the issuance of Ordinary Shares under, the Award pursuant to its terms, and (ii) the issuance of the Ordinary Shares subject to such Award has been entered into the books and records of the Company.</w:t>
      </w:r>
    </w:p>
    <w:p>
      <w:pPr>
        <w:spacing w:after="0" w:line="152" w:lineRule="exact"/>
        <w:rPr>
          <w:rFonts w:ascii="Times New Roman" w:cs="Times New Roman" w:eastAsia="Times New Roman" w:hAnsi="Times New Roman"/>
          <w:sz w:val="17"/>
          <w:szCs w:val="17"/>
          <w:b w:val="1"/>
          <w:bCs w:val="1"/>
          <w:color w:val="auto"/>
        </w:rPr>
      </w:pPr>
    </w:p>
    <w:p>
      <w:pPr>
        <w:ind w:left="152" w:right="40" w:hanging="8"/>
        <w:spacing w:after="0" w:line="257" w:lineRule="auto"/>
        <w:tabs>
          <w:tab w:leader="none" w:pos="55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articles of association of the Company or an Affiliate, and any applicable provisions of the corporate law of the jurisdiction in which the Company or the Affiliate is incorporated, as the case may be.</w:t>
      </w:r>
    </w:p>
    <w:p>
      <w:pPr>
        <w:spacing w:after="0" w:line="182" w:lineRule="exact"/>
        <w:rPr>
          <w:rFonts w:ascii="Times New Roman" w:cs="Times New Roman" w:eastAsia="Times New Roman" w:hAnsi="Times New Roman"/>
          <w:sz w:val="18"/>
          <w:szCs w:val="18"/>
          <w:b w:val="1"/>
          <w:bCs w:val="1"/>
          <w:color w:val="auto"/>
        </w:rPr>
      </w:pPr>
    </w:p>
    <w:p>
      <w:pPr>
        <w:ind w:left="152" w:right="80" w:hanging="8"/>
        <w:spacing w:after="0" w:line="256" w:lineRule="auto"/>
        <w:tabs>
          <w:tab w:leader="none" w:pos="53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152" w:right="60" w:hanging="8"/>
        <w:spacing w:after="0" w:line="259" w:lineRule="auto"/>
        <w:tabs>
          <w:tab w:leader="none" w:pos="51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Limitations. </w:t>
      </w:r>
      <w:r>
        <w:rPr>
          <w:rFonts w:ascii="Times New Roman" w:cs="Times New Roman" w:eastAsia="Times New Roman" w:hAnsi="Times New Roman"/>
          <w:sz w:val="18"/>
          <w:szCs w:val="18"/>
          <w:color w:val="auto"/>
        </w:rPr>
        <w:t>To the extent that the aggregate Fair Market Value (determined at the time of grant) of Ordinary Shares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9" w:lineRule="exact"/>
        <w:rPr>
          <w:rFonts w:ascii="Times New Roman" w:cs="Times New Roman" w:eastAsia="Times New Roman" w:hAnsi="Times New Roman"/>
          <w:sz w:val="18"/>
          <w:szCs w:val="18"/>
          <w:b w:val="1"/>
          <w:bCs w:val="1"/>
          <w:color w:val="auto"/>
        </w:rPr>
      </w:pPr>
    </w:p>
    <w:p>
      <w:pPr>
        <w:ind w:left="152" w:hanging="8"/>
        <w:spacing w:after="0" w:line="254" w:lineRule="auto"/>
        <w:tabs>
          <w:tab w:leader="none" w:pos="542"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Ordinary Shares under any Award, (i)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Ordinary Shares subject to the Award for the Participant’s own account and not with any present intention of selling or otherwise distributing the Ordinary Shares. The foregoing requirements, and any assurances given pursuant to such requirements, will be inoperative if (A) the issuance of the shares upon the exercise or acquisition of Ordinary Shares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Ordinary Shares.</w:t>
      </w:r>
    </w:p>
    <w:p>
      <w:pPr>
        <w:spacing w:after="0" w:line="182" w:lineRule="exact"/>
        <w:rPr>
          <w:rFonts w:ascii="Times New Roman" w:cs="Times New Roman" w:eastAsia="Times New Roman" w:hAnsi="Times New Roman"/>
          <w:sz w:val="18"/>
          <w:szCs w:val="18"/>
          <w:b w:val="1"/>
          <w:bCs w:val="1"/>
          <w:color w:val="auto"/>
        </w:rPr>
      </w:pPr>
    </w:p>
    <w:p>
      <w:pPr>
        <w:ind w:left="152" w:right="200" w:hanging="8"/>
        <w:spacing w:after="0" w:line="270" w:lineRule="auto"/>
        <w:tabs>
          <w:tab w:leader="none" w:pos="552" w:val="left"/>
        </w:tabs>
        <w:numPr>
          <w:ilvl w:val="1"/>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Withholding Obligations. </w:t>
      </w:r>
      <w:r>
        <w:rPr>
          <w:rFonts w:ascii="Times New Roman" w:cs="Times New Roman" w:eastAsia="Times New Roman" w:hAnsi="Times New Roman"/>
          <w:sz w:val="17"/>
          <w:szCs w:val="17"/>
          <w:color w:val="auto"/>
        </w:rPr>
        <w:t>Unless prohibited by the terms of an Award Agreement, the Company may, in its sole discretion, satisfy any federal,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state or local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Ordinary Shares are withheld with a value exceeding the minimum amount of tax required to be withheld by law (or such lesser amount as may be necessary to avoid classification of the Stock Award as a liability for financial accounting purposes);</w:t>
      </w:r>
    </w:p>
    <w:p>
      <w:pPr>
        <w:spacing w:after="0" w:line="2" w:lineRule="exact"/>
        <w:rPr>
          <w:rFonts w:ascii="Times New Roman" w:cs="Times New Roman" w:eastAsia="Times New Roman" w:hAnsi="Times New Roman"/>
          <w:sz w:val="17"/>
          <w:szCs w:val="17"/>
          <w:b w:val="1"/>
          <w:bCs w:val="1"/>
          <w:color w:val="auto"/>
        </w:rPr>
      </w:pPr>
    </w:p>
    <w:p>
      <w:pPr>
        <w:ind w:left="152" w:right="340" w:hanging="8"/>
        <w:spacing w:after="0" w:line="260" w:lineRule="auto"/>
        <w:tabs>
          <w:tab w:leader="none" w:pos="46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cash from an Award settled in cash; (iv) withholding payment from any amounts otherwise payable to the Participant; or (v) by such other method as may be set forth in the Award Agreement.</w:t>
      </w:r>
    </w:p>
    <w:p>
      <w:pPr>
        <w:spacing w:after="0" w:line="177" w:lineRule="exact"/>
        <w:rPr>
          <w:rFonts w:ascii="Times New Roman" w:cs="Times New Roman" w:eastAsia="Times New Roman" w:hAnsi="Times New Roman"/>
          <w:sz w:val="18"/>
          <w:szCs w:val="18"/>
          <w:color w:val="auto"/>
        </w:rPr>
      </w:pPr>
    </w:p>
    <w:p>
      <w:pPr>
        <w:jc w:val="both"/>
        <w:ind w:left="152" w:right="160" w:hanging="8"/>
        <w:spacing w:after="0" w:line="268" w:lineRule="auto"/>
        <w:tabs>
          <w:tab w:leader="none" w:pos="50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 electronically,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publicly at www.sec.gov (or any successor website thereto) or posted on the Company’s intranet (or other shared electronic medium controlled by the Company to which the Participant has access).</w:t>
      </w:r>
    </w:p>
    <w:p>
      <w:pPr>
        <w:spacing w:after="0" w:line="170" w:lineRule="exact"/>
        <w:rPr>
          <w:rFonts w:ascii="Times New Roman" w:cs="Times New Roman" w:eastAsia="Times New Roman" w:hAnsi="Times New Roman"/>
          <w:sz w:val="18"/>
          <w:szCs w:val="18"/>
          <w:b w:val="1"/>
          <w:bCs w:val="1"/>
          <w:color w:val="auto"/>
        </w:rPr>
      </w:pPr>
    </w:p>
    <w:p>
      <w:pPr>
        <w:ind w:left="152" w:hanging="8"/>
        <w:spacing w:after="0" w:line="256" w:lineRule="auto"/>
        <w:tabs>
          <w:tab w:leader="none" w:pos="51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Ordinary Shares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760" w:gutter="0" w:footer="0" w:header="0"/>
        </w:sectPr>
      </w:pPr>
    </w:p>
    <w:bookmarkStart w:id="37" w:name="page38"/>
    <w:bookmarkEnd w:id="37"/>
    <w:p>
      <w:pPr>
        <w:ind w:left="8" w:hanging="8"/>
        <w:spacing w:after="0" w:line="253" w:lineRule="auto"/>
        <w:tabs>
          <w:tab w:leader="none" w:pos="40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Unless otherwise expressly provided for in an Award Agreement, the Plan and Award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Ordinary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7" w:lineRule="exact"/>
        <w:rPr>
          <w:rFonts w:ascii="Times New Roman" w:cs="Times New Roman" w:eastAsia="Times New Roman" w:hAnsi="Times New Roman"/>
          <w:sz w:val="18"/>
          <w:szCs w:val="18"/>
          <w:b w:val="1"/>
          <w:bCs w:val="1"/>
          <w:color w:val="auto"/>
        </w:rPr>
      </w:pPr>
    </w:p>
    <w:p>
      <w:pPr>
        <w:ind w:left="8" w:hanging="8"/>
        <w:spacing w:after="0" w:line="256" w:lineRule="auto"/>
        <w:tabs>
          <w:tab w:leader="none" w:pos="35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Ordinary Shares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9. ADJUSTMENTS UPON CHANGES IN ORDINARY SHARES; OTHER CORPORATE EVENTS.</w:t>
      </w:r>
    </w:p>
    <w:p>
      <w:pPr>
        <w:spacing w:after="0" w:line="225" w:lineRule="exact"/>
        <w:rPr>
          <w:sz w:val="20"/>
          <w:szCs w:val="20"/>
          <w:color w:val="auto"/>
        </w:rPr>
      </w:pPr>
    </w:p>
    <w:p>
      <w:pPr>
        <w:ind w:left="8" w:hanging="8"/>
        <w:spacing w:after="0" w:line="259" w:lineRule="auto"/>
        <w:tabs>
          <w:tab w:leader="none" w:pos="39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 (i) the class(es)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79" w:lineRule="exact"/>
        <w:rPr>
          <w:rFonts w:ascii="Times New Roman" w:cs="Times New Roman" w:eastAsia="Times New Roman" w:hAnsi="Times New Roman"/>
          <w:sz w:val="18"/>
          <w:szCs w:val="18"/>
          <w:b w:val="1"/>
          <w:bCs w:val="1"/>
          <w:color w:val="auto"/>
        </w:rPr>
      </w:pPr>
    </w:p>
    <w:p>
      <w:pPr>
        <w:ind w:left="8" w:hanging="8"/>
        <w:spacing w:after="0" w:line="256" w:lineRule="auto"/>
        <w:tabs>
          <w:tab w:leader="none" w:pos="40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Stock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all outstanding Stock Awards (other than Stock Awards consisting of vested and outstanding Ordinary Shares not subject to a forfeiture condition or the Company’s right of repurchase) will terminate immediately prior to the completion of such dissolution or liquidation, and the Ordinary Shares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left="8" w:right="360" w:hanging="8"/>
        <w:spacing w:after="0" w:line="282" w:lineRule="auto"/>
        <w:tabs>
          <w:tab w:leader="none" w:pos="388"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Transactions. </w:t>
      </w:r>
      <w:r>
        <w:rPr>
          <w:rFonts w:ascii="Times New Roman" w:cs="Times New Roman" w:eastAsia="Times New Roman" w:hAnsi="Times New Roman"/>
          <w:sz w:val="17"/>
          <w:szCs w:val="17"/>
          <w:color w:val="auto"/>
        </w:rPr>
        <w:t>The following provisions shall apply to Stock Awards in the event of a Transaction unless otherwise provided in the instrument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65" w:lineRule="exact"/>
        <w:rPr>
          <w:rFonts w:ascii="Times New Roman" w:cs="Times New Roman" w:eastAsia="Times New Roman" w:hAnsi="Times New Roman"/>
          <w:sz w:val="17"/>
          <w:szCs w:val="17"/>
          <w:b w:val="1"/>
          <w:bCs w:val="1"/>
          <w:color w:val="auto"/>
        </w:rPr>
      </w:pPr>
    </w:p>
    <w:p>
      <w:pPr>
        <w:jc w:val="both"/>
        <w:ind w:left="328" w:right="20" w:hanging="4"/>
        <w:spacing w:after="0" w:line="266" w:lineRule="auto"/>
        <w:tabs>
          <w:tab w:leader="none" w:pos="54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5" w:lineRule="exact"/>
        <w:rPr>
          <w:rFonts w:ascii="Times New Roman" w:cs="Times New Roman" w:eastAsia="Times New Roman" w:hAnsi="Times New Roman"/>
          <w:sz w:val="18"/>
          <w:szCs w:val="18"/>
          <w:color w:val="auto"/>
        </w:rPr>
      </w:pPr>
    </w:p>
    <w:p>
      <w:pPr>
        <w:ind w:left="328" w:right="240" w:hanging="4"/>
        <w:spacing w:after="0" w:line="282" w:lineRule="auto"/>
        <w:tabs>
          <w:tab w:leader="none" w:pos="59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the Company in respect of Ordinary Shares issued pursuant to the Stock Award to the surviving corporation or acquiring corporation (or the surviving or acquiring corporation’s parent company);</w:t>
      </w:r>
    </w:p>
    <w:p>
      <w:pPr>
        <w:spacing w:after="0" w:line="161" w:lineRule="exact"/>
        <w:rPr>
          <w:rFonts w:ascii="Times New Roman" w:cs="Times New Roman" w:eastAsia="Times New Roman" w:hAnsi="Times New Roman"/>
          <w:sz w:val="18"/>
          <w:szCs w:val="18"/>
          <w:color w:val="auto"/>
        </w:rPr>
      </w:pPr>
    </w:p>
    <w:p>
      <w:pPr>
        <w:ind w:left="328" w:right="40" w:hanging="4"/>
        <w:spacing w:after="0" w:line="261" w:lineRule="auto"/>
        <w:tabs>
          <w:tab w:leader="none" w:pos="64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79" w:lineRule="exact"/>
        <w:rPr>
          <w:rFonts w:ascii="Times New Roman" w:cs="Times New Roman" w:eastAsia="Times New Roman" w:hAnsi="Times New Roman"/>
          <w:sz w:val="18"/>
          <w:szCs w:val="18"/>
          <w:color w:val="auto"/>
        </w:rPr>
      </w:pPr>
    </w:p>
    <w:p>
      <w:pPr>
        <w:ind w:left="628" w:hanging="304"/>
        <w:spacing w:after="0"/>
        <w:tabs>
          <w:tab w:leader="none" w:pos="6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 Award;</w:t>
      </w:r>
    </w:p>
    <w:p>
      <w:pPr>
        <w:spacing w:after="0" w:line="225" w:lineRule="exact"/>
        <w:rPr>
          <w:rFonts w:ascii="Times New Roman" w:cs="Times New Roman" w:eastAsia="Times New Roman" w:hAnsi="Times New Roman"/>
          <w:sz w:val="18"/>
          <w:szCs w:val="18"/>
          <w:color w:val="auto"/>
        </w:rPr>
      </w:pPr>
    </w:p>
    <w:p>
      <w:pPr>
        <w:ind w:left="328" w:right="140" w:hanging="4"/>
        <w:spacing w:after="0" w:line="282" w:lineRule="auto"/>
        <w:tabs>
          <w:tab w:leader="none" w:pos="58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61" w:lineRule="exact"/>
        <w:rPr>
          <w:rFonts w:ascii="Times New Roman" w:cs="Times New Roman" w:eastAsia="Times New Roman" w:hAnsi="Times New Roman"/>
          <w:sz w:val="18"/>
          <w:szCs w:val="18"/>
          <w:color w:val="auto"/>
        </w:rPr>
      </w:pPr>
    </w:p>
    <w:p>
      <w:pPr>
        <w:ind w:left="328" w:right="220" w:hanging="4"/>
        <w:spacing w:after="0" w:line="258" w:lineRule="auto"/>
        <w:tabs>
          <w:tab w:leader="none" w:pos="63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Ordinary Shares in connection with the Transaction is delayed as a result of escrows, earn outs, holdbacks or other contingencies.</w:t>
      </w:r>
    </w:p>
    <w:p>
      <w:pPr>
        <w:spacing w:after="0" w:line="183"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337185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8"/>
          </w:cols>
          <w:pgMar w:left="472" w:top="576" w:right="379" w:bottom="951" w:gutter="0" w:footer="0" w:header="0"/>
        </w:sectPr>
      </w:pPr>
    </w:p>
    <w:bookmarkStart w:id="38" w:name="page39"/>
    <w:bookmarkEnd w:id="38"/>
    <w:p>
      <w:pPr>
        <w:ind w:left="8" w:right="260" w:hanging="8"/>
        <w:spacing w:after="0" w:line="268" w:lineRule="auto"/>
        <w:tabs>
          <w:tab w:leader="none" w:pos="408"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 Control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10. PLAN TERM; EARLIER TERMINATION OR SUSPENSION OF THE PLAN.</w:t>
      </w:r>
    </w:p>
    <w:p>
      <w:pPr>
        <w:spacing w:after="0" w:line="229" w:lineRule="exact"/>
        <w:rPr>
          <w:sz w:val="20"/>
          <w:szCs w:val="20"/>
          <w:color w:val="auto"/>
        </w:rPr>
      </w:pPr>
    </w:p>
    <w:p>
      <w:pPr>
        <w:ind w:left="8" w:right="20"/>
        <w:spacing w:after="0" w:line="266"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date the Plan is adopted by the Board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or (ii) the date the Plan is approved by the stockholders of the Company. No Awards may be granted under the Plan while the Plan is suspended or after it is terminated.</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11. EXISTENCE OF THE PLAN; TIMING OF FIRST GRANT OR EXERCISE.</w:t>
      </w:r>
    </w:p>
    <w:p>
      <w:pPr>
        <w:spacing w:after="0" w:line="227" w:lineRule="exact"/>
        <w:rPr>
          <w:sz w:val="20"/>
          <w:szCs w:val="20"/>
          <w:color w:val="auto"/>
        </w:rPr>
      </w:pPr>
    </w:p>
    <w:p>
      <w:pPr>
        <w:ind w:left="8" w:right="240"/>
        <w:spacing w:after="0" w:line="281" w:lineRule="auto"/>
        <w:rPr>
          <w:sz w:val="20"/>
          <w:szCs w:val="20"/>
          <w:color w:val="auto"/>
        </w:rPr>
      </w:pPr>
      <w:r>
        <w:rPr>
          <w:rFonts w:ascii="Times New Roman" w:cs="Times New Roman" w:eastAsia="Times New Roman" w:hAnsi="Times New Roman"/>
          <w:sz w:val="17"/>
          <w:szCs w:val="17"/>
          <w:color w:val="auto"/>
        </w:rPr>
        <w:t xml:space="preserve">The Plan will come into existence on the Adoption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Award may be granted prior to the IPO Date (that is,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12. CHOICE OF LAW.</w:t>
      </w:r>
    </w:p>
    <w:p>
      <w:pPr>
        <w:spacing w:after="0" w:line="229" w:lineRule="exact"/>
        <w:rPr>
          <w:sz w:val="20"/>
          <w:szCs w:val="20"/>
          <w:color w:val="auto"/>
        </w:rPr>
      </w:pPr>
    </w:p>
    <w:p>
      <w:pPr>
        <w:ind w:left="8" w:right="180"/>
        <w:spacing w:after="0" w:line="289" w:lineRule="auto"/>
        <w:rPr>
          <w:sz w:val="20"/>
          <w:szCs w:val="20"/>
          <w:color w:val="auto"/>
        </w:rPr>
      </w:pPr>
      <w:r>
        <w:rPr>
          <w:rFonts w:ascii="Times New Roman" w:cs="Times New Roman" w:eastAsia="Times New Roman" w:hAnsi="Times New Roman"/>
          <w:sz w:val="17"/>
          <w:szCs w:val="17"/>
          <w:color w:val="auto"/>
        </w:rPr>
        <w:t>The Plan, all determinations made and actions taken pursuant hereto and, except as provided below or in an applicable subplan, each Award Agreement to a Participant shall be governed by the laws of the State of Israel, excluding matters that are subject to tax laws, regulations and rules, or conflicts or choice of law rule or principles, of any specific jurisdiction, which shall be governed by the respective laws, regulations and rules of such jurisdiction.</w:t>
      </w:r>
    </w:p>
    <w:p>
      <w:pPr>
        <w:spacing w:after="0" w:line="154" w:lineRule="exact"/>
        <w:rPr>
          <w:sz w:val="20"/>
          <w:szCs w:val="20"/>
          <w:color w:val="auto"/>
        </w:rPr>
      </w:pPr>
    </w:p>
    <w:p>
      <w:pPr>
        <w:ind w:left="268" w:hanging="268"/>
        <w:spacing w:after="0"/>
        <w:tabs>
          <w:tab w:leader="none" w:pos="26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ind w:left="8" w:right="160" w:hanging="8"/>
        <w:spacing w:after="0" w:line="268" w:lineRule="auto"/>
        <w:tabs>
          <w:tab w:leader="none" w:pos="26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Stock Award or a Performance Cash Award.</w:t>
      </w:r>
    </w:p>
    <w:p>
      <w:pPr>
        <w:spacing w:after="0" w:line="225"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w:t>
      </w:r>
    </w:p>
    <w:p>
      <w:pPr>
        <w:spacing w:after="0" w:line="225"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8" w:right="40" w:hanging="8"/>
        <w:spacing w:after="0" w:line="257" w:lineRule="auto"/>
        <w:tabs>
          <w:tab w:leader="none" w:pos="25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Ordinary Shares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ind w:left="8" w:right="20" w:hanging="8"/>
        <w:spacing w:after="0" w:line="271" w:lineRule="auto"/>
        <w:tabs>
          <w:tab w:leader="none" w:pos="233"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3" w:lineRule="exact"/>
        <w:rPr>
          <w:rFonts w:ascii="Times New Roman" w:cs="Times New Roman" w:eastAsia="Times New Roman" w:hAnsi="Times New Roman"/>
          <w:sz w:val="17"/>
          <w:szCs w:val="17"/>
          <w:b w:val="1"/>
          <w:bCs w:val="1"/>
          <w:color w:val="auto"/>
        </w:rPr>
      </w:pPr>
    </w:p>
    <w:p>
      <w:pPr>
        <w:ind w:left="248" w:hanging="248"/>
        <w:spacing w:after="0"/>
        <w:tabs>
          <w:tab w:leader="none" w:pos="2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229" w:lineRule="exact"/>
        <w:rPr>
          <w:rFonts w:ascii="Times New Roman" w:cs="Times New Roman" w:eastAsia="Times New Roman" w:hAnsi="Times New Roman"/>
          <w:sz w:val="18"/>
          <w:szCs w:val="18"/>
          <w:b w:val="1"/>
          <w:bCs w:val="1"/>
          <w:color w:val="auto"/>
        </w:rPr>
      </w:pPr>
    </w:p>
    <w:p>
      <w:pPr>
        <w:ind w:left="328" w:hanging="4"/>
        <w:spacing w:after="0" w:line="252" w:lineRule="auto"/>
        <w:tabs>
          <w:tab w:leader="none" w:pos="54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Adoption Date, either an executive officer or a Director (either, a “</w:t>
      </w:r>
      <w:r>
        <w:rPr>
          <w:rFonts w:ascii="Times New Roman" w:cs="Times New Roman" w:eastAsia="Times New Roman" w:hAnsi="Times New Roman"/>
          <w:sz w:val="18"/>
          <w:szCs w:val="18"/>
          <w:b w:val="1"/>
          <w:bCs w:val="1"/>
          <w:i w:val="1"/>
          <w:iCs w:val="1"/>
          <w:color w:val="auto"/>
        </w:rPr>
        <w:t>Legacy Investor</w:t>
      </w:r>
      <w:r>
        <w:rPr>
          <w:rFonts w:ascii="Times New Roman" w:cs="Times New Roman" w:eastAsia="Times New Roman" w:hAnsi="Times New Roman"/>
          <w:sz w:val="18"/>
          <w:szCs w:val="18"/>
          <w:color w:val="auto"/>
        </w:rPr>
        <w:t>”) and/or any entity in which a Legacy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 or on account of the Legacy Entities continuing to hold shares that come to represent more than 50% of the combined voting power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then outstanding securities as a result of the conversion of any class of the Company’s securities into another class of the Company’s securities having a different number of votes per share pursuant to the conversion provisions set forth in the Company’s articles of association; or (D)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357505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76" w:right="339" w:bottom="335" w:gutter="0" w:footer="0" w:header="0"/>
        </w:sectPr>
      </w:pPr>
    </w:p>
    <w:bookmarkStart w:id="39" w:name="page40"/>
    <w:bookmarkEnd w:id="39"/>
    <w:p>
      <w:pPr>
        <w:ind w:left="328" w:right="40" w:hanging="4"/>
        <w:spacing w:after="0" w:line="254" w:lineRule="auto"/>
        <w:tabs>
          <w:tab w:leader="none" w:pos="5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Legacy Entities;</w:t>
      </w:r>
    </w:p>
    <w:p>
      <w:pPr>
        <w:spacing w:after="0" w:line="191" w:lineRule="exact"/>
        <w:rPr>
          <w:rFonts w:ascii="Times New Roman" w:cs="Times New Roman" w:eastAsia="Times New Roman" w:hAnsi="Times New Roman"/>
          <w:sz w:val="18"/>
          <w:szCs w:val="18"/>
          <w:color w:val="auto"/>
        </w:rPr>
      </w:pPr>
    </w:p>
    <w:p>
      <w:pPr>
        <w:ind w:left="328" w:right="20" w:hanging="4"/>
        <w:spacing w:after="0" w:line="255" w:lineRule="auto"/>
        <w:tabs>
          <w:tab w:leader="none" w:pos="6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Legacy Entities;</w:t>
      </w:r>
    </w:p>
    <w:p>
      <w:pPr>
        <w:spacing w:after="0" w:line="188" w:lineRule="exact"/>
        <w:rPr>
          <w:rFonts w:ascii="Times New Roman" w:cs="Times New Roman" w:eastAsia="Times New Roman" w:hAnsi="Times New Roman"/>
          <w:sz w:val="18"/>
          <w:szCs w:val="18"/>
          <w:color w:val="auto"/>
        </w:rPr>
      </w:pPr>
    </w:p>
    <w:p>
      <w:pPr>
        <w:ind w:left="328" w:right="320" w:hanging="4"/>
        <w:spacing w:after="0" w:line="282" w:lineRule="auto"/>
        <w:tabs>
          <w:tab w:leader="none" w:pos="6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57" w:lineRule="exact"/>
        <w:rPr>
          <w:rFonts w:ascii="Times New Roman" w:cs="Times New Roman" w:eastAsia="Times New Roman" w:hAnsi="Times New Roman"/>
          <w:sz w:val="18"/>
          <w:szCs w:val="18"/>
          <w:color w:val="auto"/>
        </w:rPr>
      </w:pPr>
    </w:p>
    <w:p>
      <w:pPr>
        <w:ind w:left="328" w:right="40" w:hanging="4"/>
        <w:spacing w:after="0" w:line="262" w:lineRule="auto"/>
        <w:tabs>
          <w:tab w:leader="none" w:pos="5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sz w:val="20"/>
          <w:szCs w:val="20"/>
          <w:color w:val="auto"/>
        </w:rPr>
      </w:pPr>
    </w:p>
    <w:p>
      <w:pPr>
        <w:ind w:left="8" w:right="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79" w:lineRule="exact"/>
        <w:rPr>
          <w:sz w:val="20"/>
          <w:szCs w:val="20"/>
          <w:color w:val="auto"/>
        </w:rPr>
      </w:pPr>
    </w:p>
    <w:p>
      <w:pPr>
        <w:ind w:left="268" w:hanging="268"/>
        <w:spacing w:after="0"/>
        <w:tabs>
          <w:tab w:leader="none" w:pos="26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208" w:hanging="208"/>
        <w:spacing w:after="0"/>
        <w:tabs>
          <w:tab w:leader="none" w:pos="20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 2(c).</w:t>
      </w:r>
    </w:p>
    <w:p>
      <w:pPr>
        <w:spacing w:after="0" w:line="225"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UroGen Pharma Ltd., an Israeli corporation.</w:t>
      </w:r>
    </w:p>
    <w:p>
      <w:pPr>
        <w:spacing w:after="0" w:line="225" w:lineRule="exact"/>
        <w:rPr>
          <w:sz w:val="20"/>
          <w:szCs w:val="20"/>
          <w:color w:val="auto"/>
        </w:rPr>
      </w:pPr>
    </w:p>
    <w:p>
      <w:pPr>
        <w:ind w:left="8" w:right="60" w:hanging="8"/>
        <w:spacing w:after="0" w:line="259" w:lineRule="auto"/>
        <w:tabs>
          <w:tab w:leader="none" w:pos="27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left="8" w:right="20" w:hanging="8"/>
        <w:spacing w:after="0" w:line="269" w:lineRule="auto"/>
        <w:tabs>
          <w:tab w:leader="none" w:pos="223"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means that the Participant’s service with the Company or an Affiliate, whether as an Employee, Director or Consultant, is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w:t>
      </w:r>
    </w:p>
    <w:p>
      <w:pPr>
        <w:ind w:left="8" w:hanging="8"/>
        <w:spacing w:after="0" w:line="252" w:lineRule="auto"/>
        <w:tabs>
          <w:tab w:leader="none" w:pos="2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the consummation, in a single transaction or in a series of related transactions, of any one or more of the following events:</w:t>
      </w:r>
    </w:p>
    <w:p>
      <w:pPr>
        <w:spacing w:after="0" w:line="229" w:lineRule="exact"/>
        <w:rPr>
          <w:rFonts w:ascii="Times New Roman" w:cs="Times New Roman" w:eastAsia="Times New Roman" w:hAnsi="Times New Roman"/>
          <w:sz w:val="18"/>
          <w:szCs w:val="18"/>
          <w:b w:val="1"/>
          <w:bCs w:val="1"/>
          <w:color w:val="auto"/>
        </w:rPr>
      </w:pPr>
    </w:p>
    <w:p>
      <w:pPr>
        <w:ind w:left="328" w:right="180" w:hanging="4"/>
        <w:spacing w:after="0" w:line="282" w:lineRule="auto"/>
        <w:tabs>
          <w:tab w:leader="none" w:pos="54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color w:val="auto"/>
        </w:rPr>
      </w:pPr>
    </w:p>
    <w:p>
      <w:pPr>
        <w:ind w:left="328" w:right="140" w:hanging="4"/>
        <w:spacing w:after="0" w:line="266" w:lineRule="auto"/>
        <w:tabs>
          <w:tab w:leader="none" w:pos="63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Employee</w:t>
      </w:r>
      <w:r>
        <w:rPr>
          <w:rFonts w:ascii="Times New Roman" w:cs="Times New Roman" w:eastAsia="Times New Roman" w:hAnsi="Times New Roman"/>
          <w:sz w:val="18"/>
          <w:szCs w:val="18"/>
          <w:color w:val="auto"/>
        </w:rPr>
        <w:t>” will have the meaning provided in Section 162(m)(3) of the Code.</w:t>
      </w:r>
    </w:p>
    <w:p>
      <w:pPr>
        <w:sectPr>
          <w:pgSz w:w="11900" w:h="16838" w:orient="portrait"/>
          <w:cols w:equalWidth="0" w:num="1">
            <w:col w:w="11088"/>
          </w:cols>
          <w:pgMar w:left="472" w:top="580" w:right="339" w:bottom="154" w:gutter="0" w:footer="0" w:header="0"/>
        </w:sectPr>
      </w:pPr>
    </w:p>
    <w:bookmarkStart w:id="40" w:name="page41"/>
    <w:bookmarkEnd w:id="40"/>
    <w:p>
      <w:pPr>
        <w:spacing w:after="0"/>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ind w:left="248" w:hanging="248"/>
        <w:spacing w:after="0"/>
        <w:tabs>
          <w:tab w:leader="none" w:pos="24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8" w:right="40" w:hanging="8"/>
        <w:spacing w:after="0" w:line="262" w:lineRule="auto"/>
        <w:tabs>
          <w:tab w:leader="none" w:pos="27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IPO Date.</w:t>
      </w:r>
    </w:p>
    <w:p>
      <w:pPr>
        <w:spacing w:after="0" w:line="225" w:lineRule="exact"/>
        <w:rPr>
          <w:rFonts w:ascii="Times New Roman" w:cs="Times New Roman" w:eastAsia="Times New Roman" w:hAnsi="Times New Roman"/>
          <w:sz w:val="18"/>
          <w:szCs w:val="18"/>
          <w:b w:val="1"/>
          <w:bCs w:val="1"/>
          <w:color w:val="auto"/>
        </w:rPr>
      </w:pPr>
    </w:p>
    <w:p>
      <w:pPr>
        <w:ind w:left="8" w:hanging="8"/>
        <w:spacing w:after="0" w:line="286" w:lineRule="auto"/>
        <w:tabs>
          <w:tab w:leader="none" w:pos="25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228" w:hanging="228"/>
        <w:spacing w:after="0"/>
        <w:tabs>
          <w:tab w:leader="none" w:pos="22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228" w:hanging="228"/>
        <w:spacing w:after="0"/>
        <w:tabs>
          <w:tab w:leader="none" w:pos="22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8" w:right="40" w:hanging="8"/>
        <w:spacing w:after="0" w:line="256" w:lineRule="auto"/>
        <w:tabs>
          <w:tab w:leader="none" w:pos="27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2"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Ordinary Shares determined as follows:</w:t>
      </w:r>
    </w:p>
    <w:p>
      <w:pPr>
        <w:spacing w:after="0" w:line="229" w:lineRule="exact"/>
        <w:rPr>
          <w:rFonts w:ascii="Times New Roman" w:cs="Times New Roman" w:eastAsia="Times New Roman" w:hAnsi="Times New Roman"/>
          <w:sz w:val="18"/>
          <w:szCs w:val="18"/>
          <w:b w:val="1"/>
          <w:bCs w:val="1"/>
          <w:color w:val="auto"/>
        </w:rPr>
      </w:pPr>
    </w:p>
    <w:p>
      <w:pPr>
        <w:ind w:left="328" w:right="20" w:hanging="4"/>
        <w:spacing w:after="0" w:line="261" w:lineRule="auto"/>
        <w:tabs>
          <w:tab w:leader="none" w:pos="54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Ordinary Shares are listed on any established stock exchange or traded on any established market, the Fair Market Value of an Ordinary Share will be, unless otherwise determined by the Board, the closing sales price for such stock as quoted on such exchange or market (or the exchange or market with the greatest volume of trading in the Ordinary Shares) on the date of determination, as reported in a source the Board deems reliable.</w:t>
      </w:r>
    </w:p>
    <w:p>
      <w:pPr>
        <w:spacing w:after="0" w:line="179" w:lineRule="exact"/>
        <w:rPr>
          <w:rFonts w:ascii="Times New Roman" w:cs="Times New Roman" w:eastAsia="Times New Roman" w:hAnsi="Times New Roman"/>
          <w:sz w:val="18"/>
          <w:szCs w:val="18"/>
          <w:color w:val="auto"/>
        </w:rPr>
      </w:pPr>
    </w:p>
    <w:p>
      <w:pPr>
        <w:ind w:left="328" w:right="440" w:hanging="4"/>
        <w:spacing w:after="0" w:line="282" w:lineRule="auto"/>
        <w:tabs>
          <w:tab w:leader="none" w:pos="59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Board, if there is no closing sales price for the Ordinary Shares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color w:val="auto"/>
        </w:rPr>
      </w:pPr>
    </w:p>
    <w:p>
      <w:pPr>
        <w:ind w:left="328" w:right="300" w:hanging="4"/>
        <w:spacing w:after="0" w:line="282" w:lineRule="auto"/>
        <w:tabs>
          <w:tab w:leader="none" w:pos="64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Ordinary Shares,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color w:val="auto"/>
        </w:rPr>
      </w:pPr>
    </w:p>
    <w:p>
      <w:pPr>
        <w:ind w:left="8" w:right="500" w:hanging="8"/>
        <w:spacing w:after="0" w:line="286" w:lineRule="auto"/>
        <w:tabs>
          <w:tab w:leader="none" w:pos="30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0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8" w:right="260" w:hanging="8"/>
        <w:spacing w:after="0" w:line="286" w:lineRule="auto"/>
        <w:tabs>
          <w:tab w:leader="none" w:pos="26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Ordinary Shares, pursuant to which the Ordinary Shares are priced for the initial public offering.</w:t>
      </w:r>
    </w:p>
    <w:p>
      <w:pPr>
        <w:spacing w:after="0" w:line="154" w:lineRule="exact"/>
        <w:rPr>
          <w:rFonts w:ascii="Times New Roman" w:cs="Times New Roman" w:eastAsia="Times New Roman" w:hAnsi="Times New Roman"/>
          <w:sz w:val="18"/>
          <w:szCs w:val="18"/>
          <w:b w:val="1"/>
          <w:bCs w:val="1"/>
          <w:color w:val="auto"/>
        </w:rPr>
      </w:pPr>
    </w:p>
    <w:p>
      <w:pPr>
        <w:ind w:left="8" w:right="40" w:hanging="8"/>
        <w:spacing w:after="0" w:line="257" w:lineRule="auto"/>
        <w:tabs>
          <w:tab w:leader="none" w:pos="26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rFonts w:ascii="Times New Roman" w:cs="Times New Roman" w:eastAsia="Times New Roman" w:hAnsi="Times New Roman"/>
          <w:sz w:val="18"/>
          <w:szCs w:val="18"/>
          <w:b w:val="1"/>
          <w:bCs w:val="1"/>
          <w:color w:val="auto"/>
        </w:rPr>
      </w:pPr>
    </w:p>
    <w:p>
      <w:pPr>
        <w:ind w:left="248" w:hanging="248"/>
        <w:spacing w:after="0"/>
        <w:tabs>
          <w:tab w:leader="none" w:pos="24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 Option.</w:t>
      </w:r>
    </w:p>
    <w:p>
      <w:pPr>
        <w:spacing w:after="0" w:line="225" w:lineRule="exact"/>
        <w:rPr>
          <w:sz w:val="20"/>
          <w:szCs w:val="20"/>
          <w:color w:val="auto"/>
        </w:rPr>
      </w:pPr>
    </w:p>
    <w:p>
      <w:pPr>
        <w:ind w:left="348" w:hanging="348"/>
        <w:spacing w:after="0"/>
        <w:tabs>
          <w:tab w:leader="none" w:pos="34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Ordinary Shares granted pursuant to the Plan.</w:t>
      </w:r>
    </w:p>
    <w:p>
      <w:pPr>
        <w:spacing w:after="0" w:line="225" w:lineRule="exact"/>
        <w:rPr>
          <w:rFonts w:ascii="Times New Roman" w:cs="Times New Roman" w:eastAsia="Times New Roman" w:hAnsi="Times New Roman"/>
          <w:sz w:val="18"/>
          <w:szCs w:val="18"/>
          <w:b w:val="1"/>
          <w:bCs w:val="1"/>
          <w:color w:val="auto"/>
        </w:rPr>
      </w:pPr>
    </w:p>
    <w:p>
      <w:pPr>
        <w:ind w:left="8" w:right="20" w:hanging="8"/>
        <w:spacing w:after="0" w:line="286" w:lineRule="auto"/>
        <w:tabs>
          <w:tab w:leader="none" w:pos="333"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8" w:right="340" w:hanging="8"/>
        <w:spacing w:after="0" w:line="286" w:lineRule="auto"/>
        <w:tabs>
          <w:tab w:leader="none" w:pos="373"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the Company, par value NIS 0.01 per Ordinary Share.</w:t>
      </w:r>
    </w:p>
    <w:p>
      <w:pPr>
        <w:spacing w:after="0" w:line="225" w:lineRule="exact"/>
        <w:rPr>
          <w:sz w:val="20"/>
          <w:szCs w:val="20"/>
          <w:color w:val="auto"/>
        </w:rPr>
      </w:pPr>
    </w:p>
    <w:p>
      <w:pPr>
        <w:ind w:left="8" w:right="360"/>
        <w:spacing w:after="0" w:line="286" w:lineRule="auto"/>
        <w:rPr>
          <w:sz w:val="20"/>
          <w:szCs w:val="20"/>
          <w:color w:val="auto"/>
        </w:rPr>
      </w:pPr>
      <w:r>
        <w:rPr>
          <w:rFonts w:ascii="Times New Roman" w:cs="Times New Roman" w:eastAsia="Times New Roman" w:hAnsi="Times New Roman"/>
          <w:sz w:val="18"/>
          <w:szCs w:val="18"/>
          <w:b w:val="1"/>
          <w:bCs w:val="1"/>
          <w:color w:val="auto"/>
        </w:rPr>
        <w:t>(ff)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Ordinary Shares which is granted pursuant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Section 6(d).</w:t>
      </w:r>
    </w:p>
    <w:p>
      <w:pPr>
        <w:spacing w:after="0" w:line="155" w:lineRule="exact"/>
        <w:rPr>
          <w:sz w:val="20"/>
          <w:szCs w:val="20"/>
          <w:color w:val="auto"/>
        </w:rPr>
      </w:pPr>
    </w:p>
    <w:p>
      <w:pPr>
        <w:ind w:left="8" w:right="80" w:hanging="8"/>
        <w:spacing w:after="0" w:line="286" w:lineRule="auto"/>
        <w:tabs>
          <w:tab w:leader="none" w:pos="353"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8" w:right="120" w:hanging="8"/>
        <w:spacing w:after="0" w:line="291" w:lineRule="auto"/>
        <w:tabs>
          <w:tab w:leader="none" w:pos="373"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Outside Director</w:t>
      </w:r>
      <w:r>
        <w:rPr>
          <w:rFonts w:ascii="Times New Roman" w:cs="Times New Roman" w:eastAsia="Times New Roman" w:hAnsi="Times New Roman"/>
          <w:sz w:val="17"/>
          <w:szCs w:val="17"/>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w:t>
      </w:r>
    </w:p>
    <w:p>
      <w:pPr>
        <w:sectPr>
          <w:pgSz w:w="11900" w:h="16838" w:orient="portrait"/>
          <w:cols w:equalWidth="0" w:num="1">
            <w:col w:w="11088"/>
          </w:cols>
          <w:pgMar w:left="472" w:top="576" w:right="339" w:bottom="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337185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43" w:name="page44"/>
    <w:bookmarkEnd w:id="43"/>
    <w:p>
      <w:pPr>
        <w:spacing w:after="0" w:line="7" w:lineRule="exact"/>
        <w:rPr>
          <w:sz w:val="20"/>
          <w:szCs w:val="20"/>
          <w:color w:val="auto"/>
        </w:rPr>
      </w:pPr>
    </w:p>
    <w:p>
      <w:pPr>
        <w:ind w:left="8" w:right="280" w:hanging="8"/>
        <w:spacing w:after="0" w:line="268" w:lineRule="auto"/>
        <w:tabs>
          <w:tab w:leader="none" w:pos="27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8" w:right="140" w:hanging="8"/>
        <w:spacing w:after="0" w:line="286" w:lineRule="auto"/>
        <w:tabs>
          <w:tab w:leader="none" w:pos="29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225" w:lineRule="exact"/>
        <w:rPr>
          <w:rFonts w:ascii="Times New Roman" w:cs="Times New Roman" w:eastAsia="Times New Roman" w:hAnsi="Times New Roman"/>
          <w:sz w:val="18"/>
          <w:szCs w:val="18"/>
          <w:b w:val="1"/>
          <w:bCs w:val="1"/>
          <w:color w:val="auto"/>
        </w:rPr>
      </w:pPr>
    </w:p>
    <w:p>
      <w:pPr>
        <w:ind w:left="8" w:hanging="8"/>
        <w:spacing w:after="0" w:line="252" w:lineRule="auto"/>
        <w:tabs>
          <w:tab w:leader="none" w:pos="27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or the Committee will select for purposes of establishing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Goals for a Performance Period. The Performance Criteria that will be used to establish such Performance Goals may be based on any one of, or combination of, the following as determined by the Board or the Committee: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earnings before interest, taxes, depreciation, amortization, legal settlements, other income (expense), stock-based compensation, other non-cash expenses and changes in deferred revenue; (ix) total stockholder return; (x) return on equity or average stockholder’s equity; (xi) return on assets, investment, or capital employed; (xii) stock price; (xiii) margin (including gross margin); (xiv) income (before or after taxes); (xv) operating income; (xvi) operating income after taxes; (xvii) pre-tax profit; (xviii) operating cash flow; (xix) sales or revenue targets; (xx) increases in revenue or product revenue; (xxi) expenses and cost reduction goals; (xxii) improvement in or attainment of working capital levels; (xxiii) economic value added (or an equivalent metric); (xxiv) market share; (xxv) cash flow; (xxvi) cash flow per share; (xxvii) cash balance; (xxviii) cash burn; (xxix) cash collections;</w:t>
      </w:r>
    </w:p>
    <w:p>
      <w:pPr>
        <w:spacing w:after="0" w:line="5" w:lineRule="exact"/>
        <w:rPr>
          <w:rFonts w:ascii="Times New Roman" w:cs="Times New Roman" w:eastAsia="Times New Roman" w:hAnsi="Times New Roman"/>
          <w:sz w:val="18"/>
          <w:szCs w:val="18"/>
          <w:b w:val="1"/>
          <w:bCs w:val="1"/>
          <w:color w:val="auto"/>
        </w:rPr>
      </w:pPr>
    </w:p>
    <w:p>
      <w:pPr>
        <w:ind w:left="8" w:right="40" w:hanging="8"/>
        <w:spacing w:after="0" w:line="265" w:lineRule="auto"/>
        <w:tabs>
          <w:tab w:leader="none" w:pos="44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performance; (xxxi) debt reduction; (xxxii) implementation or completion of projects or processes (including, without limitation, clinical trial initiation, clinical trial enrollment and dates, clinical trial results, regulatory filing submissions, regulatory filing acceptances, regulatory or advisory committee interactions, regulatory approvals, and product supply); (xxxiii) stockholders’ equity; (xxxiv) capital expenditures; (xxxv) debt levels; (xxxvi) operating profit or net operating profit; (xxxvii) workforce diversity; (xxxviii) growth of net income or operating income; (xxxix) billings; (xl) bookings; (xli) employee retention; (xlii) initiation of studies by specific dates; (xliii) budget management; (xliv) submission to, or approval by, a regulatory body (including, but not limited to the U.S. Food and Drug Administration) of an applicable filing or a product; (xlv) regulatory milestones; (xlvi) progress of internal research or development programs; (xlvii) acquisition of new customers; (xlviii) customer retention and/or repeat order rate;</w:t>
      </w:r>
    </w:p>
    <w:p>
      <w:pPr>
        <w:spacing w:after="0" w:line="1" w:lineRule="exact"/>
        <w:rPr>
          <w:rFonts w:ascii="Times New Roman" w:cs="Times New Roman" w:eastAsia="Times New Roman" w:hAnsi="Times New Roman"/>
          <w:sz w:val="17"/>
          <w:szCs w:val="17"/>
          <w:color w:val="auto"/>
        </w:rPr>
      </w:pPr>
    </w:p>
    <w:p>
      <w:pPr>
        <w:ind w:left="8" w:right="2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(xlix) improvements in sample and test processing times; (l) progress of partnered programs; (li) partner satisfaction; (lii) timely completion of clinical trials; (liii) submission of pre-market approvals and other regulatory achievements; (liv) milestones related to research development (including, but not limited to, preclinical and clinical studies), product development and manufacturing; (lv) expansion of sales in additional geographies or markets; (lvi) research progress, including the development of programs; (lvii) strategic partnerships or transactions (including in-licensing and out-licensing of intellectual property); and (lviii) and to the extent that an Award is not intended to comply with Section 162(m) of the Code, other measures of performance selected by the Board or the Committee.</w:t>
      </w:r>
    </w:p>
    <w:p>
      <w:pPr>
        <w:spacing w:after="0" w:line="185" w:lineRule="exact"/>
        <w:rPr>
          <w:rFonts w:ascii="Times New Roman" w:cs="Times New Roman" w:eastAsia="Times New Roman" w:hAnsi="Times New Roman"/>
          <w:sz w:val="17"/>
          <w:szCs w:val="17"/>
          <w:color w:val="auto"/>
        </w:rPr>
      </w:pPr>
    </w:p>
    <w:p>
      <w:pPr>
        <w:ind w:left="8" w:right="180" w:hanging="8"/>
        <w:spacing w:after="0" w:line="269" w:lineRule="auto"/>
        <w:tabs>
          <w:tab w:leader="none" w:pos="473"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the Board or the Committee for the Performance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the Committee (i) in the Award Agreement at the time the Award is granted or (ii) in such other document setting forth the Performance Goals at the time the Performance Goals are established, the Board or the Committee will appropriately make adjustments in the method of calculating the attainment of Performance Goals for a Performance Period as follows:</w:t>
      </w:r>
    </w:p>
    <w:p>
      <w:pPr>
        <w:spacing w:after="0" w:line="3" w:lineRule="exact"/>
        <w:rPr>
          <w:rFonts w:ascii="Times New Roman" w:cs="Times New Roman" w:eastAsia="Times New Roman" w:hAnsi="Times New Roman"/>
          <w:sz w:val="17"/>
          <w:szCs w:val="17"/>
          <w:b w:val="1"/>
          <w:bCs w:val="1"/>
          <w:color w:val="auto"/>
        </w:rPr>
      </w:pPr>
    </w:p>
    <w:p>
      <w:pPr>
        <w:ind w:left="8"/>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“unusual or infrequently occurring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Ordinary Shares of the Company by reason of any stock dividend or split, stock repurchase, reorganization, recapitalization, merger, consolidation, spin-off, combination or exchange of shares or other similar corporate change, or any distributions to Ordinary Shareholders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87" w:lineRule="exact"/>
        <w:rPr>
          <w:rFonts w:ascii="Times New Roman" w:cs="Times New Roman" w:eastAsia="Times New Roman" w:hAnsi="Times New Roman"/>
          <w:sz w:val="17"/>
          <w:szCs w:val="17"/>
          <w:b w:val="1"/>
          <w:bCs w:val="1"/>
          <w:color w:val="auto"/>
        </w:rPr>
      </w:pPr>
    </w:p>
    <w:p>
      <w:pPr>
        <w:ind w:left="8" w:right="340" w:hanging="8"/>
        <w:spacing w:after="0" w:line="268" w:lineRule="auto"/>
        <w:tabs>
          <w:tab w:leader="none" w:pos="37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or the Committee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the Committee.</w:t>
      </w:r>
    </w:p>
    <w:p>
      <w:pPr>
        <w:spacing w:after="0" w:line="170" w:lineRule="exact"/>
        <w:rPr>
          <w:rFonts w:ascii="Times New Roman" w:cs="Times New Roman" w:eastAsia="Times New Roman" w:hAnsi="Times New Roman"/>
          <w:sz w:val="18"/>
          <w:szCs w:val="18"/>
          <w:b w:val="1"/>
          <w:bCs w:val="1"/>
          <w:color w:val="auto"/>
        </w:rPr>
      </w:pPr>
    </w:p>
    <w:p>
      <w:pPr>
        <w:ind w:left="348" w:hanging="348"/>
        <w:spacing w:after="0"/>
        <w:tabs>
          <w:tab w:leader="none" w:pos="34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225"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UroGen Pharma Ltd. 2017 Equity Incentive Plan, as it may be amended.</w:t>
      </w:r>
    </w:p>
    <w:p>
      <w:pPr>
        <w:spacing w:after="0" w:line="225"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Ordinary Shares which is granted pursuant to the terms and conditions of Section 6(a).</w:t>
      </w:r>
    </w:p>
    <w:p>
      <w:pPr>
        <w:spacing w:after="0" w:line="225" w:lineRule="exact"/>
        <w:rPr>
          <w:rFonts w:ascii="Times New Roman" w:cs="Times New Roman" w:eastAsia="Times New Roman" w:hAnsi="Times New Roman"/>
          <w:sz w:val="18"/>
          <w:szCs w:val="18"/>
          <w:b w:val="1"/>
          <w:bCs w:val="1"/>
          <w:color w:val="auto"/>
        </w:rPr>
      </w:pPr>
    </w:p>
    <w:p>
      <w:pPr>
        <w:ind w:left="8" w:right="100" w:hanging="8"/>
        <w:spacing w:after="0" w:line="317" w:lineRule="auto"/>
        <w:tabs>
          <w:tab w:leader="none" w:pos="333"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left="308" w:hanging="308"/>
        <w:spacing w:after="0"/>
        <w:tabs>
          <w:tab w:leader="none" w:pos="30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Ordinary Shares which is granted pursuant to the terms and conditions of Section 6(b).</w:t>
      </w:r>
    </w:p>
    <w:p>
      <w:pPr>
        <w:spacing w:after="0" w:line="225" w:lineRule="exact"/>
        <w:rPr>
          <w:rFonts w:ascii="Times New Roman" w:cs="Times New Roman" w:eastAsia="Times New Roman" w:hAnsi="Times New Roman"/>
          <w:sz w:val="18"/>
          <w:szCs w:val="18"/>
          <w:b w:val="1"/>
          <w:bCs w:val="1"/>
          <w:color w:val="auto"/>
        </w:rPr>
      </w:pPr>
    </w:p>
    <w:p>
      <w:pPr>
        <w:ind w:left="8" w:right="240" w:hanging="8"/>
        <w:spacing w:after="0" w:line="317" w:lineRule="auto"/>
        <w:tabs>
          <w:tab w:leader="none" w:pos="293"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Unit Award Agreement</w:t>
      </w:r>
      <w:r>
        <w:rPr>
          <w:rFonts w:ascii="Times New Roman" w:cs="Times New Roman" w:eastAsia="Times New Roman" w:hAnsi="Times New Roman"/>
          <w:sz w:val="17"/>
          <w:szCs w:val="17"/>
          <w:color w:val="auto"/>
        </w:rPr>
        <w:t>” means a written agreement between the Company and a holder of a Restricted Stock Unit Award evidencing the terms and conditions of a Restricted Stock Unit Award grant. Each Restricted Stock Unit Award Agreement will be subject to the terms</w:t>
      </w:r>
    </w:p>
    <w:p>
      <w:pPr>
        <w:sectPr>
          <w:pgSz w:w="11900" w:h="16845" w:orient="portrait"/>
          <w:cols w:equalWidth="0" w:num="1">
            <w:col w:w="11088"/>
          </w:cols>
          <w:pgMar w:left="472" w:top="576" w:right="339" w:bottom="0" w:gutter="0" w:footer="0" w:header="0"/>
        </w:sectPr>
      </w:pPr>
    </w:p>
    <w:bookmarkStart w:id="44" w:name="page45"/>
    <w:bookmarkEnd w:id="44"/>
    <w:p>
      <w:pPr>
        <w:ind w:left="8"/>
        <w:spacing w:after="0"/>
        <w:rPr>
          <w:sz w:val="20"/>
          <w:szCs w:val="20"/>
          <w:color w:val="auto"/>
        </w:rPr>
      </w:pPr>
      <w:r>
        <w:rPr>
          <w:rFonts w:ascii="Times New Roman" w:cs="Times New Roman" w:eastAsia="Times New Roman" w:hAnsi="Times New Roman"/>
          <w:sz w:val="18"/>
          <w:szCs w:val="18"/>
          <w:color w:val="auto"/>
        </w:rPr>
        <w:t>and conditions of the Plan.</w:t>
      </w:r>
    </w:p>
    <w:p>
      <w:pPr>
        <w:spacing w:after="0" w:line="221" w:lineRule="exact"/>
        <w:rPr>
          <w:sz w:val="20"/>
          <w:szCs w:val="20"/>
          <w:color w:val="auto"/>
        </w:rPr>
      </w:pPr>
    </w:p>
    <w:p>
      <w:pPr>
        <w:ind w:left="368" w:hanging="368"/>
        <w:spacing w:after="0"/>
        <w:tabs>
          <w:tab w:leader="none" w:pos="368"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387350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7"/>
          </w:cols>
          <w:pgMar w:left="472" w:top="121" w:right="1440" w:bottom="1440" w:gutter="0" w:footer="0" w:header="0"/>
        </w:sectPr>
      </w:pPr>
    </w:p>
    <w:bookmarkStart w:id="45" w:name="page46"/>
    <w:bookmarkEnd w:id="45"/>
    <w:p>
      <w:pPr>
        <w:ind w:left="348" w:hanging="348"/>
        <w:spacing w:after="0"/>
        <w:tabs>
          <w:tab w:leader="none" w:pos="348"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8" w:right="540" w:hanging="8"/>
        <w:spacing w:after="0" w:line="286" w:lineRule="auto"/>
        <w:tabs>
          <w:tab w:leader="none" w:pos="433"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Ordinary Shares that is granted pursuant to the terms and conditions of Section 5.</w:t>
      </w:r>
    </w:p>
    <w:p>
      <w:pPr>
        <w:spacing w:after="0" w:line="154" w:lineRule="exact"/>
        <w:rPr>
          <w:rFonts w:ascii="Times New Roman" w:cs="Times New Roman" w:eastAsia="Times New Roman" w:hAnsi="Times New Roman"/>
          <w:sz w:val="18"/>
          <w:szCs w:val="18"/>
          <w:b w:val="1"/>
          <w:bCs w:val="1"/>
          <w:color w:val="auto"/>
        </w:rPr>
      </w:pPr>
    </w:p>
    <w:p>
      <w:pPr>
        <w:jc w:val="both"/>
        <w:ind w:left="8" w:right="220" w:hanging="8"/>
        <w:spacing w:after="0" w:line="268" w:lineRule="auto"/>
        <w:tabs>
          <w:tab w:leader="none" w:pos="353"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8" w:right="240" w:hanging="8"/>
        <w:spacing w:after="0" w:line="317" w:lineRule="auto"/>
        <w:tabs>
          <w:tab w:leader="none" w:pos="353"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Award</w:t>
      </w:r>
      <w:r>
        <w:rPr>
          <w:rFonts w:ascii="Times New Roman" w:cs="Times New Roman" w:eastAsia="Times New Roman" w:hAnsi="Times New Roman"/>
          <w:sz w:val="17"/>
          <w:szCs w:val="17"/>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31" w:lineRule="exact"/>
        <w:rPr>
          <w:rFonts w:ascii="Times New Roman" w:cs="Times New Roman" w:eastAsia="Times New Roman" w:hAnsi="Times New Roman"/>
          <w:sz w:val="17"/>
          <w:szCs w:val="17"/>
          <w:b w:val="1"/>
          <w:bCs w:val="1"/>
          <w:color w:val="auto"/>
        </w:rPr>
      </w:pPr>
    </w:p>
    <w:p>
      <w:pPr>
        <w:ind w:left="8" w:right="500" w:hanging="8"/>
        <w:spacing w:after="0" w:line="286" w:lineRule="auto"/>
        <w:tabs>
          <w:tab w:leader="none" w:pos="333"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5" w:lineRule="exact"/>
        <w:rPr>
          <w:sz w:val="20"/>
          <w:szCs w:val="20"/>
          <w:color w:val="auto"/>
        </w:rPr>
      </w:pPr>
    </w:p>
    <w:p>
      <w:pPr>
        <w:ind w:left="8" w:hanging="8"/>
        <w:spacing w:after="0" w:line="259" w:lineRule="auto"/>
        <w:tabs>
          <w:tab w:leader="none" w:pos="443"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ordinary shares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8" w:right="140" w:hanging="8"/>
        <w:spacing w:after="0" w:line="286" w:lineRule="auto"/>
        <w:tabs>
          <w:tab w:leader="none" w:pos="473"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408" w:hanging="408"/>
        <w:spacing w:after="0"/>
        <w:tabs>
          <w:tab w:leader="none" w:pos="40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sectPr>
      <w:pgSz w:w="11900" w:h="16838" w:orient="portrait"/>
      <w:cols w:equalWidth="0" w:num="1">
        <w:col w:w="11068"/>
      </w:cols>
      <w:pgMar w:left="472"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decimal"/>
      <w:start w:val="2"/>
    </w:lvl>
  </w:abstractNum>
  <w:abstractNum w:abstractNumId="3">
    <w:nsid w:val="6A2342EC"/>
    <w:multiLevelType w:val="hybridMultilevel"/>
    <w:lvl w:ilvl="0">
      <w:lvlJc w:val="left"/>
      <w:lvlText w:val="%1."/>
      <w:numFmt w:val="decimal"/>
      <w:start w:val="3"/>
    </w:lvl>
  </w:abstractNum>
  <w:abstractNum w:abstractNumId="4">
    <w:nsid w:val="2A487CB0"/>
    <w:multiLevelType w:val="hybridMultilevel"/>
    <w:lvl w:ilvl="0">
      <w:lvlJc w:val="left"/>
      <w:lvlText w:val="%1."/>
      <w:numFmt w:val="decimal"/>
      <w:start w:val="4"/>
    </w:lvl>
  </w:abstractNum>
  <w:abstractNum w:abstractNumId="5">
    <w:nsid w:val="1D4ED43B"/>
    <w:multiLevelType w:val="hybridMultilevel"/>
    <w:lvl w:ilvl="0">
      <w:lvlJc w:val="left"/>
      <w:lvlText w:val="%1."/>
      <w:numFmt w:val="decimal"/>
      <w:start w:val="5"/>
    </w:lvl>
  </w:abstractNum>
  <w:abstractNum w:abstractNumId="6">
    <w:nsid w:val="725A06FB"/>
    <w:multiLevelType w:val="hybridMultilevel"/>
    <w:lvl w:ilvl="0">
      <w:lvlJc w:val="left"/>
      <w:lvlText w:val="%1."/>
      <w:numFmt w:val="decimal"/>
      <w:start w:val="6"/>
    </w:lvl>
  </w:abstractNum>
  <w:abstractNum w:abstractNumId="7">
    <w:nsid w:val="2CD89A32"/>
    <w:multiLevelType w:val="hybridMultilevel"/>
    <w:lvl w:ilvl="0">
      <w:lvlJc w:val="left"/>
      <w:lvlText w:val="%1."/>
      <w:numFmt w:val="decimal"/>
      <w:start w:val="7"/>
    </w:lvl>
  </w:abstractNum>
  <w:abstractNum w:abstractNumId="8">
    <w:nsid w:val="57E4CCAF"/>
    <w:multiLevelType w:val="hybridMultilevel"/>
    <w:lvl w:ilvl="0">
      <w:lvlJc w:val="left"/>
      <w:lvlText w:val="%1."/>
      <w:numFmt w:val="decimal"/>
      <w:start w:val="8"/>
    </w:lvl>
  </w:abstractNum>
  <w:abstractNum w:abstractNumId="9">
    <w:nsid w:val="7A6D8D3C"/>
    <w:multiLevelType w:val="hybridMultilevel"/>
    <w:lvl w:ilvl="0">
      <w:lvlJc w:val="left"/>
      <w:lvlText w:val="%1."/>
      <w:numFmt w:val="decimal"/>
      <w:start w:val="9"/>
    </w:lvl>
  </w:abstractNum>
  <w:abstractNum w:abstractNumId="10">
    <w:nsid w:val="4B588F54"/>
    <w:multiLevelType w:val="hybridMultilevel"/>
    <w:lvl w:ilvl="0">
      <w:lvlJc w:val="left"/>
      <w:lvlText w:val="%1."/>
      <w:numFmt w:val="decimal"/>
      <w:start w:val="10"/>
    </w:lvl>
  </w:abstractNum>
  <w:abstractNum w:abstractNumId="11">
    <w:nsid w:val="542289EC"/>
    <w:multiLevelType w:val="hybridMultilevel"/>
    <w:lvl w:ilvl="0">
      <w:lvlJc w:val="left"/>
      <w:lvlText w:val="%1."/>
      <w:numFmt w:val="decimal"/>
      <w:start w:val="11"/>
    </w:lvl>
  </w:abstractNum>
  <w:abstractNum w:abstractNumId="12">
    <w:nsid w:val="6DE91B18"/>
    <w:multiLevelType w:val="hybridMultilevel"/>
    <w:lvl w:ilvl="0">
      <w:lvlJc w:val="left"/>
      <w:lvlText w:val="%1."/>
      <w:numFmt w:val="decimal"/>
      <w:start w:val="12"/>
    </w:lvl>
  </w:abstractNum>
  <w:abstractNum w:abstractNumId="13">
    <w:nsid w:val="38437FDB"/>
    <w:multiLevelType w:val="hybridMultilevel"/>
    <w:lvl w:ilvl="0">
      <w:lvlJc w:val="left"/>
      <w:lvlText w:val="%1."/>
      <w:numFmt w:val="decimal"/>
      <w:start w:val="13"/>
    </w:lvl>
  </w:abstractNum>
  <w:abstractNum w:abstractNumId="14">
    <w:nsid w:val="7644A45C"/>
    <w:multiLevelType w:val="hybridMultilevel"/>
    <w:lvl w:ilvl="0">
      <w:lvlJc w:val="left"/>
      <w:lvlText w:val="%1."/>
      <w:numFmt w:val="decimal"/>
      <w:start w:val="14"/>
    </w:lvl>
  </w:abstractNum>
  <w:abstractNum w:abstractNumId="15">
    <w:nsid w:val="32FFF902"/>
    <w:multiLevelType w:val="hybridMultilevel"/>
    <w:lvl w:ilvl="0">
      <w:lvlJc w:val="left"/>
      <w:lvlText w:val="%1."/>
      <w:numFmt w:val="decimal"/>
      <w:start w:val="15"/>
    </w:lvl>
  </w:abstractNum>
  <w:abstractNum w:abstractNumId="16">
    <w:nsid w:val="684A481A"/>
    <w:multiLevelType w:val="hybridMultilevel"/>
    <w:lvl w:ilvl="0">
      <w:lvlJc w:val="left"/>
      <w:lvlText w:val="%1."/>
      <w:numFmt w:val="decimal"/>
      <w:start w:val="16"/>
    </w:lvl>
  </w:abstractNum>
  <w:abstractNum w:abstractNumId="17">
    <w:nsid w:val="579478FE"/>
    <w:multiLevelType w:val="hybridMultilevel"/>
    <w:lvl w:ilvl="0">
      <w:lvlJc w:val="left"/>
      <w:lvlText w:val="%1."/>
      <w:numFmt w:val="decimal"/>
      <w:start w:val="17"/>
    </w:lvl>
  </w:abstractNum>
  <w:abstractNum w:abstractNumId="18">
    <w:nsid w:val="749ABB43"/>
    <w:multiLevelType w:val="hybridMultilevel"/>
    <w:lvl w:ilvl="0">
      <w:lvlJc w:val="left"/>
      <w:lvlText w:val="%1."/>
      <w:numFmt w:val="decimal"/>
      <w:start w:val="18"/>
    </w:lvl>
  </w:abstractNum>
  <w:abstractNum w:abstractNumId="19">
    <w:nsid w:val="3DC240FB"/>
    <w:multiLevelType w:val="hybridMultilevel"/>
    <w:lvl w:ilvl="0">
      <w:lvlJc w:val="left"/>
      <w:lvlText w:val="%1."/>
      <w:numFmt w:val="decimal"/>
      <w:start w:val="19"/>
    </w:lvl>
  </w:abstractNum>
  <w:abstractNum w:abstractNumId="20">
    <w:nsid w:val="1BA026FA"/>
    <w:multiLevelType w:val="hybridMultilevel"/>
    <w:lvl w:ilvl="0">
      <w:lvlJc w:val="left"/>
      <w:lvlText w:val="%1."/>
      <w:numFmt w:val="decimal"/>
      <w:start w:val="20"/>
    </w:lvl>
  </w:abstractNum>
  <w:abstractNum w:abstractNumId="21">
    <w:nsid w:val="79A1DEAA"/>
    <w:multiLevelType w:val="hybridMultilevel"/>
    <w:lvl w:ilvl="0">
      <w:lvlJc w:val="left"/>
      <w:lvlText w:val="%1."/>
      <w:numFmt w:val="decimal"/>
      <w:start w:val="21"/>
    </w:lvl>
  </w:abstractNum>
  <w:abstractNum w:abstractNumId="22">
    <w:nsid w:val="75C6C33A"/>
    <w:multiLevelType w:val="hybridMultilevel"/>
    <w:lvl w:ilvl="0">
      <w:lvlJc w:val="left"/>
      <w:lvlText w:val="%1."/>
      <w:numFmt w:val="decimal"/>
      <w:start w:val="22"/>
    </w:lvl>
  </w:abstractNum>
  <w:abstractNum w:abstractNumId="23">
    <w:nsid w:val="12E685FB"/>
    <w:multiLevelType w:val="hybridMultilevel"/>
    <w:lvl w:ilvl="0">
      <w:lvlJc w:val="left"/>
      <w:lvlText w:val="%1."/>
      <w:numFmt w:val="decimal"/>
      <w:start w:val="23"/>
    </w:lvl>
  </w:abstractNum>
  <w:abstractNum w:abstractNumId="24">
    <w:nsid w:val="70C6A529"/>
    <w:multiLevelType w:val="hybridMultilevel"/>
    <w:lvl w:ilvl="0">
      <w:lvlJc w:val="left"/>
      <w:lvlText w:val="%1."/>
      <w:numFmt w:val="decimal"/>
      <w:start w:val="24"/>
    </w:lvl>
  </w:abstractNum>
  <w:abstractNum w:abstractNumId="25">
    <w:nsid w:val="520EEDD1"/>
    <w:multiLevelType w:val="hybridMultilevel"/>
    <w:lvl w:ilvl="0">
      <w:lvlJc w:val="left"/>
      <w:lvlText w:val="%1."/>
      <w:numFmt w:val="decimal"/>
      <w:start w:val="25"/>
    </w:lvl>
  </w:abstractNum>
  <w:abstractNum w:abstractNumId="26">
    <w:nsid w:val="374A3FE6"/>
    <w:multiLevelType w:val="hybridMultilevel"/>
    <w:lvl w:ilvl="0">
      <w:lvlJc w:val="left"/>
      <w:lvlText w:val="%1."/>
      <w:numFmt w:val="decimal"/>
      <w:start w:val="26"/>
    </w:lvl>
  </w:abstractNum>
  <w:abstractNum w:abstractNumId="27">
    <w:nsid w:val="4F4EF005"/>
    <w:multiLevelType w:val="hybridMultilevel"/>
    <w:lvl w:ilvl="0">
      <w:lvlJc w:val="left"/>
      <w:lvlText w:val="%1."/>
      <w:numFmt w:val="decimal"/>
      <w:start w:val="27"/>
    </w:lvl>
  </w:abstractNum>
  <w:abstractNum w:abstractNumId="28">
    <w:nsid w:val="23F9C13C"/>
    <w:multiLevelType w:val="hybridMultilevel"/>
    <w:lvl w:ilvl="0">
      <w:lvlJc w:val="left"/>
      <w:lvlText w:val="%1."/>
      <w:numFmt w:val="decimal"/>
      <w:start w:val="28"/>
    </w:lvl>
  </w:abstractNum>
  <w:abstractNum w:abstractNumId="29">
    <w:nsid w:val="649BB77C"/>
    <w:multiLevelType w:val="hybridMultilevel"/>
    <w:lvl w:ilvl="0">
      <w:lvlJc w:val="left"/>
      <w:lvlText w:val="%1."/>
      <w:numFmt w:val="decimal"/>
      <w:start w:val="29"/>
    </w:lvl>
  </w:abstractNum>
  <w:abstractNum w:abstractNumId="30">
    <w:nsid w:val="275AC794"/>
    <w:multiLevelType w:val="hybridMultilevel"/>
    <w:lvl w:ilvl="0">
      <w:lvlJc w:val="left"/>
      <w:lvlText w:val="%1."/>
      <w:numFmt w:val="decimal"/>
      <w:start w:val="30"/>
    </w:lvl>
  </w:abstractNum>
  <w:abstractNum w:abstractNumId="31">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1CF10FD8"/>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33">
    <w:nsid w:val="180115B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4">
    <w:nsid w:val="235BA86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35">
    <w:nsid w:val="47398C89"/>
    <w:multiLevelType w:val="hybridMultilevel"/>
    <w:lvl w:ilvl="0">
      <w:lvlJc w:val="left"/>
      <w:lvlText w:val="%1."/>
      <w:numFmt w:val="lowerRoman"/>
      <w:start w:val="1"/>
    </w:lvl>
  </w:abstractNum>
  <w:abstractNum w:abstractNumId="36">
    <w:nsid w:val="354FE9F9"/>
    <w:multiLevelType w:val="hybridMultilevel"/>
    <w:lvl w:ilvl="0">
      <w:lvlJc w:val="left"/>
      <w:lvlText w:val="%1."/>
      <w:numFmt w:val="lowerRoman"/>
      <w:start w:val="2"/>
    </w:lvl>
  </w:abstractNum>
  <w:abstractNum w:abstractNumId="37">
    <w:nsid w:val="15B5AF5C"/>
    <w:multiLevelType w:val="hybridMultilevel"/>
    <w:lvl w:ilvl="0">
      <w:lvlJc w:val="left"/>
      <w:lvlText w:val="%1."/>
      <w:numFmt w:val="lowerRoman"/>
      <w:start w:val="6"/>
    </w:lvl>
  </w:abstractNum>
  <w:abstractNum w:abstractNumId="38">
    <w:nsid w:val="741226BB"/>
    <w:multiLevelType w:val="hybridMultilevel"/>
    <w:lvl w:ilvl="0">
      <w:lvlJc w:val="left"/>
      <w:lvlText w:val="%1."/>
      <w:numFmt w:val="lowerRoman"/>
      <w:start w:val="8"/>
    </w:lvl>
  </w:abstractNum>
  <w:abstractNum w:abstractNumId="39">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0"/>
    </w:lvl>
    <w:lvl w:ilvl="4">
      <w:lvlJc w:val="left"/>
      <w:lvlText w:val="%5"/>
      <w:numFmt w:val="lowerRoman"/>
      <w:start w:val="1"/>
    </w:lvl>
  </w:abstractNum>
  <w:abstractNum w:abstractNumId="40">
    <w:nsid w:val="10233C9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3"/>
    </w:lvl>
    <w:lvl w:ilvl="3">
      <w:lvlJc w:val="left"/>
      <w:lvlText w:val="%4"/>
      <w:numFmt w:val="lowerRoman"/>
      <w:start w:val="1"/>
    </w:lvl>
    <w:lvl w:ilvl="4">
      <w:lvlJc w:val="left"/>
      <w:lvlText w:val="(%5)"/>
      <w:numFmt w:val="lowerRoman"/>
      <w:start w:val="1"/>
    </w:lvl>
  </w:abstractNum>
  <w:abstractNum w:abstractNumId="41">
    <w:nsid w:val="3F6AB60F"/>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42">
    <w:nsid w:val="61574095"/>
    <w:multiLevelType w:val="hybridMultilevel"/>
    <w:lvl w:ilvl="0">
      <w:lvlJc w:val="left"/>
      <w:lvlText w:val="(%1)"/>
      <w:numFmt w:val="lowerLetter"/>
      <w:start w:val="4"/>
    </w:lvl>
  </w:abstractNum>
  <w:abstractNum w:abstractNumId="43">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44">
    <w:nsid w:val="77AE35E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5">
    <w:nsid w:val="579BE4F1"/>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Roman"/>
      <w:start w:val="1"/>
    </w:lvl>
  </w:abstractNum>
  <w:abstractNum w:abstractNumId="46">
    <w:nsid w:val="310C50B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47">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8">
    <w:nsid w:val="2F305DEF"/>
    <w:multiLevelType w:val="hybridMultilevel"/>
    <w:lvl w:ilvl="0">
      <w:lvlJc w:val="left"/>
      <w:lvlText w:val="(%1)"/>
      <w:numFmt w:val="lowerLetter"/>
      <w:start w:val="1"/>
    </w:lvl>
    <w:lvl w:ilvl="1">
      <w:lvlJc w:val="left"/>
      <w:lvlText w:val="(%2)"/>
      <w:numFmt w:val="lowerRoman"/>
      <w:start w:val="1"/>
    </w:lvl>
  </w:abstractNum>
  <w:abstractNum w:abstractNumId="49">
    <w:nsid w:val="25A70BF7"/>
    <w:multiLevelType w:val="hybridMultilevel"/>
    <w:lvl w:ilvl="0">
      <w:lvlJc w:val="left"/>
      <w:lvlText w:val="(%1)"/>
      <w:numFmt w:val="lowerLetter"/>
      <w:start w:val="4"/>
    </w:lvl>
    <w:lvl w:ilvl="1">
      <w:lvlJc w:val="left"/>
      <w:lvlText w:val="(%2)"/>
      <w:numFmt w:val="lowerLetter"/>
      <w:start w:val="9"/>
    </w:lvl>
  </w:abstractNum>
  <w:abstractNum w:abstractNumId="50">
    <w:nsid w:val="1DBABF00"/>
    <w:multiLevelType w:val="hybridMultilevel"/>
    <w:lvl w:ilvl="0">
      <w:lvlJc w:val="left"/>
      <w:lvlText w:val="(%1)"/>
      <w:numFmt w:val="lowerRoman"/>
      <w:start w:val="1"/>
    </w:lvl>
  </w:abstractNum>
  <w:abstractNum w:abstractNumId="51">
    <w:nsid w:val="4AD084E9"/>
    <w:multiLevelType w:val="hybridMultilevel"/>
    <w:lvl w:ilvl="0">
      <w:lvlJc w:val="left"/>
      <w:lvlText w:val="%1"/>
      <w:numFmt w:val="lowerLetter"/>
      <w:start w:val="1"/>
    </w:lvl>
    <w:lvl w:ilvl="1">
      <w:lvlJc w:val="left"/>
      <w:lvlText w:val="(%2)"/>
      <w:numFmt w:val="lowerLetter"/>
      <w:start w:val="61"/>
    </w:lvl>
  </w:abstractNum>
  <w:abstractNum w:abstractNumId="52">
    <w:nsid w:val="1F48EAA1"/>
    <w:multiLevelType w:val="hybridMultilevel"/>
    <w:lvl w:ilvl="0">
      <w:lvlJc w:val="left"/>
      <w:lvlText w:val="(%1)"/>
      <w:numFmt w:val="lowerLetter"/>
      <w:start w:val="6"/>
    </w:lvl>
    <w:lvl w:ilvl="1">
      <w:lvlJc w:val="left"/>
      <w:lvlText w:val="%2"/>
      <w:numFmt w:val="lowerLetter"/>
      <w:start w:val="1"/>
    </w:lvl>
  </w:abstractNum>
  <w:abstractNum w:abstractNumId="53">
    <w:nsid w:val="1381823A"/>
    <w:multiLevelType w:val="hybridMultilevel"/>
    <w:lvl w:ilvl="0">
      <w:lvlJc w:val="left"/>
      <w:lvlText w:val="(%1)"/>
      <w:numFmt w:val="lowerLetter"/>
      <w:start w:val="11"/>
    </w:lvl>
  </w:abstractNum>
  <w:abstractNum w:abstractNumId="54">
    <w:nsid w:val="5DB70AE5"/>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lvl w:ilvl="3">
      <w:lvlJc w:val="left"/>
      <w:lvlText w:val="%4"/>
      <w:numFmt w:val="lowerRoman"/>
      <w:start w:val="1"/>
    </w:lvl>
  </w:abstractNum>
  <w:abstractNum w:abstractNumId="55">
    <w:nsid w:val="100F8FC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6">
    <w:nsid w:val="6590700B"/>
    <w:multiLevelType w:val="hybridMultilevel"/>
    <w:lvl w:ilvl="0">
      <w:lvlJc w:val="left"/>
      <w:lvlText w:val="(%1)"/>
      <w:numFmt w:val="lowerRoman"/>
      <w:start w:val="6"/>
    </w:lvl>
  </w:abstractNum>
  <w:abstractNum w:abstractNumId="57">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
    <w:nsid w:val="5F5E7FD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9">
    <w:nsid w:val="98A3148"/>
    <w:multiLevelType w:val="hybridMultilevel"/>
    <w:lvl w:ilvl="0">
      <w:lvlJc w:val="left"/>
      <w:lvlText w:val="%1."/>
      <w:numFmt w:val="decimal"/>
      <w:start w:val="8"/>
    </w:lvl>
    <w:lvl w:ilvl="1">
      <w:lvlJc w:val="left"/>
      <w:lvlText w:val="(%2)"/>
      <w:numFmt w:val="lowerLetter"/>
      <w:start w:val="1"/>
    </w:lvl>
  </w:abstractNum>
  <w:abstractNum w:abstractNumId="60">
    <w:nsid w:val="799D0247"/>
    <w:multiLevelType w:val="hybridMultilevel"/>
    <w:lvl w:ilvl="0">
      <w:lvlJc w:val="left"/>
      <w:lvlText w:val="%1"/>
      <w:numFmt w:val="decimal"/>
      <w:start w:val="1"/>
    </w:lvl>
    <w:lvl w:ilvl="1">
      <w:lvlJc w:val="left"/>
      <w:lvlText w:val="(%2)"/>
      <w:numFmt w:val="lowerLetter"/>
      <w:start w:val="61"/>
    </w:lvl>
  </w:abstractNum>
  <w:abstractNum w:abstractNumId="61">
    <w:nsid w:val="6B94764"/>
    <w:multiLevelType w:val="hybridMultilevel"/>
    <w:lvl w:ilvl="0">
      <w:lvlJc w:val="left"/>
      <w:lvlText w:val="%1"/>
      <w:numFmt w:val="decimal"/>
      <w:start w:val="1"/>
    </w:lvl>
    <w:lvl w:ilvl="1">
      <w:lvlJc w:val="left"/>
      <w:lvlText w:val="(%2)"/>
      <w:numFmt w:val="lowerLetter"/>
      <w:start w:val="9"/>
    </w:lvl>
  </w:abstractNum>
  <w:abstractNum w:abstractNumId="62">
    <w:nsid w:val="42C296BD"/>
    <w:multiLevelType w:val="hybridMultilevel"/>
    <w:lvl w:ilvl="0">
      <w:lvlJc w:val="left"/>
      <w:lvlText w:val="(%1)"/>
      <w:numFmt w:val="lowerLetter"/>
      <w:start w:val="11"/>
    </w:lvl>
  </w:abstractNum>
  <w:abstractNum w:abstractNumId="63">
    <w:nsid w:val="168E121F"/>
    <w:multiLevelType w:val="hybridMultilevel"/>
    <w:lvl w:ilvl="0">
      <w:lvlJc w:val="left"/>
      <w:lvlText w:val="(%1)"/>
      <w:numFmt w:val="lowerLetter"/>
      <w:start w:val="1"/>
    </w:lvl>
    <w:lvl w:ilvl="1">
      <w:lvlJc w:val="left"/>
      <w:lvlText w:val="(%2)"/>
      <w:numFmt w:val="lowerRoman"/>
      <w:start w:val="1"/>
    </w:lvl>
  </w:abstractNum>
  <w:abstractNum w:abstractNumId="64">
    <w:nsid w:val="1EBA5D23"/>
    <w:multiLevelType w:val="hybridMultilevel"/>
    <w:lvl w:ilvl="0">
      <w:lvlJc w:val="left"/>
      <w:lvlText w:val="(%1)"/>
      <w:numFmt w:val="lowerLetter"/>
      <w:start w:val="4"/>
    </w:lvl>
  </w:abstractNum>
  <w:abstractNum w:abstractNumId="65">
    <w:nsid w:val="661E3F1E"/>
    <w:multiLevelType w:val="hybridMultilevel"/>
    <w:lvl w:ilvl="0">
      <w:lvlJc w:val="left"/>
      <w:lvlText w:val="%1."/>
      <w:numFmt w:val="decimal"/>
      <w:start w:val="13"/>
    </w:lvl>
  </w:abstractNum>
  <w:abstractNum w:abstractNumId="66">
    <w:nsid w:val="5DC79EA8"/>
    <w:multiLevelType w:val="hybridMultilevel"/>
    <w:lvl w:ilvl="0">
      <w:lvlJc w:val="left"/>
      <w:lvlText w:val="(%1)"/>
      <w:numFmt w:val="lowerLetter"/>
      <w:start w:val="1"/>
    </w:lvl>
    <w:lvl w:ilvl="1">
      <w:lvlJc w:val="left"/>
      <w:lvlText w:val="(%2)"/>
      <w:numFmt w:val="lowerLetter"/>
      <w:start w:val="9"/>
    </w:lvl>
  </w:abstractNum>
  <w:abstractNum w:abstractNumId="67">
    <w:nsid w:val="540A471C"/>
    <w:multiLevelType w:val="hybridMultilevel"/>
    <w:lvl w:ilvl="0">
      <w:lvlJc w:val="left"/>
      <w:lvlText w:val="(%1)"/>
      <w:numFmt w:val="lowerRoman"/>
      <w:start w:val="2"/>
    </w:lvl>
  </w:abstractNum>
  <w:abstractNum w:abstractNumId="68">
    <w:nsid w:val="7BD3EE7B"/>
    <w:multiLevelType w:val="hybridMultilevel"/>
    <w:lvl w:ilvl="0">
      <w:lvlJc w:val="left"/>
      <w:lvlText w:val="(%1)"/>
      <w:numFmt w:val="lowerLetter"/>
      <w:start w:val="8"/>
    </w:lvl>
  </w:abstractNum>
  <w:abstractNum w:abstractNumId="69">
    <w:nsid w:val="51D9C564"/>
    <w:multiLevelType w:val="hybridMultilevel"/>
    <w:lvl w:ilvl="0">
      <w:lvlJc w:val="left"/>
      <w:lvlText w:val="(%1)"/>
      <w:numFmt w:val="lowerLetter"/>
      <w:start w:val="11"/>
    </w:lvl>
    <w:lvl w:ilvl="1">
      <w:lvlJc w:val="left"/>
      <w:lvlText w:val="%2"/>
      <w:numFmt w:val="lowerRoman"/>
      <w:start w:val="1"/>
    </w:lvl>
  </w:abstractNum>
  <w:abstractNum w:abstractNumId="70">
    <w:nsid w:val="613EFDC5"/>
    <w:multiLevelType w:val="hybridMultilevel"/>
    <w:lvl w:ilvl="0">
      <w:lvlJc w:val="left"/>
      <w:lvlText w:val="(%1)"/>
      <w:numFmt w:val="lowerLetter"/>
      <w:start w:val="9"/>
    </w:lvl>
    <w:lvl w:ilvl="1">
      <w:lvlJc w:val="left"/>
      <w:lvlText w:val="%2"/>
      <w:numFmt w:val="lowerRoman"/>
      <w:start w:val="1"/>
    </w:lvl>
  </w:abstractNum>
  <w:abstractNum w:abstractNumId="71">
    <w:nsid w:val="BF72B14"/>
    <w:multiLevelType w:val="hybridMultilevel"/>
    <w:lvl w:ilvl="0">
      <w:lvlJc w:val="left"/>
      <w:lvlText w:val="(%1)"/>
      <w:numFmt w:val="lowerLetter"/>
      <w:start w:val="13"/>
    </w:lvl>
    <w:lvl w:ilvl="1">
      <w:lvlJc w:val="left"/>
      <w:lvlText w:val="(%2)"/>
      <w:numFmt w:val="lowerRoman"/>
      <w:start w:val="1"/>
    </w:lvl>
  </w:abstractNum>
  <w:abstractNum w:abstractNumId="72">
    <w:nsid w:val="11447B73"/>
    <w:multiLevelType w:val="hybridMultilevel"/>
    <w:lvl w:ilvl="0">
      <w:lvlJc w:val="left"/>
      <w:lvlText w:val="(%1)"/>
      <w:numFmt w:val="lowerLetter"/>
      <w:start w:val="15"/>
    </w:lvl>
    <w:lvl w:ilvl="1">
      <w:lvlJc w:val="left"/>
      <w:lvlText w:val="(%2)"/>
      <w:numFmt w:val="lowerRoman"/>
      <w:start w:val="1"/>
    </w:lvl>
  </w:abstractNum>
  <w:abstractNum w:abstractNumId="73">
    <w:nsid w:val="42963E5A"/>
    <w:multiLevelType w:val="hybridMultilevel"/>
    <w:lvl w:ilvl="0">
      <w:lvlJc w:val="left"/>
      <w:lvlText w:val="(%1)"/>
      <w:numFmt w:val="lowerLetter"/>
      <w:start w:val="27"/>
    </w:lvl>
  </w:abstractNum>
  <w:abstractNum w:abstractNumId="74">
    <w:nsid w:val="A0382C5"/>
    <w:multiLevelType w:val="hybridMultilevel"/>
    <w:lvl w:ilvl="0">
      <w:lvlJc w:val="left"/>
      <w:lvlText w:val="(%1)"/>
      <w:numFmt w:val="lowerLetter"/>
      <w:start w:val="33"/>
    </w:lvl>
  </w:abstractNum>
  <w:abstractNum w:abstractNumId="75">
    <w:nsid w:val="8F2B15E"/>
    <w:multiLevelType w:val="hybridMultilevel"/>
    <w:lvl w:ilvl="0">
      <w:lvlJc w:val="left"/>
      <w:lvlText w:val="(%1)"/>
      <w:numFmt w:val="lowerLetter"/>
      <w:start w:val="35"/>
    </w:lvl>
  </w:abstractNum>
  <w:abstractNum w:abstractNumId="76">
    <w:nsid w:val="1A32234B"/>
    <w:multiLevelType w:val="hybridMultilevel"/>
    <w:lvl w:ilvl="0">
      <w:lvlJc w:val="left"/>
      <w:lvlText w:val="(%1)"/>
      <w:numFmt w:val="lowerLetter"/>
      <w:start w:val="76"/>
    </w:lvl>
  </w:abstractNum>
  <w:abstractNum w:abstractNumId="77">
    <w:nsid w:val="3B0FD379"/>
    <w:multiLevelType w:val="hybridMultilevel"/>
    <w:lvl w:ilvl="0">
      <w:lvlJc w:val="left"/>
      <w:lvlText w:val="(%1)"/>
      <w:numFmt w:val="lowerLetter"/>
      <w:start w:val="39"/>
    </w:lvl>
  </w:abstractNum>
  <w:abstractNum w:abstractNumId="78">
    <w:nsid w:val="68EB2F63"/>
    <w:multiLevelType w:val="hybridMultilevel"/>
    <w:lvl w:ilvl="0">
      <w:lvlJc w:val="left"/>
      <w:lvlText w:val="(%1)"/>
      <w:numFmt w:val="lowerLetter"/>
      <w:start w:val="47"/>
    </w:lvl>
  </w:abstractNum>
  <w:abstractNum w:abstractNumId="79">
    <w:nsid w:val="4962813B"/>
    <w:multiLevelType w:val="hybridMultilevel"/>
    <w:lvl w:ilvl="0">
      <w:lvlJc w:val="left"/>
      <w:lvlText w:val="(%1)"/>
      <w:numFmt w:val="lowerLetter"/>
      <w:start w:val="48"/>
    </w:lvl>
  </w:abstractNum>
  <w:abstractNum w:abstractNumId="80">
    <w:nsid w:val="60B6DF70"/>
    <w:multiLevelType w:val="hybridMultilevel"/>
    <w:lvl w:ilvl="0">
      <w:lvlJc w:val="left"/>
      <w:lvlText w:val="(%1)"/>
      <w:numFmt w:val="low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9" Type="http://schemas.openxmlformats.org/officeDocument/2006/relationships/hyperlink" Target="http://www.sec.gov/ix?doc=/Archives/edgar/data/0001668243/000143774926014237/urgn20260312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2026-06-23T15:18:51Z</dcterms:created>
  <dcterms:modified xsi:type="dcterms:W3CDTF">2026-06-23T15:18:51Z</dcterms:modified>
</cp:coreProperties>
</file>