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rgn20260819_8k.htm"/>
      <w:bookmarkStart w:id="1" w:name="ksurgn20260819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UROGEN PHARMA LTD.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255"/>
        <w:gridCol w:w="1145"/>
        <w:gridCol w:w="1550"/>
      </w:tblGrid>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Israel</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001-38079</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98-1460746</w:t>
            </w:r>
          </w:p>
        </w:tc>
      </w:tr>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400 Alexander Park Drive, 4th Floor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Princeton, New Jersey</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08540</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+1 (646) 768-9780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28" w:type="dxa"/>
          <w:right w:w="0" w:type="dxa"/>
        </w:tblCellMar>
      </w:tblPr>
      <w:tblGrid>
        <w:gridCol w:w="3665"/>
        <w:gridCol w:w="60"/>
        <w:gridCol w:w="860"/>
        <w:gridCol w:w="60"/>
        <w:gridCol w:w="2540"/>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5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Ordinary Shares, par value NIS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URGN</w:t>
            </w:r>
          </w:p>
        </w:tc>
        <w:tc>
          <w:tcPr>
            <w:tcW w:w="60" w:type="dxa"/>
            <w:tcBorders/>
            <w:tcMar>
              <w:bottom w:w="0" w:type="dxa"/>
            </w:tcMar>
            <w:vAlign w:val="center"/>
          </w:tcPr>
          <w:p>
            <w:pPr>
              <w:pStyle w:val="TableContents"/>
              <w:bidi w:val="0"/>
              <w:spacing w:before="0" w:after="283"/>
              <w:jc w:val="left"/>
              <w:rPr/>
            </w:pPr>
            <w:r>
              <w:rPr/>
              <w:t> </w:t>
            </w:r>
          </w:p>
        </w:tc>
        <w:tc>
          <w:tcPr>
            <w:tcW w:w="25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w:t>
      </w:r>
      <w:r>
        <w:rPr>
          <w:rFonts w:ascii="Times New Roman" w:hAnsi="Times New Roman"/>
          <w:b/>
          <w:caps w:val="false"/>
          <w:smallCaps w:val="false"/>
          <w:sz w:val="20"/>
        </w:rPr>
        <w:t xml:space="preserve">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18, 2026, UroGen Pharma Ltd. (“the Company”), through its wholly owned subsidiary UroGen Pharma, Inc. (“UroGen U.S.”), entered into an Option and Research License Agreement (the “Option Agreement”) with IntraGel Therapeutics, Ltd. (“IntraGel”), a company organized under the laws of Israel. Pursuant to the Option Agreement, UroGen U.S. obtained from IntraGel (i) an exclusive option to obtain an exclusive, worldwide license under certain intellectual property rights of IntraGel to develop, commercialize and exploit IntraGel’s TumoCure product formulated with IntraGel’s proprietary, biodegradable hydrogel sustained-release delivery platform (collectively, “SRGel platform”) for the treatment of advanced head and neck cancer, (ii) options to obtain exclusive, worldwide licenses under certain intellectual property rights of IntraGel to develop and commercialize additional products combining IntraGel’s SRGel platform with compounds to be designated by UroGen U.S. and (iii) a non-exclusive license to research and evaluate IntraGel's SRGel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Option Agreement, on August 18, 2026, the Company entered into a Securities Purchase Agreement with IntraGel, pursuant to which the Company has agreed to invest up to $7,000,000 in the equity securities of IntraGel.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50"/>
        <w:gridCol w:w="328"/>
        <w:gridCol w:w="1927"/>
        <w:gridCol w:w="6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20, 2026</w:t>
            </w:r>
          </w:p>
        </w:tc>
        <w:tc>
          <w:tcPr>
            <w:tcW w:w="22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UROGEN PHARMA LTD.</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Chris Degnan</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 Degnan</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528</Words>
  <Characters>3020</Characters>
  <CharactersWithSpaces>3593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