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Robinson James A.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ALEXANDER PARK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UroGen Pharma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URGN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3"/>
        <w:gridCol w:w="904"/>
        <w:gridCol w:w="772"/>
        <w:gridCol w:w="600"/>
        <w:gridCol w:w="354"/>
        <w:gridCol w:w="865"/>
        <w:gridCol w:w="470"/>
        <w:gridCol w:w="632"/>
        <w:gridCol w:w="1189"/>
        <w:gridCol w:w="1016"/>
        <w:gridCol w:w="93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8,000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ordinary share of the Issuer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D.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4295" TargetMode="External"/><Relationship Id="rId5" Type="http://schemas.openxmlformats.org/officeDocument/2006/relationships/hyperlink" Target="http://www.sec.gov/cgi-bin/browse-edgar?action=getcompany&amp;CIK=000166824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3215</Characters>
  <CharactersWithSpaces>3732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