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UroGen Pharma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1,703,949.00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1,703,949.00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1,703,949.00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1,703,949.00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1,703,949.00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1,703,949.00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1,703,949.00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1,703,949.00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1,703,949.00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1,501,473.00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1,501,473.00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1,501,473.00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UroGen Pharma Ltd.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Ordinary Shares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Ordinary Shares directly beneficially owned by the Fund and the Account. Each Reporting Person disclaims beneficial ownership with respect to any Ordinary Shares other than the Ordinary Shares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March 31,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48,708,280 Ordinary Shares outstanding as of March 31, 2026, as reported by the Issuer in its Form 10-Q filed with the SEC on May 6,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1466</Words>
  <Characters>7496</Characters>
  <CharactersWithSpaces>8897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