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January 16, 2018.</w:t>
      </w:r>
    </w:p>
    <w:p>
      <w:pPr>
        <w:spacing w:after="0" w:line="55" w:lineRule="exact"/>
        <w:rPr>
          <w:sz w:val="24"/>
          <w:szCs w:val="24"/>
          <w:color w:val="auto"/>
        </w:rPr>
      </w:pPr>
    </w:p>
    <w:p>
      <w:pPr>
        <w:ind w:left="93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69977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109220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F-1</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109220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UroGen Pharma Ltd.</w:t>
      </w:r>
    </w:p>
    <w:p>
      <w:pPr>
        <w:spacing w:after="0" w:line="27"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(Exact name of Registrant as specified in its charter)</w:t>
      </w:r>
    </w:p>
    <w:p>
      <w:pPr>
        <w:spacing w:after="0" w:line="37"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51" w:lineRule="exact"/>
        <w:rPr>
          <w:sz w:val="24"/>
          <w:szCs w:val="24"/>
          <w:color w:val="auto"/>
        </w:rPr>
      </w:pPr>
    </w:p>
    <w:tbl>
      <w:tblPr>
        <w:tblLayout w:type="fixed"/>
        <w:tblInd w:w="1100" w:type="dxa"/>
        <w:tblCellMar>
          <w:top w:w="0" w:type="dxa"/>
          <w:left w:w="0" w:type="dxa"/>
          <w:bottom w:w="0" w:type="dxa"/>
          <w:right w:w="0" w:type="dxa"/>
        </w:tblCellMar>
      </w:tblPr>
      <w:tr>
        <w:trPr>
          <w:trHeight w:val="180"/>
        </w:trPr>
        <w:tc>
          <w:tcPr>
            <w:tcW w:w="2820" w:type="dxa"/>
            <w:vAlign w:val="bottom"/>
          </w:tcPr>
          <w:p>
            <w:pPr>
              <w:jc w:val="center"/>
              <w:ind w:right="888"/>
              <w:spacing w:after="0"/>
              <w:rPr>
                <w:sz w:val="20"/>
                <w:szCs w:val="20"/>
                <w:color w:val="auto"/>
              </w:rPr>
            </w:pPr>
            <w:r>
              <w:rPr>
                <w:rFonts w:ascii="Arial" w:cs="Arial" w:eastAsia="Arial" w:hAnsi="Arial"/>
                <w:sz w:val="14"/>
                <w:szCs w:val="14"/>
                <w:b w:val="1"/>
                <w:bCs w:val="1"/>
                <w:color w:val="auto"/>
              </w:rPr>
              <w:t>State of Israel</w:t>
            </w:r>
          </w:p>
        </w:tc>
        <w:tc>
          <w:tcPr>
            <w:tcW w:w="3800" w:type="dxa"/>
            <w:vAlign w:val="bottom"/>
          </w:tcPr>
          <w:p>
            <w:pPr>
              <w:jc w:val="center"/>
              <w:ind w:right="8"/>
              <w:spacing w:after="0"/>
              <w:rPr>
                <w:sz w:val="20"/>
                <w:szCs w:val="20"/>
                <w:color w:val="auto"/>
              </w:rPr>
            </w:pPr>
            <w:r>
              <w:rPr>
                <w:rFonts w:ascii="Arial" w:cs="Arial" w:eastAsia="Arial" w:hAnsi="Arial"/>
                <w:sz w:val="14"/>
                <w:szCs w:val="14"/>
                <w:b w:val="1"/>
                <w:bCs w:val="1"/>
                <w:color w:val="auto"/>
              </w:rPr>
              <w:t>2834</w:t>
            </w:r>
          </w:p>
        </w:tc>
        <w:tc>
          <w:tcPr>
            <w:tcW w:w="2440" w:type="dxa"/>
            <w:vAlign w:val="bottom"/>
          </w:tcPr>
          <w:p>
            <w:pPr>
              <w:jc w:val="center"/>
              <w:ind w:left="96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820" w:type="dxa"/>
            <w:vAlign w:val="bottom"/>
          </w:tcPr>
          <w:p>
            <w:pPr>
              <w:jc w:val="center"/>
              <w:ind w:right="908"/>
              <w:spacing w:after="0"/>
              <w:rPr>
                <w:sz w:val="20"/>
                <w:szCs w:val="20"/>
                <w:color w:val="auto"/>
              </w:rPr>
            </w:pPr>
            <w:r>
              <w:rPr>
                <w:rFonts w:ascii="Arial" w:cs="Arial" w:eastAsia="Arial" w:hAnsi="Arial"/>
                <w:sz w:val="14"/>
                <w:szCs w:val="14"/>
                <w:color w:val="auto"/>
              </w:rPr>
              <w:t>(State or other jurisdiction of</w:t>
            </w:r>
          </w:p>
        </w:tc>
        <w:tc>
          <w:tcPr>
            <w:tcW w:w="3800" w:type="dxa"/>
            <w:vAlign w:val="bottom"/>
          </w:tcPr>
          <w:p>
            <w:pPr>
              <w:jc w:val="center"/>
              <w:ind w:right="8"/>
              <w:spacing w:after="0"/>
              <w:rPr>
                <w:sz w:val="20"/>
                <w:szCs w:val="20"/>
                <w:color w:val="auto"/>
              </w:rPr>
            </w:pPr>
            <w:r>
              <w:rPr>
                <w:rFonts w:ascii="Arial" w:cs="Arial" w:eastAsia="Arial" w:hAnsi="Arial"/>
                <w:sz w:val="14"/>
                <w:szCs w:val="14"/>
                <w:color w:val="auto"/>
              </w:rPr>
              <w:t>(Primary Standard Industrial</w:t>
            </w:r>
          </w:p>
        </w:tc>
        <w:tc>
          <w:tcPr>
            <w:tcW w:w="2440" w:type="dxa"/>
            <w:vAlign w:val="bottom"/>
          </w:tcPr>
          <w:p>
            <w:pPr>
              <w:jc w:val="center"/>
              <w:ind w:left="968"/>
              <w:spacing w:after="0"/>
              <w:rPr>
                <w:sz w:val="20"/>
                <w:szCs w:val="20"/>
                <w:color w:val="auto"/>
              </w:rPr>
            </w:pPr>
            <w:r>
              <w:rPr>
                <w:rFonts w:ascii="Arial" w:cs="Arial" w:eastAsia="Arial" w:hAnsi="Arial"/>
                <w:sz w:val="14"/>
                <w:szCs w:val="14"/>
                <w:color w:val="auto"/>
              </w:rPr>
              <w:t>(I.R.S. Employer</w:t>
            </w:r>
          </w:p>
        </w:tc>
      </w:tr>
      <w:tr>
        <w:trPr>
          <w:trHeight w:val="172"/>
        </w:trPr>
        <w:tc>
          <w:tcPr>
            <w:tcW w:w="2820" w:type="dxa"/>
            <w:vAlign w:val="bottom"/>
          </w:tcPr>
          <w:p>
            <w:pPr>
              <w:jc w:val="center"/>
              <w:ind w:right="888"/>
              <w:spacing w:after="0"/>
              <w:rPr>
                <w:sz w:val="20"/>
                <w:szCs w:val="20"/>
                <w:color w:val="auto"/>
              </w:rPr>
            </w:pPr>
            <w:r>
              <w:rPr>
                <w:rFonts w:ascii="Arial" w:cs="Arial" w:eastAsia="Arial" w:hAnsi="Arial"/>
                <w:sz w:val="14"/>
                <w:szCs w:val="14"/>
                <w:color w:val="auto"/>
              </w:rPr>
              <w:t>incorporation or organization)</w:t>
            </w:r>
          </w:p>
        </w:tc>
        <w:tc>
          <w:tcPr>
            <w:tcW w:w="3800" w:type="dxa"/>
            <w:vAlign w:val="bottom"/>
          </w:tcPr>
          <w:p>
            <w:pPr>
              <w:jc w:val="center"/>
              <w:ind w:right="8"/>
              <w:spacing w:after="0"/>
              <w:rPr>
                <w:sz w:val="20"/>
                <w:szCs w:val="20"/>
                <w:color w:val="auto"/>
              </w:rPr>
            </w:pPr>
            <w:r>
              <w:rPr>
                <w:rFonts w:ascii="Arial" w:cs="Arial" w:eastAsia="Arial" w:hAnsi="Arial"/>
                <w:sz w:val="14"/>
                <w:szCs w:val="14"/>
                <w:color w:val="auto"/>
              </w:rPr>
              <w:t>Classification Code Number)</w:t>
            </w:r>
          </w:p>
        </w:tc>
        <w:tc>
          <w:tcPr>
            <w:tcW w:w="2440" w:type="dxa"/>
            <w:vAlign w:val="bottom"/>
          </w:tcPr>
          <w:p>
            <w:pPr>
              <w:jc w:val="center"/>
              <w:ind w:left="968"/>
              <w:spacing w:after="0"/>
              <w:rPr>
                <w:sz w:val="20"/>
                <w:szCs w:val="20"/>
                <w:color w:val="auto"/>
              </w:rPr>
            </w:pPr>
            <w:r>
              <w:rPr>
                <w:rFonts w:ascii="Arial" w:cs="Arial" w:eastAsia="Arial" w:hAnsi="Arial"/>
                <w:sz w:val="14"/>
                <w:szCs w:val="14"/>
                <w:color w:val="auto"/>
              </w:rPr>
              <w:t>Identification Number)</w:t>
            </w:r>
          </w:p>
        </w:tc>
      </w:tr>
    </w:tbl>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9 Ha’Ta’asiya Street</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Ra’anana 4365007, Israel</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 +972 (9) 770-7601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109220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Urogen Pharma,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499 Park Avenue, 12th Floor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New York, New York 10022</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+1 (646) 768-9780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109220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47" w:lineRule="exact"/>
        <w:rPr>
          <w:sz w:val="24"/>
          <w:szCs w:val="24"/>
          <w:color w:val="auto"/>
        </w:rPr>
      </w:pPr>
    </w:p>
    <w:tbl>
      <w:tblPr>
        <w:tblLayout w:type="fixed"/>
        <w:tblInd w:w="4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4"/>
                <w:szCs w:val="14"/>
                <w:b w:val="1"/>
                <w:bCs w:val="1"/>
                <w:color w:val="auto"/>
              </w:rPr>
              <w:t>Copies to:</w:t>
            </w:r>
          </w:p>
        </w:tc>
        <w:tc>
          <w:tcPr>
            <w:tcW w:w="2400" w:type="dxa"/>
            <w:vAlign w:val="bottom"/>
          </w:tcPr>
          <w:p>
            <w:pPr>
              <w:spacing w:after="0"/>
              <w:rPr>
                <w:sz w:val="14"/>
                <w:szCs w:val="14"/>
                <w:color w:val="auto"/>
              </w:rPr>
            </w:pP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Divakar Gupta</w:t>
            </w:r>
          </w:p>
        </w:tc>
        <w:tc>
          <w:tcPr>
            <w:tcW w:w="2460" w:type="dxa"/>
            <w:vAlign w:val="bottom"/>
          </w:tcPr>
          <w:p>
            <w:pPr>
              <w:jc w:val="center"/>
              <w:ind w:left="228"/>
              <w:spacing w:after="0"/>
              <w:rPr>
                <w:sz w:val="20"/>
                <w:szCs w:val="20"/>
                <w:color w:val="auto"/>
              </w:rPr>
            </w:pPr>
            <w:r>
              <w:rPr>
                <w:rFonts w:ascii="Arial" w:cs="Arial" w:eastAsia="Arial" w:hAnsi="Arial"/>
                <w:sz w:val="14"/>
                <w:szCs w:val="14"/>
                <w:b w:val="1"/>
                <w:bCs w:val="1"/>
                <w:color w:val="auto"/>
              </w:rPr>
              <w:t>Yaron Sobol</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Eric W. Blanchard</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Chaim Friedland</w:t>
            </w: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Daniel I. Goldberg</w:t>
            </w:r>
          </w:p>
        </w:tc>
        <w:tc>
          <w:tcPr>
            <w:tcW w:w="2460" w:type="dxa"/>
            <w:vAlign w:val="bottom"/>
          </w:tcPr>
          <w:p>
            <w:pPr>
              <w:jc w:val="center"/>
              <w:ind w:left="248"/>
              <w:spacing w:after="0"/>
              <w:rPr>
                <w:sz w:val="20"/>
                <w:szCs w:val="20"/>
                <w:color w:val="auto"/>
              </w:rPr>
            </w:pPr>
            <w:r>
              <w:rPr>
                <w:rFonts w:ascii="Arial" w:cs="Arial" w:eastAsia="Arial" w:hAnsi="Arial"/>
                <w:sz w:val="14"/>
                <w:szCs w:val="14"/>
                <w:b w:val="1"/>
                <w:bCs w:val="1"/>
                <w:color w:val="auto"/>
              </w:rPr>
              <w:t>Steven Berelowitz</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Brian K. Rosenzweig</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Ari Fried</w:t>
            </w: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Joshua A. Kaufman</w:t>
            </w:r>
          </w:p>
        </w:tc>
        <w:tc>
          <w:tcPr>
            <w:tcW w:w="2460" w:type="dxa"/>
            <w:vAlign w:val="bottom"/>
          </w:tcPr>
          <w:p>
            <w:pPr>
              <w:jc w:val="center"/>
              <w:ind w:left="248"/>
              <w:spacing w:after="0"/>
              <w:rPr>
                <w:sz w:val="20"/>
                <w:szCs w:val="20"/>
                <w:color w:val="auto"/>
              </w:rPr>
            </w:pPr>
            <w:r>
              <w:rPr>
                <w:rFonts w:ascii="Arial" w:cs="Arial" w:eastAsia="Arial" w:hAnsi="Arial"/>
                <w:sz w:val="14"/>
                <w:szCs w:val="14"/>
                <w:b w:val="1"/>
                <w:bCs w:val="1"/>
                <w:color w:val="auto"/>
              </w:rPr>
              <w:t>Hamburger Evron &amp; Co.</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Covington &amp; Burling LLP</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Gornitzky &amp; Co.</w:t>
            </w: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Cooley LLP</w:t>
            </w:r>
          </w:p>
        </w:tc>
        <w:tc>
          <w:tcPr>
            <w:tcW w:w="2460" w:type="dxa"/>
            <w:vAlign w:val="bottom"/>
          </w:tcPr>
          <w:p>
            <w:pPr>
              <w:jc w:val="center"/>
              <w:ind w:left="248"/>
              <w:spacing w:after="0"/>
              <w:rPr>
                <w:sz w:val="20"/>
                <w:szCs w:val="20"/>
                <w:color w:val="auto"/>
              </w:rPr>
            </w:pPr>
            <w:r>
              <w:rPr>
                <w:rFonts w:ascii="Arial" w:cs="Arial" w:eastAsia="Arial" w:hAnsi="Arial"/>
                <w:sz w:val="14"/>
                <w:szCs w:val="14"/>
                <w:b w:val="1"/>
                <w:bCs w:val="1"/>
                <w:color w:val="auto"/>
              </w:rPr>
              <w:t>The Museum Tower</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The New York Times Building</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Zion House</w:t>
            </w: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The Grace Building</w:t>
            </w:r>
          </w:p>
        </w:tc>
        <w:tc>
          <w:tcPr>
            <w:tcW w:w="2460" w:type="dxa"/>
            <w:vAlign w:val="bottom"/>
          </w:tcPr>
          <w:p>
            <w:pPr>
              <w:jc w:val="center"/>
              <w:ind w:left="248"/>
              <w:spacing w:after="0"/>
              <w:rPr>
                <w:sz w:val="20"/>
                <w:szCs w:val="20"/>
                <w:color w:val="auto"/>
              </w:rPr>
            </w:pPr>
            <w:r>
              <w:rPr>
                <w:rFonts w:ascii="Arial" w:cs="Arial" w:eastAsia="Arial" w:hAnsi="Arial"/>
                <w:sz w:val="14"/>
                <w:szCs w:val="14"/>
                <w:b w:val="1"/>
                <w:bCs w:val="1"/>
                <w:color w:val="auto"/>
              </w:rPr>
              <w:t>4 Berkowitz Street</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620 Eighth Avenue</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45 Rothschild Blvd.</w:t>
            </w: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1114 Avenue of the Americas</w:t>
            </w:r>
          </w:p>
        </w:tc>
        <w:tc>
          <w:tcPr>
            <w:tcW w:w="2460" w:type="dxa"/>
            <w:vAlign w:val="bottom"/>
          </w:tcPr>
          <w:p>
            <w:pPr>
              <w:jc w:val="center"/>
              <w:ind w:left="228"/>
              <w:spacing w:after="0"/>
              <w:rPr>
                <w:sz w:val="20"/>
                <w:szCs w:val="20"/>
                <w:color w:val="auto"/>
              </w:rPr>
            </w:pPr>
            <w:r>
              <w:rPr>
                <w:rFonts w:ascii="Arial" w:cs="Arial" w:eastAsia="Arial" w:hAnsi="Arial"/>
                <w:sz w:val="14"/>
                <w:szCs w:val="14"/>
                <w:b w:val="1"/>
                <w:bCs w:val="1"/>
                <w:color w:val="auto"/>
              </w:rPr>
              <w:t>Tel-Aviv 6423806, Israel</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New York, NY 10018-1405</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Tel Aviv 6578403, Israel</w:t>
            </w:r>
          </w:p>
        </w:tc>
      </w:tr>
      <w:tr>
        <w:trPr>
          <w:trHeight w:val="162"/>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New York, NY 10036</w:t>
            </w:r>
          </w:p>
        </w:tc>
        <w:tc>
          <w:tcPr>
            <w:tcW w:w="2460" w:type="dxa"/>
            <w:vAlign w:val="bottom"/>
          </w:tcPr>
          <w:p>
            <w:pPr>
              <w:jc w:val="center"/>
              <w:ind w:left="248"/>
              <w:spacing w:after="0"/>
              <w:rPr>
                <w:sz w:val="20"/>
                <w:szCs w:val="20"/>
                <w:color w:val="auto"/>
              </w:rPr>
            </w:pPr>
            <w:r>
              <w:rPr>
                <w:rFonts w:ascii="Arial" w:cs="Arial" w:eastAsia="Arial" w:hAnsi="Arial"/>
                <w:sz w:val="14"/>
                <w:szCs w:val="14"/>
                <w:b w:val="1"/>
                <w:bCs w:val="1"/>
                <w:color w:val="auto"/>
              </w:rPr>
              <w:t>Telephone: +972 (3) 607-4040</w:t>
            </w:r>
          </w:p>
        </w:tc>
        <w:tc>
          <w:tcPr>
            <w:tcW w:w="3300" w:type="dxa"/>
            <w:vAlign w:val="bottom"/>
          </w:tcPr>
          <w:p>
            <w:pPr>
              <w:jc w:val="center"/>
              <w:ind w:left="408"/>
              <w:spacing w:after="0"/>
              <w:rPr>
                <w:sz w:val="20"/>
                <w:szCs w:val="20"/>
                <w:color w:val="auto"/>
              </w:rPr>
            </w:pPr>
            <w:r>
              <w:rPr>
                <w:rFonts w:ascii="Arial" w:cs="Arial" w:eastAsia="Arial" w:hAnsi="Arial"/>
                <w:sz w:val="14"/>
                <w:szCs w:val="14"/>
                <w:b w:val="1"/>
                <w:bCs w:val="1"/>
                <w:color w:val="auto"/>
              </w:rPr>
              <w:t>Telephone: (212) 841-1000</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Telephone: +972 (3) 710-9191</w:t>
            </w:r>
          </w:p>
        </w:tc>
      </w:tr>
      <w:tr>
        <w:trPr>
          <w:trHeight w:val="162"/>
        </w:trPr>
        <w:tc>
          <w:tcPr>
            <w:tcW w:w="2380" w:type="dxa"/>
            <w:vAlign w:val="bottom"/>
          </w:tcPr>
          <w:p>
            <w:pPr>
              <w:jc w:val="center"/>
              <w:ind w:right="328"/>
              <w:spacing w:after="0"/>
              <w:rPr>
                <w:sz w:val="20"/>
                <w:szCs w:val="20"/>
                <w:color w:val="auto"/>
              </w:rPr>
            </w:pPr>
            <w:r>
              <w:rPr>
                <w:rFonts w:ascii="Arial" w:cs="Arial" w:eastAsia="Arial" w:hAnsi="Arial"/>
                <w:sz w:val="14"/>
                <w:szCs w:val="14"/>
                <w:b w:val="1"/>
                <w:bCs w:val="1"/>
                <w:color w:val="auto"/>
              </w:rPr>
              <w:t>Telephone: (212) 479-6000</w:t>
            </w:r>
          </w:p>
        </w:tc>
        <w:tc>
          <w:tcPr>
            <w:tcW w:w="2460" w:type="dxa"/>
            <w:vAlign w:val="bottom"/>
          </w:tcPr>
          <w:p>
            <w:pPr>
              <w:jc w:val="center"/>
              <w:ind w:left="248"/>
              <w:spacing w:after="0"/>
              <w:rPr>
                <w:sz w:val="20"/>
                <w:szCs w:val="20"/>
                <w:color w:val="auto"/>
              </w:rPr>
            </w:pPr>
            <w:r>
              <w:rPr>
                <w:rFonts w:ascii="Arial" w:cs="Arial" w:eastAsia="Arial" w:hAnsi="Arial"/>
                <w:sz w:val="14"/>
                <w:szCs w:val="14"/>
                <w:b w:val="1"/>
                <w:bCs w:val="1"/>
                <w:color w:val="auto"/>
              </w:rPr>
              <w:t>Facsimile: +972 (3) 607-4004</w:t>
            </w:r>
          </w:p>
        </w:tc>
        <w:tc>
          <w:tcPr>
            <w:tcW w:w="3300" w:type="dxa"/>
            <w:vAlign w:val="bottom"/>
          </w:tcPr>
          <w:p>
            <w:pPr>
              <w:jc w:val="center"/>
              <w:ind w:left="428"/>
              <w:spacing w:after="0"/>
              <w:rPr>
                <w:sz w:val="20"/>
                <w:szCs w:val="20"/>
                <w:color w:val="auto"/>
              </w:rPr>
            </w:pPr>
            <w:r>
              <w:rPr>
                <w:rFonts w:ascii="Arial" w:cs="Arial" w:eastAsia="Arial" w:hAnsi="Arial"/>
                <w:sz w:val="14"/>
                <w:szCs w:val="14"/>
                <w:b w:val="1"/>
                <w:bCs w:val="1"/>
                <w:color w:val="auto"/>
              </w:rPr>
              <w:t>Facsimile: (212) 841-1010</w:t>
            </w:r>
          </w:p>
        </w:tc>
        <w:tc>
          <w:tcPr>
            <w:tcW w:w="2400" w:type="dxa"/>
            <w:vAlign w:val="bottom"/>
          </w:tcPr>
          <w:p>
            <w:pPr>
              <w:jc w:val="center"/>
              <w:ind w:left="328"/>
              <w:spacing w:after="0"/>
              <w:rPr>
                <w:sz w:val="20"/>
                <w:szCs w:val="20"/>
                <w:color w:val="auto"/>
              </w:rPr>
            </w:pPr>
            <w:r>
              <w:rPr>
                <w:rFonts w:ascii="Arial" w:cs="Arial" w:eastAsia="Arial" w:hAnsi="Arial"/>
                <w:sz w:val="14"/>
                <w:szCs w:val="14"/>
                <w:b w:val="1"/>
                <w:bCs w:val="1"/>
                <w:color w:val="auto"/>
              </w:rPr>
              <w:t>Facsimile: +972 (3) 560-6555</w:t>
            </w:r>
          </w:p>
        </w:tc>
      </w:tr>
      <w:tr>
        <w:trPr>
          <w:trHeight w:val="190"/>
        </w:trPr>
        <w:tc>
          <w:tcPr>
            <w:tcW w:w="2380" w:type="dxa"/>
            <w:vAlign w:val="bottom"/>
          </w:tcPr>
          <w:p>
            <w:pPr>
              <w:jc w:val="center"/>
              <w:ind w:right="308"/>
              <w:spacing w:after="0"/>
              <w:rPr>
                <w:sz w:val="20"/>
                <w:szCs w:val="20"/>
                <w:color w:val="auto"/>
              </w:rPr>
            </w:pPr>
            <w:r>
              <w:rPr>
                <w:rFonts w:ascii="Arial" w:cs="Arial" w:eastAsia="Arial" w:hAnsi="Arial"/>
                <w:sz w:val="14"/>
                <w:szCs w:val="14"/>
                <w:b w:val="1"/>
                <w:bCs w:val="1"/>
                <w:color w:val="auto"/>
              </w:rPr>
              <w:t>Facsimile: (212) 479-6275</w:t>
            </w:r>
          </w:p>
        </w:tc>
        <w:tc>
          <w:tcPr>
            <w:tcW w:w="2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110490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As soon as practicable after the effective date of this Registration Statement.</w:t>
      </w:r>
    </w:p>
    <w:p>
      <w:pPr>
        <w:spacing w:after="0" w:line="55" w:lineRule="exact"/>
        <w:rPr>
          <w:sz w:val="24"/>
          <w:szCs w:val="24"/>
          <w:color w:val="auto"/>
        </w:rPr>
      </w:pPr>
    </w:p>
    <w:p>
      <w:pPr>
        <w:ind w:left="200" w:right="320"/>
        <w:spacing w:after="0" w:line="16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620"/>
        <w:spacing w:after="0" w:line="16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30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80"/>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200"/>
        <w:spacing w:after="0" w:line="161"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4"/>
          <w:szCs w:val="14"/>
          <w:color w:val="auto"/>
        </w:rPr>
        <w:t>☒</w:t>
      </w:r>
    </w:p>
    <w:p>
      <w:pPr>
        <w:spacing w:after="0" w:line="18" w:lineRule="exact"/>
        <w:rPr>
          <w:sz w:val="24"/>
          <w:szCs w:val="24"/>
          <w:color w:val="auto"/>
        </w:rPr>
      </w:pPr>
    </w:p>
    <w:p>
      <w:pPr>
        <w:ind w:left="20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100330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0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708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1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AMOUNT OF</w:t>
            </w:r>
          </w:p>
        </w:tc>
      </w:tr>
      <w:tr>
        <w:trPr>
          <w:trHeight w:val="162"/>
        </w:trPr>
        <w:tc>
          <w:tcPr>
            <w:tcW w:w="20" w:type="dxa"/>
            <w:vAlign w:val="bottom"/>
          </w:tcPr>
          <w:p>
            <w:pPr>
              <w:spacing w:after="0"/>
              <w:rPr>
                <w:sz w:val="14"/>
                <w:szCs w:val="14"/>
                <w:color w:val="auto"/>
              </w:rPr>
            </w:pPr>
          </w:p>
        </w:tc>
        <w:tc>
          <w:tcPr>
            <w:tcW w:w="7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960" w:type="dxa"/>
            <w:vAlign w:val="bottom"/>
          </w:tcPr>
          <w:p>
            <w:pPr>
              <w:jc w:val="center"/>
              <w:ind w:left="10"/>
              <w:spacing w:after="0"/>
              <w:rPr>
                <w:sz w:val="20"/>
                <w:szCs w:val="20"/>
                <w:color w:val="auto"/>
              </w:rPr>
            </w:pPr>
            <w:r>
              <w:rPr>
                <w:rFonts w:ascii="Arial" w:cs="Arial" w:eastAsia="Arial" w:hAnsi="Arial"/>
                <w:sz w:val="14"/>
                <w:szCs w:val="14"/>
                <w:b w:val="1"/>
                <w:bCs w:val="1"/>
                <w:color w:val="auto"/>
              </w:rPr>
              <w:t>REGISTRATION</w:t>
            </w:r>
          </w:p>
        </w:tc>
      </w:tr>
      <w:tr>
        <w:trPr>
          <w:trHeight w:val="189"/>
        </w:trPr>
        <w:tc>
          <w:tcPr>
            <w:tcW w:w="20" w:type="dxa"/>
            <w:vAlign w:val="bottom"/>
          </w:tcPr>
          <w:p>
            <w:pPr>
              <w:spacing w:after="0"/>
              <w:rPr>
                <w:sz w:val="16"/>
                <w:szCs w:val="16"/>
                <w:color w:val="auto"/>
              </w:rPr>
            </w:pPr>
          </w:p>
        </w:tc>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9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 xml:space="preserve">OFFERING PRICE </w:t>
            </w:r>
            <w:r>
              <w:rPr>
                <w:rFonts w:ascii="Arial" w:cs="Arial" w:eastAsia="Arial" w:hAnsi="Arial"/>
                <w:sz w:val="21"/>
                <w:szCs w:val="21"/>
                <w:b w:val="1"/>
                <w:bCs w:val="1"/>
                <w:color w:val="auto"/>
                <w:vertAlign w:val="superscript"/>
              </w:rPr>
              <w:t>(1)</w:t>
            </w:r>
          </w:p>
        </w:tc>
        <w:tc>
          <w:tcPr>
            <w:tcW w:w="19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9"/>
              </w:rPr>
              <w:t xml:space="preserve">FEE </w:t>
            </w:r>
            <w:r>
              <w:rPr>
                <w:rFonts w:ascii="Arial" w:cs="Arial" w:eastAsia="Arial" w:hAnsi="Arial"/>
                <w:sz w:val="21"/>
                <w:szCs w:val="21"/>
                <w:b w:val="1"/>
                <w:bCs w:val="1"/>
                <w:color w:val="auto"/>
                <w:w w:val="99"/>
                <w:vertAlign w:val="superscript"/>
              </w:rPr>
              <w:t>(2)</w:t>
            </w:r>
          </w:p>
        </w:tc>
      </w:tr>
      <w:tr>
        <w:trPr>
          <w:trHeight w:val="156"/>
        </w:trPr>
        <w:tc>
          <w:tcPr>
            <w:tcW w:w="710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par value NIS 0.01 per share</w:t>
            </w:r>
          </w:p>
        </w:tc>
        <w:tc>
          <w:tcPr>
            <w:tcW w:w="19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$57,500,000</w:t>
            </w:r>
          </w:p>
        </w:tc>
        <w:tc>
          <w:tcPr>
            <w:tcW w:w="1960" w:type="dxa"/>
            <w:vAlign w:val="bottom"/>
            <w:tcBorders>
              <w:bottom w:val="single" w:sz="8" w:color="auto"/>
            </w:tcBorders>
          </w:tcPr>
          <w:p>
            <w:pPr>
              <w:jc w:val="center"/>
              <w:ind w:left="10"/>
              <w:spacing w:after="0" w:line="155" w:lineRule="exact"/>
              <w:rPr>
                <w:sz w:val="20"/>
                <w:szCs w:val="20"/>
                <w:color w:val="auto"/>
              </w:rPr>
            </w:pPr>
            <w:r>
              <w:rPr>
                <w:rFonts w:ascii="Arial" w:cs="Arial" w:eastAsia="Arial" w:hAnsi="Arial"/>
                <w:sz w:val="14"/>
                <w:szCs w:val="14"/>
                <w:color w:val="auto"/>
              </w:rPr>
              <w:t>$7,158.75</w:t>
            </w:r>
          </w:p>
        </w:tc>
      </w:tr>
      <w:tr>
        <w:trPr>
          <w:trHeight w:val="20"/>
        </w:trPr>
        <w:tc>
          <w:tcPr>
            <w:tcW w:w="20" w:type="dxa"/>
            <w:vAlign w:val="bottom"/>
          </w:tcPr>
          <w:p>
            <w:pPr>
              <w:spacing w:after="0" w:line="20" w:lineRule="exact"/>
              <w:rPr>
                <w:sz w:val="1"/>
                <w:szCs w:val="1"/>
                <w:color w:val="auto"/>
              </w:rPr>
            </w:pPr>
          </w:p>
        </w:tc>
        <w:tc>
          <w:tcPr>
            <w:tcW w:w="70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20" w:right="20" w:hanging="276"/>
        <w:spacing w:after="0" w:line="24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 Includes the ordinary shares that the underwriters have the option to purchase.</w:t>
      </w:r>
    </w:p>
    <w:p>
      <w:pPr>
        <w:ind w:left="520" w:hanging="27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37" w:lineRule="exact"/>
        <w:rPr>
          <w:sz w:val="24"/>
          <w:szCs w:val="24"/>
          <w:color w:val="auto"/>
        </w:rPr>
      </w:pPr>
    </w:p>
    <w:p>
      <w:pPr>
        <w:jc w:val="both"/>
        <w:ind w:left="200" w:right="16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6997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color w:val="CC062A"/>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JANUARY 16, 2018</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1,135,847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242570</wp:posOffset>
            </wp:positionV>
            <wp:extent cx="1981200"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12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auto"/>
        </w:rPr>
        <w:t>UroGen Pharma Ltd.</w:t>
      </w:r>
    </w:p>
    <w:p>
      <w:pPr>
        <w:spacing w:after="0" w:line="33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We are offering 1,135,847 ordinary shares. Our ordinary shares are listed on the NASDAQ Global Market under the symbol “URGN.” On January 11, 2018, the last reported sale price of our ordinary shares on the NASDAQ Global Market was $44.02. The public offering price will be determined through negotiation between us and the underwriters for this offering and the recent market price used throughout this prospectus may not be indicative of the actual offering price.</w:t>
      </w:r>
    </w:p>
    <w:p>
      <w:pPr>
        <w:spacing w:after="0" w:line="269"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as such, we have elected to comply with certain reduced public company reporting requirements for this prospectus and future filings.</w:t>
      </w:r>
    </w:p>
    <w:p>
      <w:pPr>
        <w:spacing w:after="0" w:line="256" w:lineRule="exact"/>
        <w:rPr>
          <w:sz w:val="20"/>
          <w:szCs w:val="20"/>
          <w:color w:val="auto"/>
        </w:rPr>
      </w:pPr>
    </w:p>
    <w:p>
      <w:pPr>
        <w:ind w:left="200" w:right="80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Please read “</w:t>
      </w:r>
      <w:hyperlink w:anchor="page1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of this prospectus.</w:t>
      </w:r>
    </w:p>
    <w:p>
      <w:pPr>
        <w:spacing w:after="0" w:line="221" w:lineRule="exact"/>
        <w:rPr>
          <w:sz w:val="20"/>
          <w:szCs w:val="20"/>
          <w:color w:val="auto"/>
        </w:rPr>
      </w:pPr>
    </w:p>
    <w:p>
      <w:pPr>
        <w:ind w:left="200" w:right="300"/>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182245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83"/>
        </w:trPr>
        <w:tc>
          <w:tcPr>
            <w:tcW w:w="7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7080" w:type="dxa"/>
            <w:vAlign w:val="bottom"/>
          </w:tcPr>
          <w:p>
            <w:pPr>
              <w:spacing w:after="0" w:line="189"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14"/>
                <w:szCs w:val="14"/>
                <w:color w:val="auto"/>
              </w:rPr>
              <w:t>(1)</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UroGen Pharma Ltd. Before Expenses</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ind w:left="520" w:hanging="316"/>
        <w:spacing w:after="0"/>
        <w:tabs>
          <w:tab w:leader="none" w:pos="52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We have agreed to reimburse the underwriters for certain expenses. See “Underwriting.”</w:t>
      </w:r>
    </w:p>
    <w:p>
      <w:pPr>
        <w:spacing w:after="0" w:line="276" w:lineRule="exact"/>
        <w:rPr>
          <w:sz w:val="20"/>
          <w:szCs w:val="20"/>
          <w:color w:val="auto"/>
        </w:rPr>
      </w:pPr>
    </w:p>
    <w:p>
      <w:pPr>
        <w:ind w:left="200" w:right="80"/>
        <w:spacing w:after="0" w:line="232" w:lineRule="auto"/>
        <w:rPr>
          <w:sz w:val="20"/>
          <w:szCs w:val="20"/>
          <w:color w:val="auto"/>
        </w:rPr>
      </w:pPr>
      <w:r>
        <w:rPr>
          <w:rFonts w:ascii="Arial" w:cs="Arial" w:eastAsia="Arial" w:hAnsi="Arial"/>
          <w:sz w:val="17"/>
          <w:szCs w:val="17"/>
          <w:color w:val="auto"/>
        </w:rPr>
        <w:t>Delivery of the ordinary shares is expected to be made on or about , 2018. We have granted the underwriters an option for a period of 30 days from the date of this prospectus to purchase up to an additional 170,377 ordinary shares. If the underwriters exercise the option in full,</w:t>
      </w:r>
    </w:p>
    <w:p>
      <w:pPr>
        <w:ind w:left="200"/>
        <w:spacing w:after="0"/>
        <w:tabs>
          <w:tab w:leader="none" w:pos="6240" w:val="left"/>
          <w:tab w:leader="none" w:pos="11100" w:val="left"/>
        </w:tabs>
        <w:rPr>
          <w:sz w:val="20"/>
          <w:szCs w:val="20"/>
          <w:color w:val="auto"/>
        </w:rPr>
      </w:pPr>
      <w:r>
        <w:rPr>
          <w:rFonts w:ascii="Arial" w:cs="Arial" w:eastAsia="Arial" w:hAnsi="Arial"/>
          <w:sz w:val="17"/>
          <w:szCs w:val="17"/>
          <w:color w:val="auto"/>
        </w:rPr>
        <w:t>the total underwriting discounts and commissions payable by us will be $</w:t>
      </w:r>
      <w:r>
        <w:rPr>
          <w:sz w:val="20"/>
          <w:szCs w:val="20"/>
          <w:color w:val="auto"/>
        </w:rPr>
        <w:tab/>
      </w:r>
      <w:r>
        <w:rPr>
          <w:rFonts w:ascii="Arial" w:cs="Arial" w:eastAsia="Arial" w:hAnsi="Arial"/>
          <w:sz w:val="17"/>
          <w:szCs w:val="17"/>
          <w:color w:val="auto"/>
        </w:rPr>
        <w:t>, 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20"/>
          </w:cols>
          <w:pgMar w:left="240" w:top="459" w:right="439" w:bottom="1440" w:gutter="0" w:footer="0" w:header="0"/>
        </w:sectPr>
      </w:pPr>
    </w:p>
    <w:p>
      <w:pPr>
        <w:spacing w:after="0" w:line="203" w:lineRule="exact"/>
        <w:rPr>
          <w:sz w:val="20"/>
          <w:szCs w:val="20"/>
          <w:color w:val="auto"/>
        </w:rPr>
      </w:pPr>
    </w:p>
    <w:p>
      <w:pPr>
        <w:ind w:left="2300"/>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w:t>
      </w:r>
    </w:p>
    <w:p>
      <w:pPr>
        <w:spacing w:after="0" w:line="211" w:lineRule="exact"/>
        <w:rPr>
          <w:sz w:val="20"/>
          <w:szCs w:val="20"/>
          <w:color w:val="auto"/>
        </w:rPr>
      </w:pPr>
    </w:p>
    <w:p>
      <w:pPr>
        <w:sectPr>
          <w:pgSz w:w="11900" w:h="16838" w:orient="portrait"/>
          <w:cols w:equalWidth="0" w:num="2">
            <w:col w:w="7400" w:space="720"/>
            <w:col w:w="3100"/>
          </w:cols>
          <w:pgMar w:left="240" w:top="459" w:right="439" w:bottom="1440" w:gutter="0" w:footer="0" w:header="0"/>
          <w:type w:val="continuous"/>
        </w:sectPr>
      </w:pPr>
    </w:p>
    <w:p>
      <w:pPr>
        <w:spacing w:after="0" w:line="55"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Oppenheimer &amp; Co.</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National Securities Corporation</w:t>
      </w:r>
    </w:p>
    <w:p>
      <w:pPr>
        <w:spacing w:after="0" w:line="200" w:lineRule="exact"/>
        <w:rPr>
          <w:sz w:val="20"/>
          <w:szCs w:val="20"/>
          <w:color w:val="auto"/>
        </w:rPr>
      </w:pPr>
    </w:p>
    <w:p>
      <w:pPr>
        <w:sectPr>
          <w:pgSz w:w="11900" w:h="16838" w:orient="portrait"/>
          <w:cols w:equalWidth="0" w:num="2">
            <w:col w:w="6840" w:space="720"/>
            <w:col w:w="3660"/>
          </w:cols>
          <w:pgMar w:left="240" w:top="459" w:right="439" w:bottom="1440" w:gutter="0" w:footer="0" w:header="0"/>
          <w:type w:val="continuous"/>
        </w:sectPr>
      </w:pPr>
    </w:p>
    <w:p>
      <w:pPr>
        <w:spacing w:after="0" w:line="4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 2018</w:t>
      </w:r>
    </w:p>
    <w:p>
      <w:pPr>
        <w:sectPr>
          <w:pgSz w:w="11900" w:h="16838" w:orient="portrait"/>
          <w:cols w:equalWidth="0" w:num="2">
            <w:col w:w="5960" w:space="720"/>
            <w:col w:w="454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8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460" w:type="dxa"/>
            <w:vAlign w:val="bottom"/>
            <w:gridSpan w:val="17"/>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Market, Industry and Other Data</w:t>
              </w:r>
            </w:hyperlink>
          </w:p>
        </w:tc>
        <w:tc>
          <w:tcPr>
            <w:tcW w:w="6180" w:type="dxa"/>
            <w:vAlign w:val="bottom"/>
            <w:gridSpan w:val="4"/>
            <w:vMerge w:val="restart"/>
          </w:tcPr>
          <w:p>
            <w:pPr>
              <w:spacing w:after="0"/>
              <w:rPr>
                <w:sz w:val="24"/>
                <w:szCs w:val="24"/>
                <w:color w:val="auto"/>
              </w:rPr>
            </w:pPr>
          </w:p>
        </w:tc>
        <w:tc>
          <w:tcPr>
            <w:tcW w:w="2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17"/>
            <w:vMerge w:val="continue"/>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ii</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40" w:type="dxa"/>
            <w:vAlign w:val="bottom"/>
            <w:tcBorders>
              <w:bottom w:val="single" w:sz="8" w:color="0000EE"/>
            </w:tcBorders>
            <w:gridSpan w:val="9"/>
          </w:tcPr>
          <w:p>
            <w:pPr>
              <w:spacing w:after="0" w:line="169" w:lineRule="exact"/>
              <w:rPr>
                <w:rFonts w:ascii="Arial" w:cs="Arial" w:eastAsia="Arial" w:hAnsi="Arial"/>
                <w:sz w:val="17"/>
                <w:szCs w:val="17"/>
                <w:color w:val="0000EE"/>
                <w:w w:val="99"/>
              </w:rPr>
            </w:pPr>
            <w:hyperlink w:anchor="page5">
              <w:r>
                <w:rPr>
                  <w:rFonts w:ascii="Arial" w:cs="Arial" w:eastAsia="Arial" w:hAnsi="Arial"/>
                  <w:sz w:val="17"/>
                  <w:szCs w:val="17"/>
                  <w:color w:val="0000EE"/>
                  <w:w w:val="99"/>
                </w:rPr>
                <w:t>Prospectus Summary</w:t>
              </w:r>
            </w:hyperlink>
          </w:p>
        </w:tc>
        <w:tc>
          <w:tcPr>
            <w:tcW w:w="7000" w:type="dxa"/>
            <w:vAlign w:val="bottom"/>
            <w:gridSpan w:val="12"/>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bottom w:val="single" w:sz="8" w:color="0000EE"/>
            </w:tcBorders>
            <w:gridSpan w:val="4"/>
          </w:tcPr>
          <w:p>
            <w:pPr>
              <w:spacing w:after="0" w:line="169" w:lineRule="exact"/>
              <w:rPr>
                <w:rFonts w:ascii="Arial" w:cs="Arial" w:eastAsia="Arial" w:hAnsi="Arial"/>
                <w:sz w:val="17"/>
                <w:szCs w:val="17"/>
                <w:color w:val="0000EE"/>
                <w:w w:val="97"/>
              </w:rPr>
            </w:pPr>
            <w:hyperlink w:anchor="page19">
              <w:r>
                <w:rPr>
                  <w:rFonts w:ascii="Arial" w:cs="Arial" w:eastAsia="Arial" w:hAnsi="Arial"/>
                  <w:sz w:val="17"/>
                  <w:szCs w:val="17"/>
                  <w:color w:val="0000EE"/>
                  <w:w w:val="97"/>
                </w:rPr>
                <w:t>Risk Factors</w:t>
              </w:r>
            </w:hyperlink>
          </w:p>
        </w:tc>
        <w:tc>
          <w:tcPr>
            <w:tcW w:w="7680" w:type="dxa"/>
            <w:vAlign w:val="bottom"/>
            <w:gridSpan w:val="17"/>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tcBorders>
              <w:bottom w:val="single" w:sz="8" w:color="0000EE"/>
            </w:tcBorders>
            <w:gridSpan w:val="19"/>
          </w:tcPr>
          <w:p>
            <w:pPr>
              <w:spacing w:after="0" w:line="169" w:lineRule="exact"/>
              <w:rPr>
                <w:rFonts w:ascii="Arial" w:cs="Arial" w:eastAsia="Arial" w:hAnsi="Arial"/>
                <w:sz w:val="17"/>
                <w:szCs w:val="17"/>
                <w:color w:val="0000EE"/>
              </w:rPr>
            </w:pPr>
            <w:hyperlink w:anchor="page61">
              <w:r>
                <w:rPr>
                  <w:rFonts w:ascii="Arial" w:cs="Arial" w:eastAsia="Arial" w:hAnsi="Arial"/>
                  <w:sz w:val="17"/>
                  <w:szCs w:val="17"/>
                  <w:color w:val="0000EE"/>
                </w:rPr>
                <w:t>Special Note Regarding Forward-Looking Statements</w:t>
              </w:r>
            </w:hyperlink>
          </w:p>
        </w:tc>
        <w:tc>
          <w:tcPr>
            <w:tcW w:w="4580" w:type="dxa"/>
            <w:vAlign w:val="bottom"/>
            <w:gridSpan w:val="2"/>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63">
              <w:r>
                <w:rPr>
                  <w:rFonts w:ascii="Arial" w:cs="Arial" w:eastAsia="Arial" w:hAnsi="Arial"/>
                  <w:sz w:val="17"/>
                  <w:szCs w:val="17"/>
                  <w:color w:val="0000EE"/>
                </w:rPr>
                <w:t>Use of Proceeds</w:t>
              </w:r>
            </w:hyperlink>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60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64">
              <w:r>
                <w:rPr>
                  <w:rFonts w:ascii="Arial" w:cs="Arial" w:eastAsia="Arial" w:hAnsi="Arial"/>
                  <w:sz w:val="17"/>
                  <w:szCs w:val="17"/>
                  <w:color w:val="0000EE"/>
                </w:rPr>
                <w:t>Market Price of Ordinary Shares</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Borders>
              <w:top w:val="single" w:sz="8" w:color="0000EE"/>
              <w:bottom w:val="single" w:sz="8" w:color="0000EE"/>
            </w:tcBorders>
            <w:gridSpan w:val="7"/>
          </w:tcPr>
          <w:p>
            <w:pPr>
              <w:spacing w:after="0" w:line="169" w:lineRule="exact"/>
              <w:rPr>
                <w:rFonts w:ascii="Arial" w:cs="Arial" w:eastAsia="Arial" w:hAnsi="Arial"/>
                <w:sz w:val="17"/>
                <w:szCs w:val="17"/>
                <w:color w:val="0000EE"/>
                <w:w w:val="99"/>
              </w:rPr>
            </w:pPr>
            <w:hyperlink w:anchor="page65">
              <w:r>
                <w:rPr>
                  <w:rFonts w:ascii="Arial" w:cs="Arial" w:eastAsia="Arial" w:hAnsi="Arial"/>
                  <w:sz w:val="17"/>
                  <w:szCs w:val="17"/>
                  <w:color w:val="0000EE"/>
                  <w:w w:val="99"/>
                </w:rPr>
                <w:t>Dividend Policy</w:t>
              </w:r>
            </w:hyperlink>
          </w:p>
        </w:tc>
        <w:tc>
          <w:tcPr>
            <w:tcW w:w="1260" w:type="dxa"/>
            <w:vAlign w:val="bottom"/>
            <w:tcBorders>
              <w:top w:val="single" w:sz="8" w:color="0000EE"/>
            </w:tcBorders>
            <w:gridSpan w:val="9"/>
          </w:tcPr>
          <w:p>
            <w:pPr>
              <w:spacing w:after="0"/>
              <w:rPr>
                <w:sz w:val="14"/>
                <w:szCs w:val="14"/>
                <w:color w:val="auto"/>
              </w:rPr>
            </w:pPr>
          </w:p>
        </w:tc>
        <w:tc>
          <w:tcPr>
            <w:tcW w:w="6200" w:type="dxa"/>
            <w:vAlign w:val="bottom"/>
            <w:gridSpan w:val="5"/>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66">
              <w:r>
                <w:rPr>
                  <w:rFonts w:ascii="Arial" w:cs="Arial" w:eastAsia="Arial" w:hAnsi="Arial"/>
                  <w:sz w:val="17"/>
                  <w:szCs w:val="17"/>
                  <w:color w:val="0000EE"/>
                </w:rPr>
                <w:t>Capitalization</w:t>
              </w:r>
            </w:hyperlink>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5"/>
              </w:rPr>
            </w:pPr>
            <w:hyperlink w:anchor="page67">
              <w:r>
                <w:rPr>
                  <w:rFonts w:ascii="Arial" w:cs="Arial" w:eastAsia="Arial" w:hAnsi="Arial"/>
                  <w:sz w:val="17"/>
                  <w:szCs w:val="17"/>
                  <w:color w:val="0000EE"/>
                  <w:w w:val="95"/>
                </w:rPr>
                <w:t>Dilution</w:t>
              </w:r>
            </w:hyperlink>
          </w:p>
        </w:tc>
        <w:tc>
          <w:tcPr>
            <w:tcW w:w="440" w:type="dxa"/>
            <w:vAlign w:val="bottom"/>
            <w:tcBorders>
              <w:top w:val="single" w:sz="8" w:color="0000EE"/>
            </w:tcBorders>
            <w:gridSpan w:val="3"/>
          </w:tcPr>
          <w:p>
            <w:pPr>
              <w:spacing w:after="0"/>
              <w:rPr>
                <w:sz w:val="14"/>
                <w:szCs w:val="14"/>
                <w:color w:val="auto"/>
              </w:rPr>
            </w:pPr>
          </w:p>
        </w:tc>
        <w:tc>
          <w:tcPr>
            <w:tcW w:w="7620" w:type="dxa"/>
            <w:vAlign w:val="bottom"/>
            <w:gridSpan w:val="16"/>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69">
              <w:r>
                <w:rPr>
                  <w:rFonts w:ascii="Arial" w:cs="Arial" w:eastAsia="Arial" w:hAnsi="Arial"/>
                  <w:sz w:val="17"/>
                  <w:szCs w:val="17"/>
                  <w:color w:val="0000EE"/>
                </w:rPr>
                <w:t>Selected Financial Data</w:t>
              </w:r>
            </w:hyperlink>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66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70">
              <w:r>
                <w:rPr>
                  <w:rFonts w:ascii="Arial" w:cs="Arial" w:eastAsia="Arial" w:hAnsi="Arial"/>
                  <w:sz w:val="17"/>
                  <w:szCs w:val="17"/>
                  <w:color w:val="0000EE"/>
                </w:rPr>
                <w:t>Management’s Discussion and Analysis of Financial Condition and Results of Operations</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8"/>
              </w:rPr>
            </w:pPr>
            <w:hyperlink w:anchor="page86">
              <w:r>
                <w:rPr>
                  <w:rFonts w:ascii="Arial" w:cs="Arial" w:eastAsia="Arial" w:hAnsi="Arial"/>
                  <w:sz w:val="17"/>
                  <w:szCs w:val="17"/>
                  <w:color w:val="0000EE"/>
                  <w:w w:val="98"/>
                </w:rPr>
                <w:t>Business</w:t>
              </w:r>
            </w:hyperlink>
          </w:p>
        </w:tc>
        <w:tc>
          <w:tcPr>
            <w:tcW w:w="6020" w:type="dxa"/>
            <w:vAlign w:val="bottom"/>
            <w:tcBorders>
              <w:top w:val="single" w:sz="8" w:color="0000EE"/>
            </w:tcBorders>
            <w:gridSpan w:val="17"/>
          </w:tcPr>
          <w:p>
            <w:pPr>
              <w:spacing w:after="0"/>
              <w:rPr>
                <w:sz w:val="14"/>
                <w:szCs w:val="14"/>
                <w:color w:val="auto"/>
              </w:rPr>
            </w:pPr>
          </w:p>
        </w:tc>
        <w:tc>
          <w:tcPr>
            <w:tcW w:w="1920" w:type="dxa"/>
            <w:vAlign w:val="bottom"/>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20">
              <w:r>
                <w:rPr>
                  <w:rFonts w:ascii="Arial" w:cs="Arial" w:eastAsia="Arial" w:hAnsi="Arial"/>
                  <w:sz w:val="17"/>
                  <w:szCs w:val="17"/>
                  <w:color w:val="0000EE"/>
                </w:rPr>
                <w:t>Management</w:t>
              </w:r>
            </w:hyperlink>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135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39">
              <w:r>
                <w:rPr>
                  <w:rFonts w:ascii="Arial" w:cs="Arial" w:eastAsia="Arial" w:hAnsi="Arial"/>
                  <w:sz w:val="17"/>
                  <w:szCs w:val="17"/>
                  <w:color w:val="0000EE"/>
                </w:rPr>
                <w:t>Principal Shareholders</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138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42">
              <w:r>
                <w:rPr>
                  <w:rFonts w:ascii="Arial" w:cs="Arial" w:eastAsia="Arial" w:hAnsi="Arial"/>
                  <w:sz w:val="17"/>
                  <w:szCs w:val="17"/>
                  <w:color w:val="0000EE"/>
                </w:rPr>
                <w:t>Certain Relationships and Related Party Transactions</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40" w:type="dxa"/>
            <w:vAlign w:val="bottom"/>
            <w:tcBorders>
              <w:top w:val="single" w:sz="8" w:color="0000EE"/>
              <w:bottom w:val="single" w:sz="8" w:color="0000EE"/>
            </w:tcBorders>
            <w:gridSpan w:val="13"/>
          </w:tcPr>
          <w:p>
            <w:pPr>
              <w:spacing w:after="0" w:line="169" w:lineRule="exact"/>
              <w:rPr>
                <w:rFonts w:ascii="Arial" w:cs="Arial" w:eastAsia="Arial" w:hAnsi="Arial"/>
                <w:sz w:val="17"/>
                <w:szCs w:val="17"/>
                <w:color w:val="0000EE"/>
              </w:rPr>
            </w:pPr>
            <w:hyperlink w:anchor="page145">
              <w:r>
                <w:rPr>
                  <w:rFonts w:ascii="Arial" w:cs="Arial" w:eastAsia="Arial" w:hAnsi="Arial"/>
                  <w:sz w:val="17"/>
                  <w:szCs w:val="17"/>
                  <w:color w:val="0000EE"/>
                </w:rPr>
                <w:t>Description of Share Capital</w:t>
              </w:r>
            </w:hyperlink>
          </w:p>
        </w:tc>
        <w:tc>
          <w:tcPr>
            <w:tcW w:w="1920" w:type="dxa"/>
            <w:vAlign w:val="bottom"/>
            <w:tcBorders>
              <w:top w:val="single" w:sz="8" w:color="0000EE"/>
            </w:tcBorders>
            <w:gridSpan w:val="6"/>
          </w:tcPr>
          <w:p>
            <w:pPr>
              <w:spacing w:after="0"/>
              <w:rPr>
                <w:sz w:val="14"/>
                <w:szCs w:val="14"/>
                <w:color w:val="auto"/>
              </w:rPr>
            </w:pPr>
          </w:p>
        </w:tc>
        <w:tc>
          <w:tcPr>
            <w:tcW w:w="4580" w:type="dxa"/>
            <w:vAlign w:val="bottom"/>
            <w:gridSpan w:val="2"/>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52">
              <w:r>
                <w:rPr>
                  <w:rFonts w:ascii="Arial" w:cs="Arial" w:eastAsia="Arial" w:hAnsi="Arial"/>
                  <w:sz w:val="17"/>
                  <w:szCs w:val="17"/>
                  <w:color w:val="0000EE"/>
                </w:rPr>
                <w:t>Shares Eligible for Future Sale</w:t>
              </w:r>
            </w:hyperlink>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Borders>
              <w:top w:val="single" w:sz="8" w:color="0000EE"/>
            </w:tcBorders>
            <w:gridSpan w:val="15"/>
          </w:tcPr>
          <w:p>
            <w:pPr>
              <w:spacing w:after="0" w:line="169" w:lineRule="exact"/>
              <w:rPr>
                <w:rFonts w:ascii="Arial" w:cs="Arial" w:eastAsia="Arial" w:hAnsi="Arial"/>
                <w:sz w:val="17"/>
                <w:szCs w:val="17"/>
                <w:color w:val="0000EE"/>
              </w:rPr>
            </w:pPr>
            <w:hyperlink w:anchor="page154">
              <w:r>
                <w:rPr>
                  <w:rFonts w:ascii="Arial" w:cs="Arial" w:eastAsia="Arial" w:hAnsi="Arial"/>
                  <w:sz w:val="17"/>
                  <w:szCs w:val="17"/>
                  <w:color w:val="0000EE"/>
                </w:rPr>
                <w:t>Taxation</w:t>
              </w:r>
            </w:hyperlink>
          </w:p>
        </w:tc>
        <w:tc>
          <w:tcPr>
            <w:tcW w:w="6320" w:type="dxa"/>
            <w:vAlign w:val="bottom"/>
            <w:gridSpan w:val="6"/>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156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60">
              <w:r>
                <w:rPr>
                  <w:rFonts w:ascii="Arial" w:cs="Arial" w:eastAsia="Arial" w:hAnsi="Arial"/>
                  <w:sz w:val="17"/>
                  <w:szCs w:val="17"/>
                  <w:color w:val="0000EE"/>
                </w:rPr>
                <w:t>Underwriting</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20" w:type="dxa"/>
            <w:vAlign w:val="bottom"/>
            <w:tcBorders>
              <w:bottom w:val="single" w:sz="8" w:color="0000EE"/>
            </w:tcBorders>
            <w:gridSpan w:val="12"/>
          </w:tcPr>
          <w:p>
            <w:pPr>
              <w:spacing w:after="0" w:line="169" w:lineRule="exact"/>
              <w:rPr>
                <w:rFonts w:ascii="Arial" w:cs="Arial" w:eastAsia="Arial" w:hAnsi="Arial"/>
                <w:sz w:val="17"/>
                <w:szCs w:val="17"/>
                <w:color w:val="0000EE"/>
              </w:rPr>
            </w:pPr>
            <w:hyperlink w:anchor="page167">
              <w:r>
                <w:rPr>
                  <w:rFonts w:ascii="Arial" w:cs="Arial" w:eastAsia="Arial" w:hAnsi="Arial"/>
                  <w:sz w:val="17"/>
                  <w:szCs w:val="17"/>
                  <w:color w:val="0000EE"/>
                </w:rPr>
                <w:t>Expenses of this Offering</w:t>
              </w:r>
            </w:hyperlink>
          </w:p>
        </w:tc>
        <w:tc>
          <w:tcPr>
            <w:tcW w:w="6720" w:type="dxa"/>
            <w:vAlign w:val="bottom"/>
            <w:gridSpan w:val="9"/>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6"/>
          </w:tcPr>
          <w:p>
            <w:pPr>
              <w:spacing w:after="0" w:line="169" w:lineRule="exact"/>
              <w:rPr>
                <w:rFonts w:ascii="Arial" w:cs="Arial" w:eastAsia="Arial" w:hAnsi="Arial"/>
                <w:sz w:val="17"/>
                <w:szCs w:val="17"/>
                <w:color w:val="0000EE"/>
                <w:w w:val="98"/>
              </w:rPr>
            </w:pPr>
            <w:hyperlink w:anchor="page168">
              <w:r>
                <w:rPr>
                  <w:rFonts w:ascii="Arial" w:cs="Arial" w:eastAsia="Arial" w:hAnsi="Arial"/>
                  <w:sz w:val="17"/>
                  <w:szCs w:val="17"/>
                  <w:color w:val="0000EE"/>
                  <w:w w:val="98"/>
                </w:rPr>
                <w:t>Legal Matters</w:t>
              </w:r>
            </w:hyperlink>
          </w:p>
        </w:tc>
        <w:tc>
          <w:tcPr>
            <w:tcW w:w="7600" w:type="dxa"/>
            <w:vAlign w:val="bottom"/>
            <w:gridSpan w:val="15"/>
          </w:tcPr>
          <w:p>
            <w:pPr>
              <w:spacing w:after="0"/>
              <w:rPr>
                <w:sz w:val="14"/>
                <w:szCs w:val="14"/>
                <w:color w:val="auto"/>
              </w:rPr>
            </w:pPr>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68">
              <w:r>
                <w:rPr>
                  <w:rFonts w:ascii="Arial" w:cs="Arial" w:eastAsia="Arial" w:hAnsi="Arial"/>
                  <w:sz w:val="17"/>
                  <w:szCs w:val="17"/>
                  <w:color w:val="0000EE"/>
                </w:rPr>
                <w:t>Experts</w:t>
              </w:r>
            </w:hyperlink>
          </w:p>
        </w:tc>
        <w:tc>
          <w:tcPr>
            <w:tcW w:w="2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164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165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69">
              <w:r>
                <w:rPr>
                  <w:rFonts w:ascii="Arial" w:cs="Arial" w:eastAsia="Arial" w:hAnsi="Arial"/>
                  <w:sz w:val="17"/>
                  <w:szCs w:val="17"/>
                  <w:color w:val="0000EE"/>
                </w:rPr>
                <w:t>Enforcement of Civil Liabilities</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right w:val="single" w:sz="8" w:color="0000EE"/>
            </w:tcBorders>
            <w:gridSpan w:val="14"/>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234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166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40" w:type="dxa"/>
            <w:vAlign w:val="bottom"/>
            <w:gridSpan w:val="21"/>
          </w:tcPr>
          <w:p>
            <w:pPr>
              <w:spacing w:after="0" w:line="169" w:lineRule="exact"/>
              <w:rPr>
                <w:rFonts w:ascii="Arial" w:cs="Arial" w:eastAsia="Arial" w:hAnsi="Arial"/>
                <w:sz w:val="17"/>
                <w:szCs w:val="17"/>
                <w:color w:val="0000EE"/>
              </w:rPr>
            </w:pPr>
            <w:hyperlink w:anchor="page170">
              <w:r>
                <w:rPr>
                  <w:rFonts w:ascii="Arial" w:cs="Arial" w:eastAsia="Arial" w:hAnsi="Arial"/>
                  <w:sz w:val="17"/>
                  <w:szCs w:val="17"/>
                  <w:color w:val="0000EE"/>
                </w:rPr>
                <w:t>Where You Can Find More Information</w:t>
              </w:r>
            </w:hyperlink>
          </w:p>
        </w:tc>
        <w:tc>
          <w:tcPr>
            <w:tcW w:w="23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0000EE"/>
              <w:bottom w:val="single" w:sz="8" w:color="0000EE"/>
            </w:tcBorders>
            <w:gridSpan w:val="14"/>
          </w:tcPr>
          <w:p>
            <w:pPr>
              <w:spacing w:after="0" w:line="169" w:lineRule="exact"/>
              <w:rPr>
                <w:rFonts w:ascii="Arial" w:cs="Arial" w:eastAsia="Arial" w:hAnsi="Arial"/>
                <w:sz w:val="17"/>
                <w:szCs w:val="17"/>
                <w:color w:val="0000EE"/>
              </w:rPr>
            </w:pPr>
            <w:hyperlink w:anchor="page171">
              <w:r>
                <w:rPr>
                  <w:rFonts w:ascii="Arial" w:cs="Arial" w:eastAsia="Arial" w:hAnsi="Arial"/>
                  <w:sz w:val="17"/>
                  <w:szCs w:val="17"/>
                  <w:color w:val="0000EE"/>
                </w:rPr>
                <w:t>Index to Financial Statements</w:t>
              </w:r>
            </w:hyperlink>
          </w:p>
        </w:tc>
        <w:tc>
          <w:tcPr>
            <w:tcW w:w="640" w:type="dxa"/>
            <w:vAlign w:val="bottom"/>
            <w:tcBorders>
              <w:top w:val="single" w:sz="8" w:color="0000EE"/>
            </w:tcBorders>
            <w:gridSpan w:val="4"/>
          </w:tcPr>
          <w:p>
            <w:pPr>
              <w:spacing w:after="0"/>
              <w:rPr>
                <w:sz w:val="14"/>
                <w:szCs w:val="14"/>
                <w:color w:val="auto"/>
              </w:rPr>
            </w:pPr>
          </w:p>
        </w:tc>
        <w:tc>
          <w:tcPr>
            <w:tcW w:w="5720" w:type="dxa"/>
            <w:vAlign w:val="bottom"/>
            <w:gridSpan w:val="3"/>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9" w:lineRule="exact"/>
        <w:rPr>
          <w:sz w:val="20"/>
          <w:szCs w:val="20"/>
          <w:color w:val="auto"/>
        </w:rPr>
      </w:pPr>
    </w:p>
    <w:p>
      <w:pPr>
        <w:ind w:left="200" w:right="260"/>
        <w:spacing w:after="0" w:line="234" w:lineRule="auto"/>
        <w:rPr>
          <w:sz w:val="20"/>
          <w:szCs w:val="20"/>
          <w:color w:val="auto"/>
        </w:rPr>
      </w:pPr>
      <w:r>
        <w:rPr>
          <w:rFonts w:ascii="Arial" w:cs="Arial" w:eastAsia="Arial" w:hAnsi="Arial"/>
          <w:sz w:val="17"/>
          <w:szCs w:val="17"/>
          <w:color w:val="auto"/>
        </w:rPr>
        <w:t>Neither we nor the underwriters have authorized anyone to provide you with information that is different from that contained in this prospectus, any amendment or supplement to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ordinary shares and seeking offers to purchase ordinary shares only in jurisdictions where offers and sales are permitted. The information contained in this prospectus is accurate only as of the date on the front of this prospectus, regardless of the time of delivery of this prospectus or any sale of ordinary shares. Our business, financial condition, results of operations and prospects may have changed since the date on the front cover of this prospectus.</w:t>
      </w:r>
    </w:p>
    <w:p>
      <w:pPr>
        <w:spacing w:after="0" w:line="151" w:lineRule="exact"/>
        <w:rPr>
          <w:sz w:val="20"/>
          <w:szCs w:val="20"/>
          <w:color w:val="auto"/>
        </w:rPr>
      </w:pPr>
    </w:p>
    <w:p>
      <w:pPr>
        <w:ind w:left="200" w:right="260"/>
        <w:spacing w:after="0" w:line="238" w:lineRule="auto"/>
        <w:rPr>
          <w:sz w:val="20"/>
          <w:szCs w:val="20"/>
          <w:color w:val="auto"/>
        </w:rPr>
      </w:pPr>
      <w:r>
        <w:rPr>
          <w:rFonts w:ascii="Arial" w:cs="Arial" w:eastAsia="Arial" w:hAnsi="Arial"/>
          <w:sz w:val="17"/>
          <w:szCs w:val="17"/>
          <w:color w:val="auto"/>
        </w:rPr>
        <w:t>For investors outside of the United States: Neither we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2"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 xml:space="preserve">MitoGel, VesiGel, Vesimune, UroGen and RTGel are trademarks of ours that we use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or ™ symbols, but those references are not intended to indicate, in any way, that we will not assert, to the fullest extent under applicable law, our rights, or the right of the applicable licensor to our trademark and tradenames.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4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7"/>
          <w:szCs w:val="17"/>
          <w:color w:val="auto"/>
        </w:rPr>
        <w:t>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4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15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7156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0" w:lineRule="exact"/>
        <w:rPr>
          <w:sz w:val="20"/>
          <w:szCs w:val="20"/>
          <w:color w:val="auto"/>
        </w:rPr>
      </w:pPr>
    </w:p>
    <w:p>
      <w:pPr>
        <w:ind w:left="380"/>
        <w:spacing w:after="0" w:line="23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deciding to invest in our ordinary shares, you should read this entire prospectus carefully, including the sections of this prospectus entitled “Risk Factors” and “Management’s Discussion and Analysis of Financial Condition and Results of Operations” and our financial statements and the related notes included elsewhere in this prospectus. Unless the context otherwise requires, references in this prospectus to the “company,” “UroGen Pharma,” “we,” “us” and “our” refer to UroGen Pharma Ltd. and its subsidiary, Urogen Pharma, Inc. The terms “shekel,” “Israeli shekel” and “NIS” refer to New Israeli Shekels, the lawful currency of the State of Israel, and the terms “dollar,” “U.S. dollar” or “$” refer to United States dollars, the lawful currency of the United States. All references to “shares” in this prospectus refer to ordinary shares of UroGen Pharma Ltd., par value NIS 0.01 per share.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ind w:left="380" w:right="80"/>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and upper urinary tract surgeries, including removal of the upper urinary tract, which are major surgical procedures typically performed when local endoscopic tumor resection fails to control the disease progression. Additionally, we believe that our product candidates, which are based on novel formulations of previously approved drugs, may qualify for streamlined regulatory pathways to market approval.</w:t>
      </w:r>
    </w:p>
    <w:p>
      <w:pPr>
        <w:spacing w:after="0" w:line="153" w:lineRule="exact"/>
        <w:rPr>
          <w:sz w:val="20"/>
          <w:szCs w:val="20"/>
          <w:color w:val="auto"/>
        </w:rPr>
      </w:pPr>
    </w:p>
    <w:p>
      <w:pPr>
        <w:ind w:left="380" w:right="140"/>
        <w:spacing w:after="0" w:line="234" w:lineRule="auto"/>
        <w:rPr>
          <w:sz w:val="20"/>
          <w:szCs w:val="20"/>
          <w:color w:val="auto"/>
        </w:rPr>
      </w:pPr>
      <w:r>
        <w:rPr>
          <w:rFonts w:ascii="Arial" w:cs="Arial" w:eastAsia="Arial" w:hAnsi="Arial"/>
          <w:sz w:val="17"/>
          <w:szCs w:val="17"/>
          <w:color w:val="auto"/>
        </w:rPr>
        <w:t>We believe that urothelial cancer, which is comprised of bladder cancer and UTUC, affects a large and underserved patient population. Annual expenditures for Medicare alone in the United States for the treatment of urothelial cancer were estimated to have been at least $4.0 billion in 2010 and are projected to be at least $5.0 billion in 2020. The majority of the expenditures is spent on tumor resection surgeries such as TURBT and upper urinary tract removals. In 2012, the estimated prevalence of urothelial cancer in the United States was 625,000 with an annual incidence of approximately 80,000. The 2012 prevalence of each of low-grade NMIBC and low-grade UTUC in the United States was approximately 325,000 and 14,500, respectively. No drugs have been approved by the U.S. Food and Drug Administration, or the FDA, for the treatment of NMIBC in more than 15 years.</w:t>
      </w:r>
    </w:p>
    <w:p>
      <w:pPr>
        <w:spacing w:after="0" w:line="151" w:lineRule="exact"/>
        <w:rPr>
          <w:sz w:val="20"/>
          <w:szCs w:val="20"/>
          <w:color w:val="auto"/>
        </w:rPr>
      </w:pPr>
    </w:p>
    <w:p>
      <w:pPr>
        <w:ind w:left="380" w:right="20"/>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of the active drug throughout the organ. Consequently, we believe that RTGel-based drug formulations may enable us to overcome the anatomical and physiological challenges that have historically contributed to the lack of drug development for the treatment of urothelial cancer.</w:t>
      </w:r>
    </w:p>
    <w:p>
      <w:pPr>
        <w:spacing w:after="0" w:line="151" w:lineRule="exact"/>
        <w:rPr>
          <w:sz w:val="20"/>
          <w:szCs w:val="20"/>
          <w:color w:val="auto"/>
        </w:rPr>
      </w:pPr>
    </w:p>
    <w:p>
      <w:pPr>
        <w:ind w:left="380" w:right="540"/>
        <w:spacing w:after="0" w:line="243" w:lineRule="auto"/>
        <w:rPr>
          <w:sz w:val="20"/>
          <w:szCs w:val="20"/>
          <w:color w:val="auto"/>
        </w:rPr>
      </w:pPr>
      <w:r>
        <w:rPr>
          <w:rFonts w:ascii="Arial" w:cs="Arial" w:eastAsia="Arial" w:hAnsi="Arial"/>
          <w:sz w:val="17"/>
          <w:szCs w:val="17"/>
          <w:color w:val="auto"/>
        </w:rPr>
        <w:t>Our product candidates are administered locally using the standard practice of intravesical instillation directly into the bladder or upper urinary tract via a catheter. The instillation into the bladder is expected to take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52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52527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right="160"/>
        <w:spacing w:after="0" w:line="235" w:lineRule="auto"/>
        <w:rPr>
          <w:sz w:val="20"/>
          <w:szCs w:val="20"/>
          <w:color w:val="auto"/>
        </w:rPr>
      </w:pPr>
      <w:r>
        <w:rPr>
          <w:rFonts w:ascii="Arial" w:cs="Arial" w:eastAsia="Arial" w:hAnsi="Arial"/>
          <w:sz w:val="17"/>
          <w:szCs w:val="17"/>
          <w:color w:val="auto"/>
        </w:rPr>
        <w:t>in a physician’s office as a same-day treatment, in comparison with TURBT or similar tumor surgical procedures, which are operations conducted under general anesthesia in a hospital setting and may require at least an overnight stay. Tumor surgical procedures often have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150" w:lineRule="exact"/>
        <w:rPr>
          <w:sz w:val="20"/>
          <w:szCs w:val="20"/>
          <w:color w:val="auto"/>
        </w:rPr>
      </w:pPr>
    </w:p>
    <w:p>
      <w:pPr>
        <w:ind w:left="380" w:right="20"/>
        <w:spacing w:after="0" w:line="233" w:lineRule="auto"/>
        <w:rPr>
          <w:sz w:val="20"/>
          <w:szCs w:val="20"/>
          <w:color w:val="auto"/>
        </w:rPr>
      </w:pPr>
      <w:r>
        <w:rPr>
          <w:rFonts w:ascii="Arial" w:cs="Arial" w:eastAsia="Arial" w:hAnsi="Arial"/>
          <w:sz w:val="17"/>
          <w:szCs w:val="17"/>
          <w:color w:val="auto"/>
        </w:rPr>
        <w:t>We are currently evaluating the safety and efficacy of MitoGel, our novel sustained-release formulation of MMC, in patients with low-grade UTUC in a Phase 3 pivotal, single-arm, open label clinical trial, which follows a recently completed “Compassionate Use” program for MitoGel for the treatment of the same indication. “Compassionate Use” is the use outside of a clinical trial of an investigational, or not approved, medical product when patient enrollment in a clinical trial is not possible, typically due to patient ineligibility or a lack of ongoing clinical trials. In the Compassionate Use Program, 22 patients were enrolled, 18 of which had confirmed low-grade UTUC. Of the 18 patients, 13 patients had completed the six-weekly treatment regimen and were evaluated for tumor response. These 13 patients were evaluated for tumor response at the primary evaluation time either endoscopically or through the use of a nonsurgical viewing instrument. Complete response was confirmed by a cytology (urine) confirmation in most cases. Of these 13 patients, eight, or approximately 62%, achieved a complete response, with a median durability of response without recurrence of greater than nine months to date, based on investigator reports. Our analysis of the median recurrence-free durability of those patients who achieved a complete response is still ongoing, with, to our knowledge, only three of the eight patients recurring to date. To date, of the five patients still ongoing without recurrence, to our knowledge, three have durability of response of 12 months or greater. Recurrences were generally of small tumors, presenting with diameters of several millimeters in size that were consequently managed by endoscopic tumor resection. Importantly, of the eight patients that achieved a complete response, or a complete response following an initial partial response, four had a solitary kidney. As all the patients in the Compassionate Use program were candidates for a nephroureterectomy, these four patients otherwise may have had their solitary kidney removed and become dialysis patients.</w:t>
      </w:r>
    </w:p>
    <w:p>
      <w:pPr>
        <w:spacing w:after="0" w:line="151" w:lineRule="exact"/>
        <w:rPr>
          <w:sz w:val="20"/>
          <w:szCs w:val="20"/>
          <w:color w:val="auto"/>
        </w:rPr>
      </w:pPr>
    </w:p>
    <w:p>
      <w:pPr>
        <w:ind w:left="380"/>
        <w:spacing w:after="0" w:line="234" w:lineRule="auto"/>
        <w:rPr>
          <w:sz w:val="20"/>
          <w:szCs w:val="20"/>
          <w:color w:val="auto"/>
        </w:rPr>
      </w:pPr>
      <w:r>
        <w:rPr>
          <w:rFonts w:ascii="Arial" w:cs="Arial" w:eastAsia="Arial" w:hAnsi="Arial"/>
          <w:sz w:val="17"/>
          <w:szCs w:val="17"/>
          <w:color w:val="auto"/>
        </w:rPr>
        <w:t>Five out of the 13 evaluated patients achieved a partial response at the primary evaluation time. One patient who achieved a partial response received three additional monthly courses of MitoGel, and thereafter achieved a complete response. In this Compassionate Use program, MitoGel had been observed to be well-tolerated. We have obtained Orphan Drug Designation for MitoGel for the treatment of UTUC as well as Fast Track Designation for the treatment of patients with low-grade UTUC not amenable to endoscopic resection or contraindicated for nephroureterectomy, which is the removal of the kidney and upper tract, including impaired renal function. We believe that MitoGel has the potential to become the first FDA-approved drug for the treatment of low-grade UTUC serving as a first-line chemoablation agent, sparing patients from repeated tumor resection surgeries and potentially reducing the need for bladder and upper urinary tract surgeries, including upper urinary tract removals.</w:t>
      </w:r>
    </w:p>
    <w:p>
      <w:pPr>
        <w:spacing w:after="0" w:line="150" w:lineRule="exact"/>
        <w:rPr>
          <w:sz w:val="20"/>
          <w:szCs w:val="20"/>
          <w:color w:val="auto"/>
        </w:rPr>
      </w:pPr>
    </w:p>
    <w:p>
      <w:pPr>
        <w:ind w:left="380" w:right="40"/>
        <w:spacing w:after="0" w:line="234" w:lineRule="auto"/>
        <w:rPr>
          <w:sz w:val="20"/>
          <w:szCs w:val="20"/>
          <w:color w:val="auto"/>
        </w:rPr>
      </w:pPr>
      <w:r>
        <w:rPr>
          <w:rFonts w:ascii="Arial" w:cs="Arial" w:eastAsia="Arial" w:hAnsi="Arial"/>
          <w:sz w:val="17"/>
          <w:szCs w:val="17"/>
          <w:color w:val="auto"/>
        </w:rPr>
        <w:t>In addition, we completed evaluating the safety and efficacy of VesiGel, our novel sustained-release high dose formulation of MMC, for the treatment of low-grade NMIBC in a Phase 2a study that was conducted in Europe and Israel. Of the 22 patients treated in the VesiGel high dose group (80mg MMC), 19, or approximately 86%, of the patients achieved a complete response at the primary evaluation time. Moreover, approximately 79% of the patients who achieved a complete response at the primary evaluation time with VesiGel in the study and who have been followed for 12 months thereafter, without receiving additional treatments, remained recurrence free. This compares to approximately 40% to 60% of patients who historically achieve a 12-month durable complete response with TURBT as first-line treatment, followed by adjuvant treatments of MMC instillations into the bladder. We plan to file an IND for VesiGel in the first half of 2018; and, if accepted, we expect to commence a U.S.-based Phase 2b clinical trial for VesiGel shortly thereafter. We also intend to pursue a 505(b)(2) regulatory pathway for VesiGel. We believe that VesiGel has the potential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replace tumor resection surgery and become the new first-line standard of care for the treatment of low-grade NMIBC.</w:t>
      </w:r>
    </w:p>
    <w:p>
      <w:pPr>
        <w:spacing w:after="0" w:line="156" w:lineRule="exact"/>
        <w:rPr>
          <w:sz w:val="20"/>
          <w:szCs w:val="20"/>
          <w:color w:val="auto"/>
        </w:rPr>
      </w:pPr>
    </w:p>
    <w:p>
      <w:pPr>
        <w:ind w:left="380" w:right="40"/>
        <w:spacing w:after="0" w:line="235"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which may include Carcinoma in Situ, or CIS. Vesimune is a novel, liquid formulation of Imiquimod, a generic toll-like receptor 7, or TLR7, agonist. Toll-like receptor agonists play a key role in initiating the innate immune response system. We believe that the combination of Vesimune with additional immunotherapy drugs, such as immune checkpoint inhibitors or chemotherapy drugs like VesiGel, could represent a valid alternative to the current standard of care for the post-TURBT adjuvant treatment of high-grade NMIBC.</w:t>
      </w:r>
    </w:p>
    <w:p>
      <w:pPr>
        <w:spacing w:after="0" w:line="150" w:lineRule="exact"/>
        <w:rPr>
          <w:sz w:val="20"/>
          <w:szCs w:val="20"/>
          <w:color w:val="auto"/>
        </w:rPr>
      </w:pPr>
    </w:p>
    <w:p>
      <w:pPr>
        <w:ind w:left="380"/>
        <w:spacing w:after="0" w:line="235" w:lineRule="auto"/>
        <w:rPr>
          <w:sz w:val="20"/>
          <w:szCs w:val="20"/>
          <w:color w:val="auto"/>
        </w:rPr>
      </w:pPr>
      <w:r>
        <w:rPr>
          <w:rFonts w:ascii="Arial" w:cs="Arial" w:eastAsia="Arial" w:hAnsi="Arial"/>
          <w:sz w:val="17"/>
          <w:szCs w:val="17"/>
          <w:color w:val="auto"/>
        </w:rPr>
        <w:t>BotuGel is our proprietary novel RTGel-based formulation of BOTOX, a branded drug, that we believe can potentially serve as an effective treatment option for patients suffering from overactive bladder. In October 2016, we announced the licensing of the worldwide rights to RTGel in combination with neurotoxins, including BOTOX, to Allergan Pharmaceuticals International Limited, or Allergan, a wholly owned subsidiary of Allergan plc, or the Allergan Agreement. In August 2017, we announced that Allergan had submitted an IND to the FDA in order to be able to commence clinical trials in the United States using the RTGel in combination with BOTOX. In October 2017, Allergan commenced a Phase 2 clinical trial of BotuGel for the treatment of overactive bladder.</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Product Candidate Pipeline</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chart summarizes the current status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 of Upper Tract Urothelial Carcinoma</w:t>
      </w:r>
    </w:p>
    <w:p>
      <w:pPr>
        <w:spacing w:after="0" w:line="93" w:lineRule="exact"/>
        <w:rPr>
          <w:sz w:val="20"/>
          <w:szCs w:val="20"/>
          <w:color w:val="auto"/>
        </w:rPr>
      </w:pPr>
    </w:p>
    <w:p>
      <w:pPr>
        <w:ind w:left="380" w:right="20"/>
        <w:spacing w:after="0" w:line="234" w:lineRule="auto"/>
        <w:rPr>
          <w:sz w:val="20"/>
          <w:szCs w:val="20"/>
          <w:color w:val="auto"/>
        </w:rPr>
      </w:pPr>
      <w:r>
        <w:rPr>
          <w:rFonts w:ascii="Arial" w:cs="Arial" w:eastAsia="Arial" w:hAnsi="Arial"/>
          <w:sz w:val="17"/>
          <w:szCs w:val="17"/>
          <w:color w:val="auto"/>
        </w:rPr>
        <w:t>UTUC refers to malignant changes of the transitional urothelial cells lining the upper urinary tract of the renal pelvis and ureter. UTUC typically exhibits high local recurrence and development of metastases. Similar to NMIBC, the prognosis of patients with UTUC correlates with the stage and grade of disease at the time of initial diagnosis. 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 Non-muscle invasive UTUC is also divided into two grades, low and high. In two studies conducted in 1997 and 2003 of 30 and 20 patients with non-muscle invasive UTUC, 87% and 75% of patients were diagnosed with low-grade non-muscle invasive UTUC,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29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6299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Limitations of Current Treatment Options for Upper Tract Urothelial Carcinoma</w:t>
      </w:r>
    </w:p>
    <w:p>
      <w:pPr>
        <w:spacing w:after="0" w:line="54" w:lineRule="exact"/>
        <w:rPr>
          <w:sz w:val="20"/>
          <w:szCs w:val="20"/>
          <w:color w:val="auto"/>
        </w:rPr>
      </w:pPr>
    </w:p>
    <w:p>
      <w:pPr>
        <w:jc w:val="both"/>
        <w:ind w:left="380" w:right="60"/>
        <w:spacing w:after="0" w:line="235"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Moreover, the anatomical complexity of the upper urinary tract, particularly the renal pelvis, presents significant challenges to the proper identification and ability to reach and resect all tumors in tumor resection surgical procedures. Consequently, patients with high-grade disease or patients with low-grade disease that present with a large number of tumors typically undergo nephroureterectomy, which is kidney and upper urinary tract removal. In addition, the stage and grade of UTUC are often misdiagnosed, which we believe is due to the structural complexity of the upper urinary tract. Due to these factors, the current standard of care for the treatment of UTUC is nephroureterectomy.</w:t>
      </w:r>
    </w:p>
    <w:p>
      <w:pPr>
        <w:spacing w:after="0" w:line="148" w:lineRule="exact"/>
        <w:rPr>
          <w:sz w:val="20"/>
          <w:szCs w:val="20"/>
          <w:color w:val="auto"/>
        </w:rPr>
      </w:pPr>
    </w:p>
    <w:p>
      <w:pPr>
        <w:ind w:left="380"/>
        <w:spacing w:after="0" w:line="232" w:lineRule="auto"/>
        <w:rPr>
          <w:sz w:val="20"/>
          <w:szCs w:val="20"/>
          <w:color w:val="auto"/>
        </w:rPr>
      </w:pPr>
      <w:r>
        <w:rPr>
          <w:rFonts w:ascii="Arial" w:cs="Arial" w:eastAsia="Arial" w:hAnsi="Arial"/>
          <w:sz w:val="17"/>
          <w:szCs w:val="17"/>
          <w:color w:val="auto"/>
        </w:rPr>
        <w:t>Tumor resection, which aims to be a kidney sparing surgical procedure, is conducted only in patients with low-grade disease that present with a limited number of tumors. Such procedures are followed by adjuvant chemotherapy treatment, typically with MMC. However, the upper urinary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low-grade UTUC who underwent tumor resections, 89.5% of patients recurred with a mean of 5.5 recurrences per patient over a four-year period. Moreover, approximately 20% of the patients in this trial progressed and ultimately underwent kidney and upper urinary tract removal.</w:t>
      </w:r>
    </w:p>
    <w:p>
      <w:pPr>
        <w:spacing w:after="0" w:line="1" w:lineRule="exact"/>
        <w:rPr>
          <w:sz w:val="20"/>
          <w:szCs w:val="20"/>
          <w:color w:val="auto"/>
        </w:rPr>
      </w:pPr>
    </w:p>
    <w:p>
      <w:pPr>
        <w:ind w:left="380" w:right="280"/>
        <w:spacing w:after="0" w:line="243" w:lineRule="auto"/>
        <w:rPr>
          <w:sz w:val="20"/>
          <w:szCs w:val="20"/>
          <w:color w:val="auto"/>
        </w:rPr>
      </w:pPr>
      <w:r>
        <w:rPr>
          <w:rFonts w:ascii="Arial" w:cs="Arial" w:eastAsia="Arial" w:hAnsi="Arial"/>
          <w:sz w:val="17"/>
          <w:szCs w:val="17"/>
          <w:color w:val="auto"/>
        </w:rPr>
        <w:t>We believe that because tumor resection procedures followed by adjuvant chemotherapy therapy are sub-optimal, nephroureterectomy is often used even in patients that may otherwise be candidates for organ-sparing treatments.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MitoGel: Our Solution for the Treatment of Low-Grade Upper Tract Urothelial Carcinoma</w:t>
      </w:r>
    </w:p>
    <w:p>
      <w:pPr>
        <w:spacing w:after="0" w:line="41" w:lineRule="exact"/>
        <w:rPr>
          <w:sz w:val="20"/>
          <w:szCs w:val="20"/>
          <w:color w:val="auto"/>
        </w:rPr>
      </w:pPr>
    </w:p>
    <w:p>
      <w:pPr>
        <w:ind w:left="380" w:right="20"/>
        <w:spacing w:after="0" w:line="234" w:lineRule="auto"/>
        <w:rPr>
          <w:sz w:val="20"/>
          <w:szCs w:val="20"/>
          <w:color w:val="auto"/>
        </w:rPr>
      </w:pPr>
      <w:r>
        <w:rPr>
          <w:rFonts w:ascii="Arial" w:cs="Arial" w:eastAsia="Arial" w:hAnsi="Arial"/>
          <w:sz w:val="17"/>
          <w:szCs w:val="17"/>
          <w:color w:val="auto"/>
        </w:rPr>
        <w:t>MitoGel is our novel sustained-release RTGel-based formulation of MMC that we are developing for the treatment of low-grade UTUC. RTGel is liquid at lower temperatures and converts into gel form at body temperature. This temperature-dependent viscosity characteristic allows for simple and convenient instillation of the cooled MitoGel in its liquid form to the upper urinary tract via standard catheters. Once instilled, MitoGel converts into gel form in less than 10 minutes at body temperature. Subsequently, upon contact with urine, MitoGel gradually dissolves and releases the active drug, MMC, over a period of several hours versus several minutes for MMC in its water-based formulation. We believe that this substantial increase in dwell time of MMC positions MitoGel as a potential first-line chemoablation treatment for low-grade UTUC, potentially sparing patients from repeated tumor resection surgeries and reducing the need for bladder and upper urinary tract surgeries, including upper urinary tract removal.</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 of Non-Muscle Invasive Bladder Cancer</w:t>
      </w:r>
    </w:p>
    <w:p>
      <w:pPr>
        <w:spacing w:after="0" w:line="93" w:lineRule="exact"/>
        <w:rPr>
          <w:sz w:val="20"/>
          <w:szCs w:val="20"/>
          <w:color w:val="auto"/>
        </w:rPr>
      </w:pPr>
    </w:p>
    <w:p>
      <w:pPr>
        <w:ind w:left="380" w:right="20"/>
        <w:spacing w:after="0" w:line="234" w:lineRule="auto"/>
        <w:rPr>
          <w:sz w:val="20"/>
          <w:szCs w:val="20"/>
          <w:color w:val="auto"/>
        </w:rPr>
      </w:pPr>
      <w:r>
        <w:rPr>
          <w:rFonts w:ascii="Arial" w:cs="Arial" w:eastAsia="Arial" w:hAnsi="Arial"/>
          <w:sz w:val="17"/>
          <w:szCs w:val="17"/>
          <w:color w:val="auto"/>
        </w:rPr>
        <w:t>Bladder cancer accounts for approximately 90% to 95% of all new cases of urothelial cancer in the United States, with a prevalence of approximately 580,000. Bladder cancer is nearly three to four times more common in men than women, and, with an average age at diagnosis of 73, mostly affects the elderly. Bladder cancers are described as non-muscle invasive or muscle-invasive based on how far into the wall of the bladder they have invaded. The magnitude and rate of the spreading of the cancer is called “staging,” which ranges from Ta to T1 for NMIBC, and T2 to T4 for muscle-invasive bladder cancers, as defined by the American Joint Committee on Cancer TNM System. In addition, Carcinoma in Situ, or CIS, a form of NMIBC, has a staging designation of Tis. Muscle-invasive bladder cancer, or MIBC, has an average five-year survival rate of 15% to 63%, depending on severity. MIBC represents a worse prognosis than NMIBC, which has a five-year survival rate of approximately 90%. NMIBC accounts for approximately 80% of all new cases of bladder cancer diagnosed in the United States each year, which corresponds to an estimated annual incidence and prevalence of approximately 60,000 and 465,000 cases, respectively.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Limitations of Current Treatment Options for Non-Muscle Invasive Bladder Cancer</w:t>
      </w:r>
    </w:p>
    <w:p>
      <w:pPr>
        <w:spacing w:after="0" w:line="41" w:lineRule="exact"/>
        <w:rPr>
          <w:sz w:val="20"/>
          <w:szCs w:val="20"/>
          <w:color w:val="auto"/>
        </w:rPr>
      </w:pPr>
    </w:p>
    <w:p>
      <w:pPr>
        <w:ind w:left="380" w:right="260"/>
        <w:spacing w:after="0" w:line="243" w:lineRule="auto"/>
        <w:rPr>
          <w:sz w:val="20"/>
          <w:szCs w:val="20"/>
          <w:color w:val="auto"/>
        </w:rPr>
      </w:pPr>
      <w:r>
        <w:rPr>
          <w:rFonts w:ascii="Arial" w:cs="Arial" w:eastAsia="Arial" w:hAnsi="Arial"/>
          <w:sz w:val="17"/>
          <w:szCs w:val="17"/>
          <w:color w:val="auto"/>
        </w:rPr>
        <w:t>The standard of care for treating NMIBC patients is TURBT followed by adjuvant chemotherapy or immunotherapy treatment. TURBT is a surgical operation for tumor removal conducted under general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47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6470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right="80"/>
        <w:spacing w:after="0" w:line="234" w:lineRule="auto"/>
        <w:rPr>
          <w:sz w:val="20"/>
          <w:szCs w:val="20"/>
          <w:color w:val="auto"/>
        </w:rPr>
      </w:pPr>
      <w:r>
        <w:rPr>
          <w:rFonts w:ascii="Arial" w:cs="Arial" w:eastAsia="Arial" w:hAnsi="Arial"/>
          <w:sz w:val="17"/>
          <w:szCs w:val="17"/>
          <w:color w:val="auto"/>
        </w:rPr>
        <w:t>anesthesia in a hospital setting and may require at least an overnight stay. Moreover, TURBT’s success is tied to the physician’s ability to overcome challenges in properly identifying, reaching and resecting all tumors. 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 Patients treated with the current standard of care have up to an approximately 60% rate of recurrence of NMIBC within one year, and the rate of progression of NMIBC to MIBC is between 20% and 30%. As a consequence, NMIBC patients often undergo multiple repeat TURBT procedures and adjuvant chemotherapy and immunotherapy treatments.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VesiGel: Our Solution for the Treatment of Low-Grade Non-Muscle Invasive Bladder Cancer</w:t>
      </w:r>
    </w:p>
    <w:p>
      <w:pPr>
        <w:spacing w:after="0" w:line="54" w:lineRule="exact"/>
        <w:rPr>
          <w:sz w:val="20"/>
          <w:szCs w:val="20"/>
          <w:color w:val="auto"/>
        </w:rPr>
      </w:pPr>
    </w:p>
    <w:p>
      <w:pPr>
        <w:ind w:left="380"/>
        <w:spacing w:after="0" w:line="234" w:lineRule="auto"/>
        <w:rPr>
          <w:sz w:val="20"/>
          <w:szCs w:val="20"/>
          <w:color w:val="auto"/>
        </w:rPr>
      </w:pPr>
      <w:r>
        <w:rPr>
          <w:rFonts w:ascii="Arial" w:cs="Arial" w:eastAsia="Arial" w:hAnsi="Arial"/>
          <w:sz w:val="17"/>
          <w:szCs w:val="17"/>
          <w:color w:val="auto"/>
        </w:rPr>
        <w:t>VesiGel, an RTGel-based formulation of high dose MMC, is our product candidate for the treatment of low-grade NMIBC. VesiGel is administered locally using standard catheters and is designed to conform to the bladder’s anatomy and persist in the bladder despite urine flow and bladder movement. Once instilled, VesiGel converts into gel form within approximately 10 minutes at body temperature. Subsequently, upon contact with urine, VesiGel gradually dissolves and releases the active drug, MMC, over a period of several hours versus the time until first voiding, often less than an hour, for MMC in its current water-based formulation, without compromising the safety of the patient or interfering with the natural flow of urine out of the bladder. We believe that the resulting significantly increased dwell time of MMC in the bladder prolongs exposure of MMC to the tissue and therefore has the potential to chemoablate visible and unseen tumors. As a result of these properties, our goal is to develop VesiGel as a first-line chemoablation non-surgical alternative to TURBT for the treatment of low-grade NMIBC.</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RTGel: Our Reverse Thermally Triggered Hydrogel Platform Technology</w:t>
      </w:r>
    </w:p>
    <w:p>
      <w:pPr>
        <w:spacing w:after="0" w:line="80" w:lineRule="exact"/>
        <w:rPr>
          <w:sz w:val="20"/>
          <w:szCs w:val="20"/>
          <w:color w:val="auto"/>
        </w:rPr>
      </w:pPr>
    </w:p>
    <w:p>
      <w:pPr>
        <w:ind w:left="380" w:right="360"/>
        <w:spacing w:after="0" w:line="236"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urinary tract, by conforming to the anatomy of the target organ while preventing rapid excretion of the drug.</w:t>
      </w:r>
    </w:p>
    <w:p>
      <w:pPr>
        <w:spacing w:after="0" w:line="149" w:lineRule="exact"/>
        <w:rPr>
          <w:sz w:val="20"/>
          <w:szCs w:val="20"/>
          <w:color w:val="auto"/>
        </w:rPr>
      </w:pPr>
    </w:p>
    <w:p>
      <w:pPr>
        <w:jc w:val="both"/>
        <w:ind w:left="380" w:right="80"/>
        <w:spacing w:after="0" w:line="238"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from the urinary tract to the bladder. RTGel achieves this by:</w:t>
      </w:r>
    </w:p>
    <w:p>
      <w:pPr>
        <w:spacing w:after="0" w:line="188" w:lineRule="exact"/>
        <w:rPr>
          <w:sz w:val="20"/>
          <w:szCs w:val="20"/>
          <w:color w:val="auto"/>
        </w:rPr>
      </w:pPr>
    </w:p>
    <w:p>
      <w:pPr>
        <w:ind w:left="1100" w:right="60" w:hanging="403"/>
        <w:spacing w:after="0" w:line="236" w:lineRule="auto"/>
        <w:tabs>
          <w:tab w:leader="none" w:pos="110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MMC water formulation, currently used as adjuvant treatment, in the upper urinary tract is approximately five minutes, compared to approximately six hours when MMC is formulated with RTGel;</w:t>
      </w:r>
    </w:p>
    <w:p>
      <w:pPr>
        <w:spacing w:after="0" w:line="27" w:lineRule="exact"/>
        <w:rPr>
          <w:rFonts w:ascii="MS PGothic" w:cs="MS PGothic" w:eastAsia="MS PGothic" w:hAnsi="MS PGothic"/>
          <w:sz w:val="13"/>
          <w:szCs w:val="13"/>
          <w:color w:val="auto"/>
        </w:rPr>
      </w:pPr>
    </w:p>
    <w:p>
      <w:pPr>
        <w:ind w:left="1100" w:hanging="403"/>
        <w:spacing w:after="0" w:line="238" w:lineRule="auto"/>
        <w:tabs>
          <w:tab w:leader="none" w:pos="110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administering higher doses of an active drug than would otherwise be possible using standard water-based formulations. For instance, it is only possible to dissolve 0.5 mg of MMC in 1 ml of water while it is possible to formulate up to 8 mg of MMC with 1 ml of RTGel; and</w:t>
      </w:r>
    </w:p>
    <w:p>
      <w:pPr>
        <w:spacing w:after="0" w:line="26" w:lineRule="exact"/>
        <w:rPr>
          <w:rFonts w:ascii="MS PGothic" w:cs="MS PGothic" w:eastAsia="MS PGothic" w:hAnsi="MS PGothic"/>
          <w:sz w:val="13"/>
          <w:szCs w:val="13"/>
          <w:color w:val="auto"/>
        </w:rPr>
      </w:pPr>
    </w:p>
    <w:p>
      <w:pPr>
        <w:ind w:left="1100" w:hanging="403"/>
        <w:spacing w:after="0"/>
        <w:tabs>
          <w:tab w:leader="none" w:pos="110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maintaining the active drug’s molecular structure and mode of action.</w:t>
      </w:r>
    </w:p>
    <w:p>
      <w:pPr>
        <w:spacing w:after="0" w:line="156" w:lineRule="exact"/>
        <w:rPr>
          <w:sz w:val="20"/>
          <w:szCs w:val="20"/>
          <w:color w:val="auto"/>
        </w:rPr>
      </w:pPr>
    </w:p>
    <w:p>
      <w:pPr>
        <w:jc w:val="both"/>
        <w:ind w:left="380" w:right="20"/>
        <w:spacing w:after="0" w:line="236" w:lineRule="auto"/>
        <w:rPr>
          <w:sz w:val="20"/>
          <w:szCs w:val="20"/>
          <w:color w:val="auto"/>
        </w:rPr>
      </w:pPr>
      <w:r>
        <w:rPr>
          <w:rFonts w:ascii="Arial" w:cs="Arial" w:eastAsia="Arial" w:hAnsi="Arial"/>
          <w:sz w:val="17"/>
          <w:szCs w:val="17"/>
          <w:color w:val="auto"/>
        </w:rPr>
        <w:t>These characteristics of RTGel enable sustained release of MMC in the urinary tract for both MitoGel and VesiGel, and of botulinum toxin in the case of BotuGel. Further, RTGel may be particularly effective in the bladder and upper urinary tract where tumor visibility and access are challenging, and where there exists a significant amount of urine flow and voiding. We believe that these characteristics of RTGel may prove useful for the local delivery of active drugs to other bodily cavities in addition to the bladder and upper urinary tract.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55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3555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60" w:lineRule="exact"/>
        <w:rPr>
          <w:sz w:val="20"/>
          <w:szCs w:val="20"/>
          <w:color w:val="auto"/>
        </w:rPr>
      </w:pPr>
    </w:p>
    <w:p>
      <w:pPr>
        <w:ind w:left="700" w:right="20"/>
        <w:spacing w:after="0" w:line="235" w:lineRule="auto"/>
        <w:rPr>
          <w:sz w:val="20"/>
          <w:szCs w:val="20"/>
          <w:color w:val="auto"/>
        </w:rPr>
      </w:pPr>
      <w:r>
        <w:rPr>
          <w:rFonts w:ascii="Arial" w:cs="Arial" w:eastAsia="Arial" w:hAnsi="Arial"/>
          <w:sz w:val="17"/>
          <w:szCs w:val="17"/>
          <w:b w:val="1"/>
          <w:bCs w:val="1"/>
          <w:i w:val="1"/>
          <w:iCs w:val="1"/>
          <w:color w:val="auto"/>
        </w:rPr>
        <w:t xml:space="preserve">Potential ability to develop non-surgical, first-line drug therapies for uro-oncology. </w:t>
      </w:r>
      <w:r>
        <w:rPr>
          <w:rFonts w:ascii="Arial" w:cs="Arial" w:eastAsia="Arial" w:hAnsi="Arial"/>
          <w:sz w:val="17"/>
          <w:szCs w:val="17"/>
          <w:color w:val="auto"/>
        </w:rPr>
        <w:t>Leveraging our innovative formulation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we are developing two lead product candidates, MitoGel and VesiGel, as potential replacements to first-line treatment for low-grade UTUC and NMIBC, respectively. Both MitoGel and VesiGel are chemoablation agents designed to overcome the challenges posed by the anatomy of the urinary tract by increasing the dwell time and enhancing the tissue coverage of MMC. Clinical data generated to date supports our belief that our lead product candidates may be able to replace the current first-line tumor surgical procedures, providing a chemoablation treatment that has the potential to better eradicate tumors irrespective of their detectability and location within the urinary tract. Of the 13 low-grade UTUC patients treated with MitoGel in a recently-completed Compassionate Use program and evaluated endoscopically or through the use of a nonsurgical viewing instrument for efficacy, eight achieved a complete response and the remaining five achieved a partial response at the primary evaluation time. In the case of VesiGel, 19 of 22, or approximately 86%, of the patients treated with the high dose of VesiGel in a recently-completed Phase 2a trial conducted in Europe and Israel, evaluating the efficacy and safety of VesiGel’s chemoablation properties, achieved a complete response at the primary evaluation time.</w:t>
      </w:r>
    </w:p>
    <w:p>
      <w:pPr>
        <w:spacing w:after="0" w:line="13" w:lineRule="exact"/>
        <w:rPr>
          <w:sz w:val="20"/>
          <w:szCs w:val="20"/>
          <w:color w:val="auto"/>
        </w:rPr>
      </w:pPr>
    </w:p>
    <w:p>
      <w:pPr>
        <w:ind w:left="700" w:right="20"/>
        <w:spacing w:after="0" w:line="237" w:lineRule="auto"/>
        <w:rPr>
          <w:sz w:val="20"/>
          <w:szCs w:val="20"/>
          <w:color w:val="auto"/>
        </w:rPr>
      </w:pPr>
      <w:r>
        <w:rPr>
          <w:rFonts w:ascii="Arial" w:cs="Arial" w:eastAsia="Arial" w:hAnsi="Arial"/>
          <w:sz w:val="17"/>
          <w:szCs w:val="17"/>
          <w:b w:val="1"/>
          <w:bCs w:val="1"/>
          <w:i w:val="1"/>
          <w:iCs w:val="1"/>
          <w:color w:val="auto"/>
        </w:rPr>
        <w:t xml:space="preserve">Expertise in developing proprietary formulations of drugs for clinical benefit. </w:t>
      </w:r>
      <w:r>
        <w:rPr>
          <w:rFonts w:ascii="Arial" w:cs="Arial" w:eastAsia="Arial" w:hAnsi="Arial"/>
          <w:sz w:val="17"/>
          <w:szCs w:val="17"/>
          <w:color w:val="auto"/>
        </w:rPr>
        <w:t>We focus on developing proprietary RTGel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formulations of previously 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MMC and botulinum toxin. Our formulations are designed to significantly increase the dwell time and exposure of the drugs to the target sites and limit the need for urine retention, potentially providing enhanced clinical activity, reduced patient burden and increased patient compliance over existing formulations and modes of administration. With 13 Ph.Ds. and medical doctors on our staff, we have a strong research and development team to advance our product candidates.</w:t>
      </w:r>
    </w:p>
    <w:p>
      <w:pPr>
        <w:spacing w:after="0" w:line="9" w:lineRule="exact"/>
        <w:rPr>
          <w:sz w:val="20"/>
          <w:szCs w:val="20"/>
          <w:color w:val="auto"/>
        </w:rPr>
      </w:pPr>
    </w:p>
    <w:p>
      <w:pPr>
        <w:ind w:left="700" w:right="20"/>
        <w:spacing w:after="0" w:line="237" w:lineRule="auto"/>
        <w:rPr>
          <w:sz w:val="20"/>
          <w:szCs w:val="20"/>
          <w:color w:val="auto"/>
        </w:rPr>
      </w:pPr>
      <w:r>
        <w:rPr>
          <w:rFonts w:ascii="Arial" w:cs="Arial" w:eastAsia="Arial" w:hAnsi="Arial"/>
          <w:sz w:val="17"/>
          <w:szCs w:val="17"/>
          <w:b w:val="1"/>
          <w:bCs w:val="1"/>
          <w:i w:val="1"/>
          <w:iCs w:val="1"/>
          <w:color w:val="auto"/>
        </w:rPr>
        <w:t xml:space="preserve">Lower development risks and costs for our pipeline product candidates. </w:t>
      </w:r>
      <w:r>
        <w:rPr>
          <w:rFonts w:ascii="Arial" w:cs="Arial" w:eastAsia="Arial" w:hAnsi="Arial"/>
          <w:sz w:val="17"/>
          <w:szCs w:val="17"/>
          <w:color w:val="auto"/>
        </w:rPr>
        <w:t>We expect the approval process for each of our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uro-oncology product candidates to be conducted according to the FDA’s 505(b)(2) regulatory pathway, a streamlined, lower-cost and more well-defined pathway to drug approval when compared to traditional drug development. Furthermore, two of our product candidates, MitoGel and Vesimune, have received Orphan Drug Designation from the FDA for the treatment of UTUC and CIS, respectively, which we expect will provide seven years of marketing exclusivity following FDA approval, if received. We submitted an IND for MitoGel in November 2016, which was accepted by the FDA in December 2016. We commenced a single pivotal, open-label, single-arm Phase 3 clinical trial for the treatment of low-grade UTUC in the first quarter of 2017. The clinical trial is being conducted in the United States and Europe with anticipated enrollment of approximately 74 patients. Additionally, we expect that our product candidates are more likely to be safe and well-tolerated because they are novel formulations of previously approved drugs.</w:t>
      </w:r>
    </w:p>
    <w:p>
      <w:pPr>
        <w:ind w:left="700"/>
        <w:spacing w:after="0" w:line="236" w:lineRule="auto"/>
        <w:rPr>
          <w:sz w:val="20"/>
          <w:szCs w:val="20"/>
          <w:color w:val="auto"/>
        </w:rPr>
      </w:pPr>
      <w:r>
        <w:rPr>
          <w:rFonts w:ascii="Arial" w:cs="Arial" w:eastAsia="Arial" w:hAnsi="Arial"/>
          <w:sz w:val="17"/>
          <w:szCs w:val="17"/>
          <w:b w:val="1"/>
          <w:bCs w:val="1"/>
          <w:i w:val="1"/>
          <w:iCs w:val="1"/>
          <w:color w:val="auto"/>
        </w:rPr>
        <w:t>Leverageable proprietary formulation technology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RTGel has multiple potential applications beyond urology.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formulation know-how may enable us to develop different drug formulations to facilitate the delivery, retention and sustained release of active drugs to a variety of targeted body cavities. We believe that our proprietary formulation technology can improve the efficacy of locally administered drugs in body cavities such as the stomach, uterus and rectum that present anatomical and physiological challenges related to frequent wash out, rapid excretion and bodily secretions. In October 2016, we announced that we licensed worldwide rights to a proprietary RTGel formulation with BOTOX to Allergan for the treatment of overactive bladder and related indications pursuant to the Allergan Agreement.</w:t>
      </w:r>
    </w:p>
    <w:p>
      <w:pPr>
        <w:spacing w:after="0" w:line="10" w:lineRule="exact"/>
        <w:rPr>
          <w:sz w:val="20"/>
          <w:szCs w:val="20"/>
          <w:color w:val="auto"/>
        </w:rPr>
      </w:pPr>
    </w:p>
    <w:p>
      <w:pPr>
        <w:jc w:val="both"/>
        <w:ind w:left="700" w:right="180"/>
        <w:spacing w:after="0" w:line="244"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28 issued patents worldwide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than 45 pending patent applications filed worldwide. In the United States, we have 13 granted patents that are directed to protect our lead product candidates MitoGel, VesiGel and Botugel as well as our RTGel technology and our other potential product candidates that are under preclinical review. These patents claim methods, systems, and novel compositions for treating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700"/>
        <w:spacing w:after="0" w:line="236" w:lineRule="auto"/>
        <w:rPr>
          <w:sz w:val="20"/>
          <w:szCs w:val="20"/>
          <w:color w:val="auto"/>
        </w:rPr>
      </w:pPr>
      <w:r>
        <w:rPr>
          <w:rFonts w:ascii="Arial" w:cs="Arial" w:eastAsia="Arial" w:hAnsi="Arial"/>
          <w:sz w:val="17"/>
          <w:szCs w:val="17"/>
          <w:color w:val="auto"/>
        </w:rPr>
        <w:t>cancer in internal cavities, in particular treating a urinary tract cancer. These issued patents are expected to expire between 2024 and 2035. Additionally, the FDA has granted Orphan Drug Designation to MitoGel for the treatment of UTUC and Vesimune for the treatment of CIS bladder cancer, which potentially entitles us to marketing exclusivity for MitoGel and Vesimune for seven years following approval, if granted, by the FDA.</w:t>
      </w:r>
    </w:p>
    <w:p>
      <w:pPr>
        <w:spacing w:after="0" w:line="8" w:lineRule="exact"/>
        <w:rPr>
          <w:sz w:val="20"/>
          <w:szCs w:val="20"/>
          <w:color w:val="auto"/>
        </w:rPr>
      </w:pPr>
    </w:p>
    <w:p>
      <w:pPr>
        <w:ind w:left="700" w:right="100"/>
        <w:spacing w:after="0" w:line="238" w:lineRule="auto"/>
        <w:rPr>
          <w:sz w:val="20"/>
          <w:szCs w:val="20"/>
          <w:color w:val="auto"/>
        </w:rPr>
      </w:pPr>
      <w:r>
        <w:rPr>
          <w:rFonts w:ascii="Arial" w:cs="Arial" w:eastAsia="Arial" w:hAnsi="Arial"/>
          <w:sz w:val="17"/>
          <w:szCs w:val="17"/>
          <w:b w:val="1"/>
          <w:bCs w:val="1"/>
          <w:i w:val="1"/>
          <w:iCs w:val="1"/>
          <w:color w:val="auto"/>
        </w:rPr>
        <w:t>Experienced and accomplished leadership team with proven track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experienced management team, with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possessing more than 15 years of biopharmaceutical and related industry experience. Our Chief Executive Officer, Ron Bentsur, successfully navigated Auryxia (ferric citrate) through the 505(b)(2) streamlined regulatory pathway to FDA approval. In addition, our Chairman, Arie Belldegrun, M.D., is a seasoned biotech executive and was the founder, Chairman, Chief Executive Officer and President of Kite Pharma, which was recently sold to Gilead Sciences, Inc. for $11.8 billion. Dr. Belldegrun is also a urologist by training. We believe that our leadership team is well-positioned to lead us through clinical development, regulatory approval and commercialization for our product candidates.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Strategy</w:t>
      </w:r>
    </w:p>
    <w:p>
      <w:pPr>
        <w:spacing w:after="0" w:line="60" w:lineRule="exact"/>
        <w:rPr>
          <w:sz w:val="20"/>
          <w:szCs w:val="20"/>
          <w:color w:val="auto"/>
        </w:rPr>
      </w:pPr>
    </w:p>
    <w:p>
      <w:pPr>
        <w:ind w:left="700" w:right="40"/>
        <w:spacing w:after="0" w:line="236"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MitoGel and VesiGel, as the first-line treatment in its target indication.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that data from treatments in our Compassionate Use program conducted in the United States, Europe and Israel provide preliminary evidence of the potential safety and efficacy of MitoGel for the treatment of low-grade UTUC. We submitted an IND for MitoGel with the FDA in November 2016, which was accepted by the FDA in December 2016, and we commenced a single pivotal Phase 3 clinical trial in the first quarter of 2017 pursuant to the FDA’s 505(b)(2) regulatory pathway. We recently completed a Phase 2a randomized, open-label, single-arm, active-controlled clinical trial of VesiGel for the treatment of low-grade NMIBC, conducted in Europe and Israel. We expect to file an IND for VesiGel in the first half of 2018, and, if accepted, to commence a Phase 2b U.S.-based clinical trial shortly thereafter. We also expect to pursue a 505(b)(2) regulatory pathway for VesiGel. We believe that these local drug treatments have the potential to replace costly, sub-optimal and burdensome tumor resection and kidney removal surgeries to become the first-line standard of care.</w:t>
      </w:r>
    </w:p>
    <w:p>
      <w:pPr>
        <w:spacing w:after="0" w:line="9" w:lineRule="exact"/>
        <w:rPr>
          <w:sz w:val="20"/>
          <w:szCs w:val="20"/>
          <w:color w:val="auto"/>
        </w:rPr>
      </w:pPr>
    </w:p>
    <w:p>
      <w:pPr>
        <w:ind w:left="700" w:right="60"/>
        <w:spacing w:after="0" w:line="238" w:lineRule="auto"/>
        <w:rPr>
          <w:sz w:val="20"/>
          <w:szCs w:val="20"/>
          <w:color w:val="auto"/>
        </w:rPr>
      </w:pPr>
      <w:r>
        <w:rPr>
          <w:rFonts w:ascii="Arial" w:cs="Arial" w:eastAsia="Arial" w:hAnsi="Arial"/>
          <w:sz w:val="17"/>
          <w:szCs w:val="17"/>
          <w:b w:val="1"/>
          <w:bCs w:val="1"/>
          <w:i w:val="1"/>
          <w:iCs w:val="1"/>
          <w:color w:val="auto"/>
        </w:rPr>
        <w:t xml:space="preserve">Expand our uro-oncology product pipeline. </w:t>
      </w:r>
      <w:r>
        <w:rPr>
          <w:rFonts w:ascii="Arial" w:cs="Arial" w:eastAsia="Arial" w:hAnsi="Arial"/>
          <w:sz w:val="17"/>
          <w:szCs w:val="17"/>
          <w:color w:val="auto"/>
        </w:rPr>
        <w:t>A Phase 1 clinical trial of Vesimune was completed under an IND in 12 patients with CIS,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aggressive form of high-grade urinary bladder cancer. In the trial, 10 patients were evaluated for response, of which 40% achieved a complete response rate with Vesimune as a single-agent treatment. We believe that combining Vesimune with immune checkpoint inhibitors or chemotherapy has the potential to serve as a treatment option for high-grade urothelial tumors. We are also pursuing preclinical oncology programs that take advantage of our RTGel technology. We are conducting preclinical programs for high-grade bladder cancer and high-grade UTUC. We may also evaluate in-licensing or acquiring additional product candidates for the treatment of urological cancers.</w:t>
      </w:r>
    </w:p>
    <w:p>
      <w:pPr>
        <w:spacing w:after="0" w:line="2" w:lineRule="exact"/>
        <w:rPr>
          <w:sz w:val="20"/>
          <w:szCs w:val="20"/>
          <w:color w:val="auto"/>
        </w:rPr>
      </w:pPr>
    </w:p>
    <w:p>
      <w:pPr>
        <w:ind w:left="700" w:right="60"/>
        <w:spacing w:after="0" w:line="238" w:lineRule="auto"/>
        <w:rPr>
          <w:sz w:val="20"/>
          <w:szCs w:val="20"/>
          <w:color w:val="auto"/>
        </w:rPr>
      </w:pPr>
      <w:r>
        <w:rPr>
          <w:rFonts w:ascii="Arial" w:cs="Arial" w:eastAsia="Arial" w:hAnsi="Arial"/>
          <w:sz w:val="17"/>
          <w:szCs w:val="17"/>
          <w:b w:val="1"/>
          <w:bCs w:val="1"/>
          <w:i w:val="1"/>
          <w:iCs w:val="1"/>
          <w:color w:val="auto"/>
        </w:rPr>
        <w:t xml:space="preserve">Utilize our proprietary technology to expand our pipeline to other body cavities and indications. </w:t>
      </w:r>
      <w:r>
        <w:rPr>
          <w:rFonts w:ascii="Arial" w:cs="Arial" w:eastAsia="Arial" w:hAnsi="Arial"/>
          <w:sz w:val="17"/>
          <w:szCs w:val="17"/>
          <w:color w:val="auto"/>
        </w:rPr>
        <w:t>We believe that RTGel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suitable for multiple additional applications. Our know-how may enable us to develop different drug formulations to facilitate the delivery, retention and sustained release of active drugs to a variety of targeted body cavities. Beyond the urinary tract, we may target the gastrointestinal tract and the female reproductive system. In the future, we may also choose to develop our RTGel technology in combination with other drugs to treat cancer and other indications endemic to such body cavities.</w:t>
      </w:r>
    </w:p>
    <w:p>
      <w:pPr>
        <w:spacing w:after="0" w:line="8" w:lineRule="exact"/>
        <w:rPr>
          <w:sz w:val="20"/>
          <w:szCs w:val="20"/>
          <w:color w:val="auto"/>
        </w:rPr>
      </w:pPr>
    </w:p>
    <w:p>
      <w:pPr>
        <w:ind w:left="700"/>
        <w:spacing w:after="0" w:line="237" w:lineRule="auto"/>
        <w:rPr>
          <w:sz w:val="20"/>
          <w:szCs w:val="20"/>
          <w:color w:val="auto"/>
        </w:rPr>
      </w:pPr>
      <w:r>
        <w:rPr>
          <w:rFonts w:ascii="Arial" w:cs="Arial" w:eastAsia="Arial" w:hAnsi="Arial"/>
          <w:sz w:val="17"/>
          <w:szCs w:val="17"/>
          <w:b w:val="1"/>
          <w:bCs w:val="1"/>
          <w:i w:val="1"/>
          <w:iCs w:val="1"/>
          <w:color w:val="auto"/>
        </w:rPr>
        <w:t xml:space="preserve">Evaluate and selectively pursue potential collaborations to develop improved formulations and product life-cycle management strategies. </w:t>
      </w:r>
      <w:r>
        <w:rPr>
          <w:rFonts w:ascii="Arial" w:cs="Arial" w:eastAsia="Arial" w:hAnsi="Arial"/>
          <w:sz w:val="17"/>
          <w:szCs w:val="17"/>
          <w:color w:val="auto"/>
        </w:rPr>
        <w:t>We entered into the Allergan Agreement to research, develop, manufacture and commercialize pharmaceutical products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 RTGel and clostridial toxins (including BOTOX), alone or in combination with certain other active ingredients. This collaboration provides us with funding for our research and development efforts, and may accelerate the development and commercialization of our approved products, if any. In addition, we may in-license or acquire additional product candidates for urological indications. Such collaborations would allow us to obtain financial support and to capitalize on the expertise and resources of our potential partners, which could allow for new and improved versions of approved or clinical stage drugs, and could accelerate the development and commercialization of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49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45491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380"/>
        <w:spacing w:after="0" w:line="243"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85" w:lineRule="exact"/>
        <w:rPr>
          <w:sz w:val="20"/>
          <w:szCs w:val="20"/>
          <w:color w:val="auto"/>
        </w:rPr>
      </w:pPr>
    </w:p>
    <w:p>
      <w:pPr>
        <w:ind w:left="1100" w:hanging="403"/>
        <w:spacing w:after="0" w:line="238"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26" w:lineRule="exact"/>
        <w:rPr>
          <w:rFonts w:ascii="MS PGothic" w:cs="MS PGothic" w:eastAsia="MS PGothic" w:hAnsi="MS PGothic"/>
          <w:sz w:val="13"/>
          <w:szCs w:val="13"/>
          <w:color w:val="auto"/>
        </w:rPr>
      </w:pPr>
    </w:p>
    <w:p>
      <w:pPr>
        <w:ind w:left="1100" w:right="40" w:hanging="403"/>
        <w:spacing w:after="0" w:line="238"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limited clinical trial experience with our product candidates and to date have generated only limited clinical data for our product candidates. Results of earlier studies and trials may not be predictive of future trial results, and our clinical trials may fail to adequately demonstrate the safety and efficacy of our product candidates.</w:t>
      </w:r>
    </w:p>
    <w:p>
      <w:pPr>
        <w:spacing w:after="0" w:line="26" w:lineRule="exact"/>
        <w:rPr>
          <w:rFonts w:ascii="MS PGothic" w:cs="MS PGothic" w:eastAsia="MS PGothic" w:hAnsi="MS PGothic"/>
          <w:sz w:val="13"/>
          <w:szCs w:val="13"/>
          <w:color w:val="auto"/>
        </w:rPr>
      </w:pPr>
    </w:p>
    <w:p>
      <w:pPr>
        <w:ind w:left="1100" w:right="140" w:hanging="403"/>
        <w:spacing w:after="0" w:line="243"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not applied for regulatory approvals to market any of our product candidates, and we may be delayed in obtaining or fail to obtain such regulatory approvals and to commercialize our product candidates.</w:t>
      </w:r>
    </w:p>
    <w:p>
      <w:pPr>
        <w:spacing w:after="0" w:line="16" w:lineRule="exact"/>
        <w:rPr>
          <w:rFonts w:ascii="MS PGothic" w:cs="MS PGothic" w:eastAsia="MS PGothic" w:hAnsi="MS PGothic"/>
          <w:sz w:val="13"/>
          <w:szCs w:val="13"/>
          <w:color w:val="auto"/>
        </w:rPr>
      </w:pPr>
    </w:p>
    <w:p>
      <w:pPr>
        <w:ind w:left="1100" w:hanging="403"/>
        <w:spacing w:after="0"/>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If the FDA does not conclude that MitoGel, VesiGel or our other product candidates satisfy the requirements under Section 505(b)</w:t>
      </w:r>
    </w:p>
    <w:p>
      <w:pPr>
        <w:ind w:left="1100" w:right="440"/>
        <w:spacing w:after="0" w:line="238" w:lineRule="auto"/>
        <w:rPr>
          <w:rFonts w:ascii="MS PGothic" w:cs="MS PGothic" w:eastAsia="MS PGothic" w:hAnsi="MS PGothic"/>
          <w:sz w:val="13"/>
          <w:szCs w:val="13"/>
          <w:color w:val="auto"/>
        </w:rPr>
      </w:pPr>
      <w:r>
        <w:rPr>
          <w:rFonts w:ascii="Arial" w:cs="Arial" w:eastAsia="Arial" w:hAnsi="Arial"/>
          <w:sz w:val="17"/>
          <w:szCs w:val="17"/>
          <w:color w:val="auto"/>
        </w:rPr>
        <w:t>(2) of the Federal Food Drug and Cosmetic Act, or if the requirements for such product candidates are not as we expect, the regulatory approval pathway for these product candidates will likely take significantly longer, cost significantly more and entail significantly greater complications and risks than anticipated, and in either case may not be successful.</w:t>
      </w:r>
    </w:p>
    <w:p>
      <w:pPr>
        <w:spacing w:after="0" w:line="26" w:lineRule="exact"/>
        <w:rPr>
          <w:rFonts w:ascii="MS PGothic" w:cs="MS PGothic" w:eastAsia="MS PGothic" w:hAnsi="MS PGothic"/>
          <w:sz w:val="13"/>
          <w:szCs w:val="13"/>
          <w:color w:val="auto"/>
        </w:rPr>
      </w:pPr>
    </w:p>
    <w:p>
      <w:pPr>
        <w:ind w:left="1100" w:right="180" w:hanging="403"/>
        <w:spacing w:after="0" w:line="235"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Even if our product candidates receive regulatory approval, they may fail to achieve the broad degree of physician adoption and use and market acceptance necessary for commercial success. Further, if MitoGel or VesiGel or any of our other product candidates produces undesirable side effects that we may not have detected in our previous preclinical studies and clinical trials, our ability to obtain and maintain marketing approval or physician and market acceptance for these product candidates would be significantly harmed.</w:t>
      </w:r>
    </w:p>
    <w:p>
      <w:pPr>
        <w:spacing w:after="0" w:line="28" w:lineRule="exact"/>
        <w:rPr>
          <w:rFonts w:ascii="MS PGothic" w:cs="MS PGothic" w:eastAsia="MS PGothic" w:hAnsi="MS PGothic"/>
          <w:sz w:val="13"/>
          <w:szCs w:val="13"/>
          <w:color w:val="auto"/>
        </w:rPr>
      </w:pPr>
    </w:p>
    <w:p>
      <w:pPr>
        <w:ind w:left="1100" w:right="440" w:hanging="403"/>
        <w:spacing w:after="0" w:line="238"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are and expect to continue to be dependent on third-party subcontractors and single-source suppliers for the supply of sufficient quantities at acceptable costs of certain raw materials, compounds and components necessary to produce MitoGel, VesiGel and Vesimune for preclinical studies, clinical trials and, if approved, commercial supply.</w:t>
      </w:r>
    </w:p>
    <w:p>
      <w:pPr>
        <w:spacing w:after="0" w:line="26" w:lineRule="exact"/>
        <w:rPr>
          <w:rFonts w:ascii="MS PGothic" w:cs="MS PGothic" w:eastAsia="MS PGothic" w:hAnsi="MS PGothic"/>
          <w:sz w:val="13"/>
          <w:szCs w:val="13"/>
          <w:color w:val="auto"/>
        </w:rPr>
      </w:pPr>
    </w:p>
    <w:p>
      <w:pPr>
        <w:ind w:left="1100" w:right="240" w:hanging="403"/>
        <w:spacing w:after="0" w:line="238"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may receive only limited protection, or no protection, from our issued patents and patent applications. If our efforts to obtain, protect or enforce our patents and other intellectual property rights related to our product candidates and technologies are not adequate, we may not be able to compete effectively.</w:t>
      </w:r>
    </w:p>
    <w:p>
      <w:pPr>
        <w:spacing w:after="0" w:line="26" w:lineRule="exact"/>
        <w:rPr>
          <w:rFonts w:ascii="MS PGothic" w:cs="MS PGothic" w:eastAsia="MS PGothic" w:hAnsi="MS PGothic"/>
          <w:sz w:val="13"/>
          <w:szCs w:val="13"/>
          <w:color w:val="auto"/>
        </w:rPr>
      </w:pPr>
    </w:p>
    <w:p>
      <w:pPr>
        <w:ind w:left="1100" w:right="20" w:hanging="403"/>
        <w:spacing w:after="0" w:line="243"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market opportunities for our product candidates may be limited to those patients who are ineligible for established therapies or for whom prior therapies have failed, and may be small.</w:t>
      </w:r>
    </w:p>
    <w:p>
      <w:pPr>
        <w:spacing w:after="0" w:line="22" w:lineRule="exact"/>
        <w:rPr>
          <w:rFonts w:ascii="MS PGothic" w:cs="MS PGothic" w:eastAsia="MS PGothic" w:hAnsi="MS PGothic"/>
          <w:sz w:val="13"/>
          <w:szCs w:val="13"/>
          <w:color w:val="auto"/>
        </w:rPr>
      </w:pPr>
    </w:p>
    <w:p>
      <w:pPr>
        <w:ind w:left="1100" w:right="460" w:hanging="403"/>
        <w:spacing w:after="0" w:line="243"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Our product candidates, if approved, will face significant competition from competing technologies and our failure to compete effectively may prevent us from achieving significant market penetration.</w:t>
      </w:r>
    </w:p>
    <w:p>
      <w:pPr>
        <w:spacing w:after="0" w:line="22" w:lineRule="exact"/>
        <w:rPr>
          <w:rFonts w:ascii="MS PGothic" w:cs="MS PGothic" w:eastAsia="MS PGothic" w:hAnsi="MS PGothic"/>
          <w:sz w:val="13"/>
          <w:szCs w:val="13"/>
          <w:color w:val="auto"/>
        </w:rPr>
      </w:pPr>
    </w:p>
    <w:p>
      <w:pPr>
        <w:ind w:left="1100" w:right="340" w:hanging="403"/>
        <w:spacing w:after="0" w:line="243" w:lineRule="auto"/>
        <w:tabs>
          <w:tab w:leader="none" w:pos="110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It may be difficult for us to profitably sell our product candidates if coverage and reimbursement for these products is limited by government authorities and/or third-party payor policies.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80"/>
          </w:cols>
          <w:pgMar w:left="24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00" w:right="40" w:hanging="403"/>
        <w:spacing w:after="0" w:line="235" w:lineRule="auto"/>
        <w:tabs>
          <w:tab w:leader="none" w:pos="110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must determine our PFIC status annually based on tests which are factual in nature, and our status will depend on our income, assets and activities each year. In addition, our status as a PFIC may depend on how quickly we use the cash proceeds from this offering in our business. We do not believe that we were classified as a PFIC for the taxable year ended December 31, 2017. However, based upon the expected nature and composition of our income and assets, we presently anticipate that we will be classified as a PFIC for the taxable year ending December 31, 2018. We cannot provide any assurances regarding our PFIC status for the current or future taxable years, and our U.S. tax counsel has not provided any opinion regarding our PFIC status.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0" w:lineRule="exact"/>
        <w:rPr>
          <w:sz w:val="20"/>
          <w:szCs w:val="20"/>
          <w:color w:val="auto"/>
        </w:rPr>
      </w:pPr>
    </w:p>
    <w:p>
      <w:pPr>
        <w:ind w:left="380"/>
        <w:spacing w:after="0" w:line="235" w:lineRule="auto"/>
        <w:rPr>
          <w:sz w:val="20"/>
          <w:szCs w:val="20"/>
          <w:color w:val="auto"/>
        </w:rPr>
      </w:pPr>
      <w:r>
        <w:rPr>
          <w:rFonts w:ascii="Arial" w:cs="Arial" w:eastAsia="Arial" w:hAnsi="Arial"/>
          <w:sz w:val="17"/>
          <w:szCs w:val="17"/>
          <w:color w:val="auto"/>
        </w:rPr>
        <w:t xml:space="preserve">We were incorporated under the laws of the State of Israel in April 2004 under the name TheraCoat Ltd. In September 2015, we changed our name to UroGen Pharma Ltd. Our principal executive offices are located at 9 Ha’Ta’asiya Street, Ra’anana 4365007, Israel, and our telephone number is +972 (9) 770-7601. Our website address is </w:t>
      </w:r>
      <w:r>
        <w:rPr>
          <w:rFonts w:ascii="Arial" w:cs="Arial" w:eastAsia="Arial" w:hAnsi="Arial"/>
          <w:sz w:val="17"/>
          <w:szCs w:val="17"/>
          <w:i w:val="1"/>
          <w:iCs w:val="1"/>
          <w:color w:val="auto"/>
        </w:rPr>
        <w:t>http://www.urogen.com</w:t>
      </w:r>
      <w:r>
        <w:rPr>
          <w:rFonts w:ascii="Arial" w:cs="Arial" w:eastAsia="Arial" w:hAnsi="Arial"/>
          <w:sz w:val="17"/>
          <w:szCs w:val="17"/>
          <w:color w:val="auto"/>
        </w:rPr>
        <w:t>. The information contained on, or that can be accessed through, our website is not incorporated by reference into this prospectus. We have included our website address as an inactive textual reference only. Our agent for service of process in the United States is Urogen Pharma, Inc., located at 499 Park Avenue, 12th Floor, New York, New York 10022, and its telephone number is +1 (646) 768-9780.</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93" w:lineRule="exact"/>
        <w:rPr>
          <w:sz w:val="20"/>
          <w:szCs w:val="20"/>
          <w:color w:val="auto"/>
        </w:rPr>
      </w:pPr>
    </w:p>
    <w:p>
      <w:pPr>
        <w:ind w:left="380" w:right="100"/>
        <w:spacing w:after="0" w:line="238"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8" w:lineRule="exact"/>
        <w:rPr>
          <w:sz w:val="20"/>
          <w:szCs w:val="20"/>
          <w:color w:val="auto"/>
        </w:rPr>
      </w:pPr>
    </w:p>
    <w:p>
      <w:pPr>
        <w:ind w:left="1100" w:right="180" w:hanging="403"/>
        <w:spacing w:after="0" w:line="243" w:lineRule="auto"/>
        <w:tabs>
          <w:tab w:leader="none" w:pos="110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 requirement to have only two years of audited financial statements and only two years of related Management’s Discussion and Analysis of Financial Condition and Results of Operations disclosure in our initial registration statement; and</w:t>
      </w:r>
    </w:p>
    <w:p>
      <w:pPr>
        <w:spacing w:after="0" w:line="22" w:lineRule="exact"/>
        <w:rPr>
          <w:rFonts w:ascii="MS PGothic" w:cs="MS PGothic" w:eastAsia="MS PGothic" w:hAnsi="MS PGothic"/>
          <w:sz w:val="13"/>
          <w:szCs w:val="13"/>
          <w:color w:val="auto"/>
        </w:rPr>
      </w:pPr>
    </w:p>
    <w:p>
      <w:pPr>
        <w:ind w:left="1100" w:right="120" w:hanging="403"/>
        <w:spacing w:after="0" w:line="243" w:lineRule="auto"/>
        <w:tabs>
          <w:tab w:leader="none" w:pos="110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w:t>
      </w:r>
    </w:p>
    <w:p>
      <w:pPr>
        <w:spacing w:after="0" w:line="144" w:lineRule="exact"/>
        <w:rPr>
          <w:sz w:val="20"/>
          <w:szCs w:val="20"/>
          <w:color w:val="auto"/>
        </w:rPr>
      </w:pPr>
    </w:p>
    <w:p>
      <w:pPr>
        <w:ind w:left="380"/>
        <w:spacing w:after="0" w:line="234"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earlier to occur of: (1) the last day of the fiscal year in which we have total annual gross revenues of $1.07 billion or more; (2) the date on which we have issued more than $1.0 billion in nonconvertible debt during the previous three years; or (3) the date on which we are deemed to be a large accelerated filer under the rules of the Securities and Exchange Commission, or the SEC. We may choose to take advantage of some but not all of these reduced burdens, and therefore the information that we provide holders of our ordinary shares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have irrevocably elected to opt out of such extended transition period.</w:t>
      </w:r>
    </w:p>
    <w:p>
      <w:pPr>
        <w:spacing w:after="0" w:line="148" w:lineRule="exact"/>
        <w:rPr>
          <w:sz w:val="20"/>
          <w:szCs w:val="20"/>
          <w:color w:val="auto"/>
        </w:rPr>
      </w:pPr>
    </w:p>
    <w:p>
      <w:pPr>
        <w:ind w:left="380" w:right="80"/>
        <w:spacing w:after="0" w:line="236"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90" w:lineRule="exact"/>
        <w:rPr>
          <w:sz w:val="20"/>
          <w:szCs w:val="20"/>
          <w:color w:val="auto"/>
        </w:rPr>
      </w:pPr>
    </w:p>
    <w:p>
      <w:pPr>
        <w:ind w:left="1100" w:right="720" w:hanging="403"/>
        <w:spacing w:after="0" w:line="243" w:lineRule="auto"/>
        <w:tabs>
          <w:tab w:leader="none" w:pos="110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sections of the Exchange Act regulating the solicitation of proxies, consents or authorizations with respect to a security registered under the Exchange Act;</w:t>
      </w:r>
    </w:p>
    <w:p>
      <w:pPr>
        <w:spacing w:after="0" w:line="22" w:lineRule="exact"/>
        <w:rPr>
          <w:rFonts w:ascii="MS PGothic" w:cs="MS PGothic" w:eastAsia="MS PGothic" w:hAnsi="MS PGothic"/>
          <w:sz w:val="13"/>
          <w:szCs w:val="13"/>
          <w:color w:val="auto"/>
        </w:rPr>
      </w:pPr>
    </w:p>
    <w:p>
      <w:pPr>
        <w:ind w:left="1100" w:right="200" w:hanging="403"/>
        <w:spacing w:after="0" w:line="243" w:lineRule="auto"/>
        <w:tabs>
          <w:tab w:leader="none" w:pos="110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40"/>
          </w:cols>
          <w:pgMar w:left="240" w:top="459"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444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14446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00" w:right="80" w:hanging="403"/>
        <w:spacing w:after="0" w:line="243" w:lineRule="auto"/>
        <w:tabs>
          <w:tab w:leader="none" w:pos="110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rules under the Exchange Act requiring the filing with the SEC of quarterly reports on Form 10-Q containing unaudited financial statements and other specified information, and current reports on Form 8-K upon the occurrence of specified significant events.</w:t>
      </w:r>
    </w:p>
    <w:p>
      <w:pPr>
        <w:spacing w:after="0" w:line="144" w:lineRule="exact"/>
        <w:rPr>
          <w:sz w:val="20"/>
          <w:szCs w:val="20"/>
          <w:color w:val="auto"/>
        </w:rPr>
      </w:pPr>
    </w:p>
    <w:p>
      <w:pPr>
        <w:ind w:left="380"/>
        <w:spacing w:after="0" w:line="235" w:lineRule="auto"/>
        <w:rPr>
          <w:sz w:val="20"/>
          <w:szCs w:val="20"/>
          <w:color w:val="auto"/>
        </w:rPr>
      </w:pPr>
      <w:r>
        <w:rPr>
          <w:rFonts w:ascii="Arial" w:cs="Arial" w:eastAsia="Arial" w:hAnsi="Arial"/>
          <w:sz w:val="17"/>
          <w:szCs w:val="17"/>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 However, we cannot assure you that at June 30, 2018, the next determination date of our foreign private issuer status, we will qualify as a foreign private issuer. If we cease to qualify as a foreign private issuer at this determination date, we will be required to begin reporting as a domestic issuer on January 1, 2019.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8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THE OFFERING</w:t>
            </w:r>
          </w:p>
        </w:tc>
      </w:tr>
      <w:tr>
        <w:trPr>
          <w:trHeight w:val="550"/>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Ordinary shares offered by us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1,135,847 ordinary shares</w:t>
            </w:r>
          </w:p>
        </w:tc>
      </w:tr>
      <w:tr>
        <w:trPr>
          <w:trHeight w:val="389"/>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Ordinary shares to be outstanding immediately after</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14,887,237 ordinary shares</w:t>
            </w:r>
          </w:p>
        </w:tc>
      </w:tr>
      <w:tr>
        <w:trPr>
          <w:trHeight w:val="205"/>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this offering</w:t>
            </w:r>
          </w:p>
        </w:tc>
        <w:tc>
          <w:tcPr>
            <w:tcW w:w="6880" w:type="dxa"/>
            <w:vAlign w:val="bottom"/>
            <w:tcBorders>
              <w:right w:val="single" w:sz="8" w:color="auto"/>
            </w:tcBorders>
          </w:tcPr>
          <w:p>
            <w:pPr>
              <w:spacing w:after="0"/>
              <w:rPr>
                <w:sz w:val="17"/>
                <w:szCs w:val="17"/>
                <w:color w:val="auto"/>
              </w:rPr>
            </w:pPr>
          </w:p>
        </w:tc>
      </w:tr>
      <w:tr>
        <w:trPr>
          <w:trHeight w:val="389"/>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Option to purchase additional ordinary shares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We have granted the underwriters an option for a period of 30 days after the date of</w:t>
            </w:r>
          </w:p>
        </w:tc>
      </w:tr>
      <w:tr>
        <w:trPr>
          <w:trHeight w:val="205"/>
        </w:trPr>
        <w:tc>
          <w:tcPr>
            <w:tcW w:w="416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this prospectus to purchase up to 170,377 additional ordinary shares.</w:t>
            </w:r>
          </w:p>
        </w:tc>
      </w:tr>
      <w:tr>
        <w:trPr>
          <w:trHeight w:val="376"/>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We estimate that the net proceeds to us from this offering will be approximately</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$46.3 million, or approximately $53.3 million if the underwriters exercise their option to</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purchase additional ordinary shares in full, after deducting the underwriting discounts</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and commissions and estimated offering expenses payable by us, based on an</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assumed public offering price of $44.02 per ordinary share, which was the last reported</w:t>
            </w:r>
          </w:p>
        </w:tc>
      </w:tr>
      <w:tr>
        <w:trPr>
          <w:trHeight w:val="205"/>
        </w:trPr>
        <w:tc>
          <w:tcPr>
            <w:tcW w:w="416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sale price of our ordinary shares on the NASDAQ Global Market on January 11, 2018.</w:t>
            </w:r>
          </w:p>
        </w:tc>
      </w:tr>
      <w:tr>
        <w:trPr>
          <w:trHeight w:val="376"/>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We expect to use the net proceeds from this offering, together with our existing cash</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resources, to complete our single pivotal Phase 3 clinical trial of MitoGel for the</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treatment of low-grade UTUC, to begin preparing for the commercial launch of MitoGel,</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if approved, to file an IND for, and to initiate our Phase 2b clinical trial of, VesiGel, for</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the treatment of low-grade NMIBC, and the remainder to fund continued research and</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clinical development of our other product candidates, including Vesimune, and for</w:t>
            </w:r>
          </w:p>
        </w:tc>
      </w:tr>
      <w:tr>
        <w:trPr>
          <w:trHeight w:val="205"/>
        </w:trPr>
        <w:tc>
          <w:tcPr>
            <w:tcW w:w="416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working capital and other general corporate purposes.</w:t>
            </w:r>
          </w:p>
        </w:tc>
      </w:tr>
      <w:tr>
        <w:trPr>
          <w:trHeight w:val="376"/>
        </w:trPr>
        <w:tc>
          <w:tcPr>
            <w:tcW w:w="416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See “Use of Proceeds” for more information about the intended use of proceeds from</w:t>
            </w:r>
          </w:p>
        </w:tc>
      </w:tr>
      <w:tr>
        <w:trPr>
          <w:trHeight w:val="205"/>
        </w:trPr>
        <w:tc>
          <w:tcPr>
            <w:tcW w:w="416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this offering.</w:t>
            </w:r>
          </w:p>
        </w:tc>
      </w:tr>
      <w:tr>
        <w:trPr>
          <w:trHeight w:val="376"/>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Tax considerations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We must determine our PFIC status annually based on tests which are factual in</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nature, and our status will depend on our income, assets and activities each year. In</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addition, our status as a PFIC may depend on how quickly we use the cash proceeds</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from this offering in our business. We do not believe that we were classified as a PFIC</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for the taxable year ended December 31, 2017. However, based upon the expected</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nature and composition of our income and assets, we presently anticipate that we will</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be classified as a PFIC for the taxable year ending December 31, 2018. We cannot</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provide any assurances regarding our PFIC status for the current or future taxable</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years, and our U.S. tax counsel has not provided any opinion regarding our PFIC</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status. For information about the potential adverse consequences to you of our being</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classified as a PFIC, see “Taxation—Material U.S. Federal Income Tax Consequences</w:t>
            </w:r>
          </w:p>
        </w:tc>
      </w:tr>
      <w:tr>
        <w:trPr>
          <w:trHeight w:val="205"/>
        </w:trPr>
        <w:tc>
          <w:tcPr>
            <w:tcW w:w="416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to U.S. Holders—Passive Foreign Investment Company Considerations.”</w:t>
            </w:r>
          </w:p>
        </w:tc>
      </w:tr>
      <w:tr>
        <w:trPr>
          <w:trHeight w:val="376"/>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See “Risk Factors” and other information included in this prospectus for a discussion of</w:t>
            </w:r>
          </w:p>
        </w:tc>
      </w:tr>
      <w:tr>
        <w:trPr>
          <w:trHeight w:val="189"/>
        </w:trPr>
        <w:tc>
          <w:tcPr>
            <w:tcW w:w="416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factors that you should consider carefully before deciding to invest in our ordinary</w:t>
            </w:r>
          </w:p>
        </w:tc>
      </w:tr>
      <w:tr>
        <w:trPr>
          <w:trHeight w:val="205"/>
        </w:trPr>
        <w:tc>
          <w:tcPr>
            <w:tcW w:w="4160" w:type="dxa"/>
            <w:vAlign w:val="bottom"/>
            <w:tcBorders>
              <w:left w:val="single" w:sz="8" w:color="auto"/>
            </w:tcBorders>
          </w:tcPr>
          <w:p>
            <w:pPr>
              <w:spacing w:after="0"/>
              <w:rPr>
                <w:sz w:val="17"/>
                <w:szCs w:val="17"/>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shares.</w:t>
            </w:r>
          </w:p>
        </w:tc>
      </w:tr>
      <w:tr>
        <w:trPr>
          <w:trHeight w:val="230"/>
        </w:trPr>
        <w:tc>
          <w:tcPr>
            <w:tcW w:w="4160" w:type="dxa"/>
            <w:vAlign w:val="bottom"/>
            <w:tcBorders>
              <w:left w:val="single" w:sz="8" w:color="auto"/>
              <w:bottom w:val="single" w:sz="8" w:color="auto"/>
            </w:tcBorders>
          </w:tcPr>
          <w:p>
            <w:pPr>
              <w:spacing w:after="0"/>
              <w:rPr>
                <w:sz w:val="20"/>
                <w:szCs w:val="20"/>
                <w:color w:val="auto"/>
              </w:rPr>
            </w:pPr>
          </w:p>
        </w:tc>
        <w:tc>
          <w:tcPr>
            <w:tcW w:w="6880" w:type="dxa"/>
            <w:vAlign w:val="bottom"/>
            <w:tcBorders>
              <w:bottom w:val="single" w:sz="8" w:color="auto"/>
              <w:right w:val="single" w:sz="8" w:color="auto"/>
            </w:tcBorders>
          </w:tcPr>
          <w:p>
            <w:pPr>
              <w:spacing w:after="0"/>
              <w:rPr>
                <w:sz w:val="20"/>
                <w:szCs w:val="20"/>
                <w:color w:val="auto"/>
              </w:rPr>
            </w:pPr>
          </w:p>
        </w:tc>
      </w:tr>
      <w:tr>
        <w:trPr>
          <w:trHeight w:val="585"/>
        </w:trPr>
        <w:tc>
          <w:tcPr>
            <w:tcW w:w="4160" w:type="dxa"/>
            <w:vAlign w:val="bottom"/>
          </w:tcPr>
          <w:p>
            <w:pPr>
              <w:spacing w:after="0"/>
              <w:rPr>
                <w:sz w:val="24"/>
                <w:szCs w:val="24"/>
                <w:color w:val="auto"/>
              </w:rPr>
            </w:pPr>
          </w:p>
        </w:tc>
        <w:tc>
          <w:tcPr>
            <w:tcW w:w="6880" w:type="dxa"/>
            <w:vAlign w:val="bottom"/>
          </w:tcPr>
          <w:p>
            <w:pPr>
              <w:ind w:left="1260"/>
              <w:spacing w:after="0"/>
              <w:rPr>
                <w:sz w:val="20"/>
                <w:szCs w:val="20"/>
                <w:color w:val="auto"/>
              </w:rPr>
            </w:pPr>
            <w:r>
              <w:rPr>
                <w:rFonts w:ascii="Arial" w:cs="Arial" w:eastAsia="Arial" w:hAnsi="Arial"/>
                <w:sz w:val="16"/>
                <w:szCs w:val="16"/>
                <w:color w:val="auto"/>
              </w:rPr>
              <w:t>11</w:t>
            </w: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6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26625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spacing w:after="0"/>
        <w:tabs>
          <w:tab w:leader="none" w:pos="4400" w:val="left"/>
        </w:tabs>
        <w:rPr>
          <w:sz w:val="20"/>
          <w:szCs w:val="20"/>
          <w:color w:val="auto"/>
        </w:rPr>
      </w:pPr>
      <w:r>
        <w:rPr>
          <w:rFonts w:ascii="Arial" w:cs="Arial" w:eastAsia="Arial" w:hAnsi="Arial"/>
          <w:sz w:val="17"/>
          <w:szCs w:val="17"/>
          <w:color w:val="auto"/>
        </w:rPr>
        <w:t>NASDAQ Global Market symbol</w:t>
      </w:r>
      <w:r>
        <w:rPr>
          <w:sz w:val="20"/>
          <w:szCs w:val="20"/>
          <w:color w:val="auto"/>
        </w:rPr>
        <w:tab/>
      </w:r>
      <w:r>
        <w:rPr>
          <w:rFonts w:ascii="Arial" w:cs="Arial" w:eastAsia="Arial" w:hAnsi="Arial"/>
          <w:sz w:val="17"/>
          <w:szCs w:val="17"/>
          <w:color w:val="auto"/>
        </w:rPr>
        <w:t>“URGN”</w:t>
      </w:r>
    </w:p>
    <w:p>
      <w:pPr>
        <w:spacing w:after="0" w:line="169" w:lineRule="exact"/>
        <w:rPr>
          <w:sz w:val="20"/>
          <w:szCs w:val="20"/>
          <w:color w:val="auto"/>
        </w:rPr>
      </w:pPr>
    </w:p>
    <w:p>
      <w:pPr>
        <w:ind w:left="380" w:right="620"/>
        <w:spacing w:after="0" w:line="243" w:lineRule="auto"/>
        <w:rPr>
          <w:sz w:val="20"/>
          <w:szCs w:val="20"/>
          <w:color w:val="auto"/>
        </w:rPr>
      </w:pPr>
      <w:r>
        <w:rPr>
          <w:rFonts w:ascii="Arial" w:cs="Arial" w:eastAsia="Arial" w:hAnsi="Arial"/>
          <w:sz w:val="17"/>
          <w:szCs w:val="17"/>
          <w:color w:val="auto"/>
        </w:rPr>
        <w:t>Unless otherwise stated, the number of ordinary shares to be outstanding after this offering is based on 13,751,390 ordinary shares outstanding as of December 31, 2017 and assumes:</w:t>
      </w:r>
    </w:p>
    <w:p>
      <w:pPr>
        <w:spacing w:after="0" w:line="185" w:lineRule="exact"/>
        <w:rPr>
          <w:sz w:val="20"/>
          <w:szCs w:val="20"/>
          <w:color w:val="auto"/>
        </w:rPr>
      </w:pPr>
    </w:p>
    <w:p>
      <w:pPr>
        <w:ind w:left="1100" w:hanging="403"/>
        <w:spacing w:after="0"/>
        <w:tabs>
          <w:tab w:leader="none" w:pos="110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issuance by us of 1,135,847 ordinary shares in this offering; and</w:t>
      </w:r>
    </w:p>
    <w:p>
      <w:pPr>
        <w:spacing w:after="0" w:line="34" w:lineRule="exact"/>
        <w:rPr>
          <w:rFonts w:ascii="MS PGothic" w:cs="MS PGothic" w:eastAsia="MS PGothic" w:hAnsi="MS PGothic"/>
          <w:sz w:val="13"/>
          <w:szCs w:val="13"/>
          <w:color w:val="auto"/>
        </w:rPr>
      </w:pPr>
    </w:p>
    <w:p>
      <w:pPr>
        <w:ind w:left="1100" w:hanging="403"/>
        <w:spacing w:after="0"/>
        <w:tabs>
          <w:tab w:leader="none" w:pos="110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no exercise of the underwriters’ option to purchase up to 170,377 additional ordinary shares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but excludes:</w:t>
      </w:r>
    </w:p>
    <w:p>
      <w:pPr>
        <w:spacing w:after="0" w:line="196" w:lineRule="exact"/>
        <w:rPr>
          <w:sz w:val="20"/>
          <w:szCs w:val="20"/>
          <w:color w:val="auto"/>
        </w:rPr>
      </w:pPr>
    </w:p>
    <w:p>
      <w:pPr>
        <w:ind w:left="1100" w:right="480" w:hanging="403"/>
        <w:spacing w:after="0" w:line="243" w:lineRule="auto"/>
        <w:tabs>
          <w:tab w:leader="none" w:pos="110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1,703,531 ordinary shares reserved for issuance under our 2010 Israeli Share Option Plan upon the exercise of outstanding options at a weighted-average exercise price of $5.03 per share;</w:t>
      </w:r>
    </w:p>
    <w:p>
      <w:pPr>
        <w:spacing w:after="0" w:line="22" w:lineRule="exact"/>
        <w:rPr>
          <w:rFonts w:ascii="MS PGothic" w:cs="MS PGothic" w:eastAsia="MS PGothic" w:hAnsi="MS PGothic"/>
          <w:sz w:val="13"/>
          <w:szCs w:val="13"/>
          <w:color w:val="auto"/>
        </w:rPr>
      </w:pPr>
    </w:p>
    <w:p>
      <w:pPr>
        <w:ind w:left="1100" w:hanging="403"/>
        <w:spacing w:after="0" w:line="243" w:lineRule="auto"/>
        <w:tabs>
          <w:tab w:leader="none" w:pos="110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580,000 ordinary shares reserved for issuance under our 2017 Equity Incentive Plan upon the exercise of outstanding options at a weighted-average exercise price of $26.62 per share;</w:t>
      </w:r>
    </w:p>
    <w:p>
      <w:pPr>
        <w:spacing w:after="0" w:line="22" w:lineRule="exact"/>
        <w:rPr>
          <w:rFonts w:ascii="MS PGothic" w:cs="MS PGothic" w:eastAsia="MS PGothic" w:hAnsi="MS PGothic"/>
          <w:sz w:val="13"/>
          <w:szCs w:val="13"/>
          <w:color w:val="auto"/>
        </w:rPr>
      </w:pPr>
    </w:p>
    <w:p>
      <w:pPr>
        <w:ind w:left="1100" w:hanging="403"/>
        <w:spacing w:after="0"/>
        <w:tabs>
          <w:tab w:leader="none" w:pos="110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276,560 ordinary shares reserved for issuance upon the vesting of outstanding restricted share units;</w:t>
      </w:r>
    </w:p>
    <w:p>
      <w:pPr>
        <w:spacing w:after="0" w:line="34" w:lineRule="exact"/>
        <w:rPr>
          <w:rFonts w:ascii="MS PGothic" w:cs="MS PGothic" w:eastAsia="MS PGothic" w:hAnsi="MS PGothic"/>
          <w:sz w:val="13"/>
          <w:szCs w:val="13"/>
          <w:color w:val="auto"/>
        </w:rPr>
      </w:pPr>
    </w:p>
    <w:p>
      <w:pPr>
        <w:ind w:left="1100" w:right="180" w:hanging="403"/>
        <w:spacing w:after="0" w:line="243" w:lineRule="auto"/>
        <w:tabs>
          <w:tab w:leader="none" w:pos="110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278,400 ordinary shares reserved for issuance upon the achievement of certain milestones under the Vesimune asset purchase agreement with Telormedix SA; and</w:t>
      </w:r>
    </w:p>
    <w:p>
      <w:pPr>
        <w:spacing w:after="0" w:line="22" w:lineRule="exact"/>
        <w:rPr>
          <w:rFonts w:ascii="MS PGothic" w:cs="MS PGothic" w:eastAsia="MS PGothic" w:hAnsi="MS PGothic"/>
          <w:sz w:val="13"/>
          <w:szCs w:val="13"/>
          <w:color w:val="auto"/>
        </w:rPr>
      </w:pPr>
    </w:p>
    <w:p>
      <w:pPr>
        <w:ind w:left="1100" w:hanging="403"/>
        <w:spacing w:after="0"/>
        <w:tabs>
          <w:tab w:leader="none" w:pos="110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725,500 ordinary shares reserved for issuance pursuant to the terms of our 2017 Equity Incentive Plan.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20"/>
          </w:cols>
          <w:pgMar w:left="240" w:top="459" w:right="7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8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3842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 FINANCIAL DATA</w:t>
      </w:r>
    </w:p>
    <w:p>
      <w:pPr>
        <w:spacing w:after="0" w:line="318" w:lineRule="exact"/>
        <w:rPr>
          <w:sz w:val="20"/>
          <w:szCs w:val="20"/>
          <w:color w:val="auto"/>
        </w:rPr>
      </w:pPr>
    </w:p>
    <w:p>
      <w:pPr>
        <w:ind w:left="380" w:right="40"/>
        <w:spacing w:after="0" w:line="235" w:lineRule="auto"/>
        <w:rPr>
          <w:sz w:val="20"/>
          <w:szCs w:val="20"/>
          <w:color w:val="auto"/>
        </w:rPr>
      </w:pPr>
      <w:r>
        <w:rPr>
          <w:rFonts w:ascii="Arial" w:cs="Arial" w:eastAsia="Arial" w:hAnsi="Arial"/>
          <w:sz w:val="17"/>
          <w:szCs w:val="17"/>
          <w:i w:val="1"/>
          <w:iCs w:val="1"/>
          <w:color w:val="auto"/>
        </w:rPr>
        <w:t>The following tables present summary financial data for our business. We derived the summary statements of operations data for the years ended December 31, 2015 and 2016 from our consolidated audited financial statements and related notes appearing elsewhere in this prospectus. We derived the summary statements of operations data for the nine months ended September 30, 2016 and 2017 and the summary balance sheet data as of September 30, 2017 from our condensed consolidated unaudited financial statements and related notes appearing elsewhere in this prospectus. Our condensed consolidated unaudited financial statements have been prepared on the same basis as our consolidated audited financial statements, and, in the opinion of management, reflect all adjustments, which include only normal recurring adjustments, necessary to state fairly our financial position as of September 30, 2017 and the results of operations for the nine months ended September 30, 2016 and 2017. We maintain our books and records in U.S. dollars, and prepare our financial statements in accordance with accounting principles generally accepted in the United States, or U.S. GAAP, as issued by the Financial Accounting Standards Board, or FASB. You should read this data together with our financial statements and related notes appearing elsewhere in this prospectus and the information under the captions “Capitalization” and “Management’s Discussion and Analysis of Financial Condition and Results of Operations.” Our historical results are not necessarily indicative of our future results, and our interim period results are not necessarily indicative of results to be expected for a full year or any other interim period.</w:t>
      </w:r>
    </w:p>
    <w:p>
      <w:pPr>
        <w:spacing w:after="0" w:line="200" w:lineRule="exact"/>
        <w:rPr>
          <w:sz w:val="20"/>
          <w:szCs w:val="20"/>
          <w:color w:val="auto"/>
        </w:rPr>
      </w:pPr>
    </w:p>
    <w:p>
      <w:pPr>
        <w:spacing w:after="0" w:line="253"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jc w:val="center"/>
              <w:ind w:right="155"/>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jc w:val="center"/>
              <w:ind w:right="155"/>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gridSpan w:val="11"/>
          </w:tcPr>
          <w:p>
            <w:pPr>
              <w:jc w:val="right"/>
              <w:ind w:right="188"/>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0"/>
              <w:spacing w:after="0" w:line="189" w:lineRule="exact"/>
              <w:rPr>
                <w:sz w:val="20"/>
                <w:szCs w:val="20"/>
                <w:color w:val="auto"/>
              </w:rPr>
            </w:pPr>
            <w:r>
              <w:rPr>
                <w:rFonts w:ascii="Arial" w:cs="Arial" w:eastAsia="Arial" w:hAnsi="Arial"/>
                <w:sz w:val="17"/>
                <w:szCs w:val="17"/>
                <w:color w:val="auto"/>
              </w:rPr>
              <w:t>Revenues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17,530</w:t>
            </w:r>
          </w:p>
        </w:tc>
        <w:tc>
          <w:tcPr>
            <w:tcW w:w="6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7,831</w:t>
            </w:r>
          </w:p>
        </w:tc>
        <w:tc>
          <w:tcPr>
            <w:tcW w:w="5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ind w:left="5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28</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313</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17,502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ind w:left="5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7,518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Research and development expenses, net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10,287</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10,515</w:t>
            </w: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11,936</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7,915</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0"/>
              <w:spacing w:after="0" w:line="189" w:lineRule="exact"/>
              <w:rPr>
                <w:sz w:val="20"/>
                <w:szCs w:val="20"/>
                <w:color w:val="auto"/>
              </w:rPr>
            </w:pPr>
            <w:r>
              <w:rPr>
                <w:rFonts w:ascii="Arial" w:cs="Arial" w:eastAsia="Arial" w:hAnsi="Arial"/>
                <w:sz w:val="17"/>
                <w:szCs w:val="17"/>
                <w:color w:val="auto"/>
              </w:rPr>
              <w:t>General and administrative expenses</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6,417</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1,895</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5,374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5,188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loss (income)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(798)</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12,410</w:t>
            </w: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9,792</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13,103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0"/>
              <w:spacing w:after="0" w:line="189" w:lineRule="exact"/>
              <w:rPr>
                <w:sz w:val="20"/>
                <w:szCs w:val="20"/>
                <w:color w:val="auto"/>
              </w:rPr>
            </w:pPr>
            <w:r>
              <w:rPr>
                <w:rFonts w:ascii="Arial" w:cs="Arial" w:eastAsia="Arial" w:hAnsi="Arial"/>
                <w:sz w:val="17"/>
                <w:szCs w:val="17"/>
                <w:color w:val="auto"/>
              </w:rPr>
              <w:t>Finance expenses, net</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2,739</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279</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1,761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for the period</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1,941</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12,689</w:t>
            </w: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9,914</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14,864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Arial" w:cs="Arial" w:eastAsia="Arial" w:hAnsi="Arial"/>
                <w:sz w:val="17"/>
                <w:szCs w:val="17"/>
                <w:color w:val="auto"/>
              </w:rPr>
              <w:t>Loss per ordinary share,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vMerge w:val="continue"/>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1.91</w:t>
            </w:r>
          </w:p>
        </w:tc>
        <w:tc>
          <w:tcPr>
            <w:tcW w:w="6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20"/>
              <w:spacing w:after="0" w:line="183" w:lineRule="exact"/>
              <w:rPr>
                <w:sz w:val="20"/>
                <w:szCs w:val="20"/>
                <w:color w:val="auto"/>
              </w:rPr>
            </w:pPr>
            <w:r>
              <w:rPr>
                <w:rFonts w:ascii="Arial" w:cs="Arial" w:eastAsia="Arial" w:hAnsi="Arial"/>
                <w:sz w:val="17"/>
                <w:szCs w:val="17"/>
                <w:color w:val="auto"/>
              </w:rPr>
              <w:t>5.88</w:t>
            </w:r>
          </w:p>
        </w:tc>
        <w:tc>
          <w:tcPr>
            <w:tcW w:w="82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1.31</w:t>
            </w:r>
          </w:p>
        </w:tc>
        <w:tc>
          <w:tcPr>
            <w:tcW w:w="5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color w:val="auto"/>
              </w:rPr>
              <w:t>Weighted average number of ordinary shares outstanding</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used in computing loss per share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2,305,503</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2,300,959</w:t>
            </w:r>
          </w:p>
        </w:tc>
        <w:tc>
          <w:tcPr>
            <w:tcW w:w="162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8,223,124</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2,305,410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gridSpan w:val="7"/>
          </w:tcPr>
          <w:p>
            <w:pPr>
              <w:jc w:val="right"/>
              <w:ind w:right="455"/>
              <w:spacing w:after="0"/>
              <w:rPr>
                <w:sz w:val="20"/>
                <w:szCs w:val="20"/>
                <w:color w:val="auto"/>
              </w:rPr>
            </w:pPr>
            <w:r>
              <w:rPr>
                <w:rFonts w:ascii="Arial" w:cs="Arial" w:eastAsia="Arial" w:hAnsi="Arial"/>
                <w:sz w:val="14"/>
                <w:szCs w:val="14"/>
                <w:b w:val="1"/>
                <w:bCs w:val="1"/>
                <w:color w:val="auto"/>
              </w:rPr>
              <w:t>AS OF SEPTEMBER 30, 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475"/>
              <w:spacing w:after="0" w:line="13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55"/>
              <w:spacing w:after="0" w:line="179"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4"/>
          </w:tcPr>
          <w:p>
            <w:pPr>
              <w:jc w:val="right"/>
              <w:ind w:right="168"/>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Balance Sheet Data:</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0"/>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79,171</w:t>
            </w: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125,471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75,522</w:t>
            </w: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121,822</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0"/>
              <w:spacing w:after="0" w:line="189" w:lineRule="exact"/>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81,188</w:t>
            </w: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127,488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4,927</w:t>
            </w: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4,927</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60" w:type="dxa"/>
            <w:vAlign w:val="bottom"/>
          </w:tcPr>
          <w:p>
            <w:pPr>
              <w:ind w:left="20"/>
              <w:spacing w:after="0"/>
              <w:rPr>
                <w:sz w:val="20"/>
                <w:szCs w:val="20"/>
                <w:color w:val="auto"/>
              </w:rPr>
            </w:pPr>
            <w:r>
              <w:rPr>
                <w:rFonts w:ascii="Arial" w:cs="Arial" w:eastAsia="Arial" w:hAnsi="Arial"/>
                <w:sz w:val="17"/>
                <w:szCs w:val="17"/>
                <w:color w:val="auto"/>
              </w:rPr>
              <w:t>Total shareholders’ equity</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76,261</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122,561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719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17195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80" w:right="180" w:hanging="280"/>
        <w:spacing w:after="0" w:line="195" w:lineRule="auto"/>
        <w:tabs>
          <w:tab w:leader="none" w:pos="68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Data presented on an as adjusted basis to give effect to the sale of 1,135,847 ordinary shares in this offering at the assumed public offering price of $44.02 per ordinary share, which was the last reported sale price of our ordinary shares on the NASDAQ Global Market on January 11, 2018, and after deducting the underwriting discounts and commissions and estimated offering expenses payable by us.</w:t>
      </w:r>
    </w:p>
    <w:p>
      <w:pPr>
        <w:ind w:left="680" w:hanging="280"/>
        <w:spacing w:after="0"/>
        <w:tabs>
          <w:tab w:leader="none" w:pos="68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public offering price of $44.02 per ordinary share, which was the last reported sale price of our ordinary shares on the NASDAQ Global Market on January 11, 2018, would increase or decrease, respectively, each of cash and cash equivalents, working capital, total assets and total shareholders’ equity on an as adjusted basis by approximately $1.1 million, assuming the number of ordinary shares offered by us, as set forth on the cover of this prospectus, remains the same, and after deducting the underwriting discounts and commissions and estimated offering expenses payable by us. Similarly, each increase or decrease of 100,000 in the number of ordinary shares we are offering would increase or decrease, respectively, each of cash and cash equivalents, working capital, total assets and total shareholders’ equity on an as adjusted basis by approximately $4.1 million, assuming the assumed public offering price per ordinary share remains the same, and after deducting the underwriting discounts and commissions and estimated offering expenses payable by us. The as adjusted information is illustrative only, and we will adjust this information based on the actual public offering price and other terms of this offering determined at pricing.</w:t>
      </w:r>
    </w:p>
    <w:p>
      <w:pPr>
        <w:spacing w:after="0" w:line="55" w:lineRule="exact"/>
        <w:rPr>
          <w:rFonts w:ascii="Arial" w:cs="Arial" w:eastAsia="Arial" w:hAnsi="Arial"/>
          <w:sz w:val="24"/>
          <w:szCs w:val="24"/>
          <w:color w:val="auto"/>
          <w:vertAlign w:val="superscript"/>
        </w:rPr>
      </w:pPr>
    </w:p>
    <w:p>
      <w:pPr>
        <w:ind w:left="680" w:hanging="280"/>
        <w:spacing w:after="0" w:line="189" w:lineRule="auto"/>
        <w:tabs>
          <w:tab w:leader="none" w:pos="680" w:val="left"/>
        </w:tabs>
        <w:numPr>
          <w:ilvl w:val="0"/>
          <w:numId w:val="11"/>
        </w:numPr>
        <w:rPr>
          <w:rFonts w:ascii="Arial" w:cs="Arial" w:eastAsia="Arial" w:hAnsi="Arial"/>
          <w:sz w:val="19"/>
          <w:szCs w:val="19"/>
          <w:color w:val="auto"/>
          <w:vertAlign w:val="superscript"/>
        </w:rPr>
      </w:pPr>
      <w:r>
        <w:rPr>
          <w:rFonts w:ascii="Arial" w:cs="Arial" w:eastAsia="Arial" w:hAnsi="Arial"/>
          <w:sz w:val="12"/>
          <w:szCs w:val="12"/>
          <w:color w:val="auto"/>
        </w:rPr>
        <w:t>Working capital is defined as total current assets minus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i w:val="1"/>
          <w:iCs w:val="1"/>
          <w:color w:val="auto"/>
        </w:rPr>
        <w:t>Investing in our ordinary shares involves a high degree of risk. You should carefully consider the risks and uncertainties described below, in addition to the other information set forth in this prospectus, including the financial statements and the related notes included elsewhere in this prospectus, before purchasing our ordinary shares. If any of the following risks actually occurs, our business, financial condition, cash flows and results of operations could be negatively impacted. In that case, the trading price of our ordinary shares would likely decline and you might lose all or part of your investment. Additional risks and uncertainties not currently known to us or that we currently deem to be immaterial may also materially adversely affect our business, financial condition, cash flows and results of operations.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73" w:lineRule="exact"/>
        <w:rPr>
          <w:sz w:val="20"/>
          <w:szCs w:val="20"/>
          <w:color w:val="auto"/>
        </w:rPr>
      </w:pPr>
    </w:p>
    <w:p>
      <w:pPr>
        <w:ind w:left="200" w:right="40"/>
        <w:spacing w:after="0" w:line="250" w:lineRule="auto"/>
        <w:rPr>
          <w:sz w:val="20"/>
          <w:szCs w:val="20"/>
          <w:color w:val="auto"/>
        </w:rPr>
      </w:pPr>
      <w:r>
        <w:rPr>
          <w:rFonts w:ascii="Arial" w:cs="Arial" w:eastAsia="Arial" w:hAnsi="Arial"/>
          <w:sz w:val="17"/>
          <w:szCs w:val="17"/>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3"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We are a clinical stage biopharmaceutical company with a limited operating history upon which you can evaluate our business and prospects. We are not profitable and have incurred net losses in each period since we commenced operations in 2004, including net losses of $1.9 million and $12.7 million for the years ended December 31, 2016 and 2015, respectively, and $9.9 million and $14.9 million for the nine months ended September 30, 2017 and 2016, respectively. We expect to continue to incur significant expenses and increasing operating losses for the foreseeable future. Our ability to ultimately achieve recurring revenues and profitability is dependent upon our ability to successfully complete the development of our product candidates and obtain necessary regulatory approvals for and successfully manufacture, market and commercialize our products.</w:t>
      </w:r>
    </w:p>
    <w:p>
      <w:pPr>
        <w:spacing w:after="0" w:line="151"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preclinical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preclinical drug candidates and any other drug candidates that we may develop in the future. Other unanticipated costs may also arise.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96" w:lineRule="exact"/>
        <w:rPr>
          <w:sz w:val="20"/>
          <w:szCs w:val="20"/>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timing of, and the costs involved in, clinical development and obtaining regulatory approvals for our product candidates;</w:t>
      </w:r>
    </w:p>
    <w:p>
      <w:pPr>
        <w:spacing w:after="0" w:line="34" w:lineRule="exact"/>
        <w:rPr>
          <w:rFonts w:ascii="MS PGothic" w:cs="MS PGothic" w:eastAsia="MS PGothic" w:hAnsi="MS PGothic"/>
          <w:sz w:val="13"/>
          <w:szCs w:val="13"/>
          <w:color w:val="auto"/>
        </w:rPr>
      </w:pPr>
    </w:p>
    <w:p>
      <w:pPr>
        <w:ind w:left="960" w:right="140" w:hanging="432"/>
        <w:spacing w:after="0" w:line="243" w:lineRule="auto"/>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changes in regulatory requirements during the development phase that can delay or force us to stop our activities related to any of our product candidates;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cost of commercialization activities if our products are approved for sale, including marketing, sales and distribution costs;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cost of third-party manufacturing of our products;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number and characteristics of any other product candidates we develop or acquire;</w:t>
      </w:r>
    </w:p>
    <w:p>
      <w:pPr>
        <w:spacing w:after="0" w:line="34" w:lineRule="exact"/>
        <w:rPr>
          <w:rFonts w:ascii="MS PGothic" w:cs="MS PGothic" w:eastAsia="MS PGothic" w:hAnsi="MS PGothic"/>
          <w:sz w:val="13"/>
          <w:szCs w:val="13"/>
          <w:color w:val="auto"/>
        </w:rPr>
      </w:pPr>
    </w:p>
    <w:p>
      <w:pPr>
        <w:ind w:left="960" w:right="400" w:hanging="432"/>
        <w:spacing w:after="0" w:line="243" w:lineRule="auto"/>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strategic collaborations, licensing or other commercialization arrangements, and the terms and timing of such arrangements;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extent and rate of market acceptance of any approved products;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expenses needed to attract and retain skilled personnel;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costs associated with being a public company;</w:t>
      </w:r>
    </w:p>
    <w:p>
      <w:pPr>
        <w:spacing w:after="0" w:line="34" w:lineRule="exact"/>
        <w:rPr>
          <w:rFonts w:ascii="MS PGothic" w:cs="MS PGothic" w:eastAsia="MS PGothic" w:hAnsi="MS PGothic"/>
          <w:sz w:val="13"/>
          <w:szCs w:val="13"/>
          <w:color w:val="auto"/>
        </w:rPr>
      </w:pPr>
    </w:p>
    <w:p>
      <w:pPr>
        <w:ind w:left="960" w:right="440" w:hanging="432"/>
        <w:spacing w:after="0" w:line="243" w:lineRule="auto"/>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costs involved in preparing, filing, prosecuting, maintaining, defending and enforcing patent claims, including potential litigation costs, and the outcome of such litigation;</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timing, receipt and amount of sales of, or royalties on, future approved products, if any;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any product liability or other lawsuits related to our products;</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hanging="432"/>
        <w:spacing w:after="0" w:line="243" w:lineRule="auto"/>
        <w:tabs>
          <w:tab w:leader="none" w:pos="96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scientific breakthroughs in the field of urothelial cancer treatment and diagnosis that could significantly diminish the need for our product candidates or make them obsolete;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changes in reimbursement policies that could have a negative impact on our future revenue stream.</w:t>
      </w:r>
    </w:p>
    <w:p>
      <w:pPr>
        <w:spacing w:after="0" w:line="156" w:lineRule="exact"/>
        <w:rPr>
          <w:sz w:val="20"/>
          <w:szCs w:val="20"/>
          <w:color w:val="auto"/>
        </w:rPr>
      </w:pPr>
    </w:p>
    <w:p>
      <w:pPr>
        <w:jc w:val="both"/>
        <w:ind w:left="200" w:right="280"/>
        <w:spacing w:after="0" w:line="236" w:lineRule="auto"/>
        <w:rPr>
          <w:sz w:val="20"/>
          <w:szCs w:val="20"/>
          <w:color w:val="auto"/>
        </w:rPr>
      </w:pPr>
      <w:r>
        <w:rPr>
          <w:rFonts w:ascii="Arial" w:cs="Arial" w:eastAsia="Arial" w:hAnsi="Arial"/>
          <w:sz w:val="17"/>
          <w:szCs w:val="17"/>
          <w:color w:val="auto"/>
        </w:rPr>
        <w:t>In addition, we have limited experience and have not yet demonstrated an ability to successfully overcome many of the risks and uncertainties frequently encountered by companies in new and rapidly evolving fields, particularly in the biopharmaceutical industry. Drug development is a highly speculative undertaking and involves a substantial degree of risk. To date, we have not obtained any regulatory approvals for any of our product candidates, commercialized any of our product candidates or generated any material revenue from product sales.</w:t>
      </w:r>
    </w:p>
    <w:p>
      <w:pPr>
        <w:spacing w:after="0" w:line="48" w:lineRule="exact"/>
        <w:rPr>
          <w:sz w:val="20"/>
          <w:szCs w:val="20"/>
          <w:color w:val="auto"/>
        </w:rPr>
      </w:pPr>
    </w:p>
    <w:p>
      <w:pPr>
        <w:ind w:left="200" w:right="20"/>
        <w:spacing w:after="0" w:line="250"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3" w:lineRule="exact"/>
        <w:rPr>
          <w:sz w:val="20"/>
          <w:szCs w:val="20"/>
          <w:color w:val="auto"/>
        </w:rPr>
      </w:pPr>
    </w:p>
    <w:p>
      <w:pPr>
        <w:ind w:left="200" w:right="240"/>
        <w:spacing w:after="0" w:line="243" w:lineRule="auto"/>
        <w:rPr>
          <w:sz w:val="20"/>
          <w:szCs w:val="20"/>
          <w:color w:val="auto"/>
        </w:rPr>
      </w:pPr>
      <w:r>
        <w:rPr>
          <w:rFonts w:ascii="Arial" w:cs="Arial" w:eastAsia="Arial" w:hAnsi="Arial"/>
          <w:sz w:val="17"/>
          <w:szCs w:val="17"/>
          <w:color w:val="auto"/>
        </w:rPr>
        <w:t>Since our inception, almost all of our resources have been dedicated to the preclinical and clinical development of our lead product candidates, MitoGel and VesiGel. As of September 30, 2017, we had cash and cash equivalents of $79.2 million.</w:t>
      </w:r>
    </w:p>
    <w:p>
      <w:pPr>
        <w:spacing w:after="0" w:line="144"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We believe we have sufficient cash and cash equivalents to fund our operating expenses and capital expenditure requirements for at least the next 18 months. We expect that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convertible debt or debt financings, third-party funding, marketing and distribution arrangements, as well as other collaborations, strategic alliances and licensing arrangements, or a combination of these approaches. In any event, we will require additional capital to pursue preclinical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150"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adequate funds are not available to us on a timely basis, we may be required or choose to:</w:t>
      </w:r>
    </w:p>
    <w:p>
      <w:pPr>
        <w:spacing w:after="0" w:line="196" w:lineRule="exact"/>
        <w:rPr>
          <w:sz w:val="20"/>
          <w:szCs w:val="20"/>
          <w:color w:val="auto"/>
        </w:rPr>
      </w:pPr>
    </w:p>
    <w:p>
      <w:pPr>
        <w:ind w:left="960" w:right="60" w:hanging="432"/>
        <w:spacing w:after="0" w:line="243" w:lineRule="auto"/>
        <w:tabs>
          <w:tab w:leader="none" w:pos="96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delay, limit, reduce or terminate preclinical studies, clinical trials or other development activities for our product candidates or any of our future product candidates;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delay, limit, reduce or terminate our other research and development activities; or</w:t>
      </w:r>
    </w:p>
    <w:p>
      <w:pPr>
        <w:spacing w:after="0" w:line="34" w:lineRule="exact"/>
        <w:rPr>
          <w:rFonts w:ascii="MS PGothic" w:cs="MS PGothic" w:eastAsia="MS PGothic" w:hAnsi="MS PGothic"/>
          <w:sz w:val="13"/>
          <w:szCs w:val="13"/>
          <w:color w:val="auto"/>
        </w:rPr>
      </w:pPr>
    </w:p>
    <w:p>
      <w:pPr>
        <w:ind w:left="960" w:right="360" w:hanging="432"/>
        <w:spacing w:after="0" w:line="243" w:lineRule="auto"/>
        <w:tabs>
          <w:tab w:leader="none" w:pos="96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delay, limit, reduce or terminate our establishment or expansion of manufacturing, sales and marketing or distribution capabilities or other activities that may be necessary to commercialize MitoGel, VesiGel or any of our other product candidates.</w:t>
      </w:r>
    </w:p>
    <w:p>
      <w:pPr>
        <w:spacing w:after="0" w:line="144" w:lineRule="exact"/>
        <w:rPr>
          <w:sz w:val="20"/>
          <w:szCs w:val="20"/>
          <w:color w:val="auto"/>
        </w:rPr>
      </w:pPr>
    </w:p>
    <w:p>
      <w:pPr>
        <w:ind w:left="200" w:right="680"/>
        <w:spacing w:after="0" w:line="243" w:lineRule="auto"/>
        <w:rPr>
          <w:sz w:val="20"/>
          <w:szCs w:val="20"/>
          <w:color w:val="auto"/>
        </w:rPr>
      </w:pPr>
      <w:r>
        <w:rPr>
          <w:rFonts w:ascii="Arial" w:cs="Arial" w:eastAsia="Arial" w:hAnsi="Arial"/>
          <w:sz w:val="17"/>
          <w:szCs w:val="17"/>
          <w:color w:val="auto"/>
        </w:rPr>
        <w:t>We may also be unable to expand our operations or otherwise capitalize on our business opportunities, as desired, which could harm our business, financial condition, cash flows and results of operations.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120"/>
        <w:spacing w:after="0" w:line="268" w:lineRule="auto"/>
        <w:rPr>
          <w:sz w:val="20"/>
          <w:szCs w:val="20"/>
          <w:color w:val="auto"/>
        </w:rPr>
      </w:pPr>
      <w:r>
        <w:rPr>
          <w:rFonts w:ascii="Arial" w:cs="Arial" w:eastAsia="Arial" w:hAnsi="Arial"/>
          <w:sz w:val="17"/>
          <w:szCs w:val="17"/>
          <w:b w:val="1"/>
          <w:bCs w:val="1"/>
          <w:i w:val="1"/>
          <w:iCs w:val="1"/>
          <w:color w:val="auto"/>
        </w:rPr>
        <w:t>Raising additional capital may cause dilution to our shareholders, including purchasers of ordinary shares in this offering, restrict our operations or require us to relinquish rights to our technologies or product candidates.</w:t>
      </w:r>
    </w:p>
    <w:p>
      <w:pPr>
        <w:spacing w:after="0" w:line="2"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other than funding under the existing exclusive license agreement we entered into with Allergan Pharmaceuticals International Limited, or Allergan, a wholly owned subsidiary of Allergan plc, in October 2016, or the Allergan Agreement. Under the Allergan Agreement, we may receive additional material milestone payments upon the successful completion of certain development, regulatory and commercial milestones and royalties with respect to future sales of collaboration products by Allergan. Allergan may unilaterally terminate our existing collaboration for any reason upon advance notice. 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54"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60" w:lineRule="exact"/>
        <w:rPr>
          <w:sz w:val="20"/>
          <w:szCs w:val="20"/>
          <w:color w:val="auto"/>
        </w:rPr>
      </w:pPr>
    </w:p>
    <w:p>
      <w:pPr>
        <w:ind w:left="200" w:right="580"/>
        <w:spacing w:after="0" w:line="268" w:lineRule="auto"/>
        <w:rPr>
          <w:sz w:val="20"/>
          <w:szCs w:val="20"/>
          <w:color w:val="auto"/>
        </w:rPr>
      </w:pPr>
      <w:r>
        <w:rPr>
          <w:rFonts w:ascii="Arial" w:cs="Arial" w:eastAsia="Arial" w:hAnsi="Arial"/>
          <w:sz w:val="17"/>
          <w:szCs w:val="17"/>
          <w:b w:val="1"/>
          <w:bCs w:val="1"/>
          <w:i w:val="1"/>
          <w:iCs w:val="1"/>
          <w:color w:val="auto"/>
        </w:rPr>
        <w:t>We are dependent on the success of our lead product candidates, including obtaining regulatory approval to market our product candidates in the United States.</w:t>
      </w:r>
    </w:p>
    <w:p>
      <w:pPr>
        <w:spacing w:after="0" w:line="2" w:lineRule="exact"/>
        <w:rPr>
          <w:sz w:val="20"/>
          <w:szCs w:val="20"/>
          <w:color w:val="auto"/>
        </w:rPr>
      </w:pPr>
    </w:p>
    <w:p>
      <w:pPr>
        <w:jc w:val="both"/>
        <w:ind w:left="200" w:right="180"/>
        <w:spacing w:after="0" w:line="235" w:lineRule="auto"/>
        <w:rPr>
          <w:sz w:val="20"/>
          <w:szCs w:val="20"/>
          <w:color w:val="auto"/>
        </w:rPr>
      </w:pPr>
      <w:r>
        <w:rPr>
          <w:rFonts w:ascii="Arial" w:cs="Arial" w:eastAsia="Arial" w:hAnsi="Arial"/>
          <w:sz w:val="17"/>
          <w:szCs w:val="17"/>
          <w:color w:val="auto"/>
        </w:rPr>
        <w:t>We have invested almost all of our efforts and financial resources in the research and development of our lead product candidates, MitoGel and VesiGel. Our future success depends on our ability to market and sell these product candidates. However, these drugs are in various stages of clinical development and each of these drugs has yet to receive marketing approval from the U.S. Food and Drug Administration, or the FDA, or any other regulatory agency. Our product candidates’ marketability is subject to significant risks associated with successfully completing current and future clinical trials, including:</w:t>
      </w:r>
    </w:p>
    <w:p>
      <w:pPr>
        <w:spacing w:after="0" w:line="191" w:lineRule="exact"/>
        <w:rPr>
          <w:sz w:val="20"/>
          <w:szCs w:val="20"/>
          <w:color w:val="auto"/>
        </w:rPr>
      </w:pPr>
    </w:p>
    <w:p>
      <w:pPr>
        <w:ind w:left="960" w:right="160" w:hanging="432"/>
        <w:spacing w:after="0" w:line="238" w:lineRule="auto"/>
        <w:tabs>
          <w:tab w:leader="none" w:pos="96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FDA’s timely acceptance of our IND filing for VesiGel, which we intend to submit in the first half of 2018, and our other product candidates for which we plan to file an IND. Without such IND acceptances, we will be unable to commence clinical trials in the United States;</w:t>
      </w:r>
    </w:p>
    <w:p>
      <w:pPr>
        <w:spacing w:after="0" w:line="26" w:lineRule="exact"/>
        <w:rPr>
          <w:rFonts w:ascii="MS PGothic" w:cs="MS PGothic" w:eastAsia="MS PGothic" w:hAnsi="MS PGothic"/>
          <w:sz w:val="13"/>
          <w:szCs w:val="13"/>
          <w:color w:val="auto"/>
        </w:rPr>
      </w:pPr>
    </w:p>
    <w:p>
      <w:pPr>
        <w:ind w:left="960" w:hanging="432"/>
        <w:spacing w:after="0" w:line="238" w:lineRule="auto"/>
        <w:tabs>
          <w:tab w:leader="none" w:pos="96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FDA’s acceptance of our parameters for regulatory approval relating to MitoGel, VesiGel and our other product candidates, including our proposed indications, primary and secondary endpoint assessments and measurements, safety evaluations and regulatory pathways;</w:t>
      </w:r>
    </w:p>
    <w:p>
      <w:pPr>
        <w:spacing w:after="0" w:line="26" w:lineRule="exact"/>
        <w:rPr>
          <w:rFonts w:ascii="MS PGothic" w:cs="MS PGothic" w:eastAsia="MS PGothic" w:hAnsi="MS PGothic"/>
          <w:sz w:val="13"/>
          <w:szCs w:val="13"/>
          <w:color w:val="auto"/>
        </w:rPr>
      </w:pPr>
    </w:p>
    <w:p>
      <w:pPr>
        <w:ind w:left="960" w:right="800" w:hanging="432"/>
        <w:spacing w:after="0" w:line="243" w:lineRule="auto"/>
        <w:tabs>
          <w:tab w:leader="none" w:pos="96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FDA’s acceptance of the number, design, size, conduct and implementation of our clinical trials, our trial protocols and the interpretation of data from preclinical studies or clinical trials;</w:t>
      </w:r>
    </w:p>
    <w:p>
      <w:pPr>
        <w:spacing w:after="0" w:line="22" w:lineRule="exact"/>
        <w:rPr>
          <w:rFonts w:ascii="MS PGothic" w:cs="MS PGothic" w:eastAsia="MS PGothic" w:hAnsi="MS PGothic"/>
          <w:sz w:val="13"/>
          <w:szCs w:val="13"/>
          <w:color w:val="auto"/>
        </w:rPr>
      </w:pPr>
    </w:p>
    <w:p>
      <w:pPr>
        <w:ind w:left="960" w:right="20" w:hanging="432"/>
        <w:spacing w:after="0" w:line="243" w:lineRule="auto"/>
        <w:tabs>
          <w:tab w:leader="none" w:pos="96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22" w:lineRule="exact"/>
        <w:rPr>
          <w:rFonts w:ascii="MS PGothic" w:cs="MS PGothic" w:eastAsia="MS PGothic" w:hAnsi="MS PGothic"/>
          <w:sz w:val="13"/>
          <w:szCs w:val="13"/>
          <w:color w:val="auto"/>
        </w:rPr>
      </w:pPr>
    </w:p>
    <w:p>
      <w:pPr>
        <w:ind w:left="960" w:right="60" w:hanging="432"/>
        <w:spacing w:after="0" w:line="238" w:lineRule="auto"/>
        <w:tabs>
          <w:tab w:leader="none" w:pos="96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our ability to complete in a timely fashion the single pivotal Phase 3 clinical trial for MitoGel for the treatment of low-grade UTUC, and that the single pivotal Phase 3 clinical trial, even if successfully completed, will be sufficient to support a New Drug Application, or NDA, submission and subsequently, FDA approval;</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right="80" w:hanging="432"/>
        <w:spacing w:after="0" w:line="236" w:lineRule="auto"/>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acceptance of the sufficiency of the data we collected from our preclinical studies and our Phase 2a clinical trial with VesiGel in low-grade non-muscle invasive bladder cancer, or NMIBC, and expect to collect from toxicological studies that we may conduct to support the submission of an IND without requiring additional preclinical studies or clinical trials, and our ability to commence a Phase 2b clinical trial in the United States for VesiGel in low-grade NMIBC following an IND submission, if accepted;</w:t>
      </w:r>
    </w:p>
    <w:p>
      <w:pPr>
        <w:spacing w:after="0" w:line="27" w:lineRule="exact"/>
        <w:rPr>
          <w:rFonts w:ascii="MS PGothic" w:cs="MS PGothic" w:eastAsia="MS PGothic" w:hAnsi="MS PGothic"/>
          <w:sz w:val="13"/>
          <w:szCs w:val="13"/>
          <w:color w:val="auto"/>
        </w:rPr>
      </w:pPr>
    </w:p>
    <w:p>
      <w:pPr>
        <w:ind w:left="960" w:right="380" w:hanging="432"/>
        <w:spacing w:after="0" w:line="243" w:lineRule="auto"/>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willingness to schedule an advisory committee meeting in a timely manner to evaluate and decide on the approval of our potential future NDAs for MitoGel and VesiGel;</w:t>
      </w:r>
    </w:p>
    <w:p>
      <w:pPr>
        <w:spacing w:after="0" w:line="22" w:lineRule="exact"/>
        <w:rPr>
          <w:rFonts w:ascii="MS PGothic" w:cs="MS PGothic" w:eastAsia="MS PGothic" w:hAnsi="MS PGothic"/>
          <w:sz w:val="13"/>
          <w:szCs w:val="13"/>
          <w:color w:val="auto"/>
        </w:rPr>
      </w:pPr>
    </w:p>
    <w:p>
      <w:pPr>
        <w:ind w:left="960" w:right="40" w:hanging="432"/>
        <w:spacing w:after="0" w:line="238" w:lineRule="auto"/>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recommendation of the FDA’s advisory committee to approve our applications to market MitoGel and VesiGel and our other product candidates in the United States, without limiting the approved labeling, specifications, distribution or use of the products, or imposing other restrictions;</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satisfaction with the safety and efficacy of our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adverse events associated with our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timely and satisfactory performance by third-party contractors of their obligations in relation to our clinical trials;</w:t>
      </w:r>
    </w:p>
    <w:p>
      <w:pPr>
        <w:spacing w:after="0" w:line="34" w:lineRule="exact"/>
        <w:rPr>
          <w:rFonts w:ascii="MS PGothic" w:cs="MS PGothic" w:eastAsia="MS PGothic" w:hAnsi="MS PGothic"/>
          <w:sz w:val="13"/>
          <w:szCs w:val="13"/>
          <w:color w:val="auto"/>
        </w:rPr>
      </w:pPr>
    </w:p>
    <w:p>
      <w:pPr>
        <w:jc w:val="both"/>
        <w:ind w:left="960" w:right="320" w:hanging="432"/>
        <w:spacing w:after="0" w:line="238" w:lineRule="auto"/>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success in educating physicians and patients about the benefits, administration and use of our product candidates, if approved, particularly in light of the fact that there are currently no drugs approved by the FDA for the treatment of UTUC and the FDA has not approved a drug for the treatment of NMIBC in more than 15 years;</w:t>
      </w:r>
    </w:p>
    <w:p>
      <w:pPr>
        <w:spacing w:after="0" w:line="26" w:lineRule="exact"/>
        <w:rPr>
          <w:rFonts w:ascii="MS PGothic" w:cs="MS PGothic" w:eastAsia="MS PGothic" w:hAnsi="MS PGothic"/>
          <w:sz w:val="13"/>
          <w:szCs w:val="13"/>
          <w:color w:val="auto"/>
        </w:rPr>
      </w:pPr>
    </w:p>
    <w:p>
      <w:pPr>
        <w:ind w:left="960" w:right="460" w:hanging="432"/>
        <w:spacing w:after="0" w:line="243" w:lineRule="auto"/>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availability, perceived advantages, relative cost, safety and efficacy of alternative and competing treatments for the indications addressed by our product candidates;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effectiveness of our marketing, sales and distribution strategy, and operations, as well as that of any current and future licensees;</w:t>
      </w:r>
    </w:p>
    <w:p>
      <w:pPr>
        <w:spacing w:after="0" w:line="34" w:lineRule="exact"/>
        <w:rPr>
          <w:rFonts w:ascii="MS PGothic" w:cs="MS PGothic" w:eastAsia="MS PGothic" w:hAnsi="MS PGothic"/>
          <w:sz w:val="13"/>
          <w:szCs w:val="13"/>
          <w:color w:val="auto"/>
        </w:rPr>
      </w:pPr>
    </w:p>
    <w:p>
      <w:pPr>
        <w:ind w:left="960" w:right="860" w:hanging="432"/>
        <w:spacing w:after="0" w:line="243" w:lineRule="auto"/>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ability to develop, validate and maintain a commercially viable manufacturing process that is compliant with current good manufacturing practices, or cGMP;</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ability to obtain, protect and enforce our intellectual property rights with respect to our product candidates;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ability to successfully train users with respect to the safe instillation of MitoGel and VesiGel.</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Many of these clinical, regulatory and commercial risks are beyond our control. Accordingly, we cannot assure you that we will be able to advance any of our product candidates through clinical development, or to obtain regulatory approval of or commercialize any of our product candidates. If we fail to achieve these objectives or overcome the challenges presented above, we could experience significant delays or an inability to successfully commercialize our product candidates. Accordingly, we may not be able to generate sufficient revenues through the sale of our product candidates to enable us to continue our business.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be unable to obtain regulatory approval for our product candidates.</w:t>
      </w:r>
    </w:p>
    <w:p>
      <w:pPr>
        <w:spacing w:after="0" w:line="4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in other countries. These regulations differ from country to country. To gain approval to market our product candidates, we must provide clinical data that adequately demonstrate the safety and efficacy of the product for the intended indication. We have not yet obtained regulatory approval to market any of our product candidates in the United States or any other country. Our business depends upon obtaining these regulatory approvals. There are currently no drugs approved by the FDA for the treatment of UTUC and only three drugs have been approved by the FDA for NMIBC, with the last approval having occurred over 15 years ago. The FDA can delay, limit or deny approval of our product candidates for many reasons, including:</w:t>
      </w:r>
    </w:p>
    <w:p>
      <w:pPr>
        <w:spacing w:after="0" w:line="190" w:lineRule="exact"/>
        <w:rPr>
          <w:sz w:val="20"/>
          <w:szCs w:val="20"/>
          <w:color w:val="auto"/>
        </w:rPr>
      </w:pPr>
    </w:p>
    <w:p>
      <w:pPr>
        <w:ind w:left="960" w:hanging="432"/>
        <w:spacing w:after="0"/>
        <w:tabs>
          <w:tab w:leader="none" w:pos="96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inability to satisfactorily demonstrate that the product candidates are safe and effective for the target indication;</w:t>
      </w:r>
    </w:p>
    <w:p>
      <w:pPr>
        <w:spacing w:after="0" w:line="34" w:lineRule="exact"/>
        <w:rPr>
          <w:rFonts w:ascii="MS PGothic" w:cs="MS PGothic" w:eastAsia="MS PGothic" w:hAnsi="MS PGothic"/>
          <w:sz w:val="13"/>
          <w:szCs w:val="13"/>
          <w:color w:val="auto"/>
        </w:rPr>
      </w:pPr>
    </w:p>
    <w:p>
      <w:pPr>
        <w:ind w:left="960" w:right="160" w:hanging="432"/>
        <w:spacing w:after="0" w:line="243" w:lineRule="auto"/>
        <w:tabs>
          <w:tab w:leader="none" w:pos="96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FDA’s disagreement with our trial protocol, the interpretation of data from preclinical studies or clinical trials or conduct and control of clinical trials;</w:t>
      </w:r>
    </w:p>
    <w:p>
      <w:pPr>
        <w:spacing w:after="0" w:line="22" w:lineRule="exact"/>
        <w:rPr>
          <w:rFonts w:ascii="MS PGothic" w:cs="MS PGothic" w:eastAsia="MS PGothic" w:hAnsi="MS PGothic"/>
          <w:sz w:val="13"/>
          <w:szCs w:val="13"/>
          <w:color w:val="auto"/>
        </w:rPr>
      </w:pPr>
    </w:p>
    <w:p>
      <w:pPr>
        <w:ind w:left="960" w:right="420" w:hanging="432"/>
        <w:spacing w:after="0" w:line="243" w:lineRule="auto"/>
        <w:tabs>
          <w:tab w:leader="none" w:pos="96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trial may not be sufficiently broad or representative to assess efficacy and safety in the patient population for which we seek approval;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hanging="432"/>
        <w:spacing w:after="0"/>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FDA’s determination that the 505(b)(2) regulatory pathway is not available for our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FDA’s determination that additional preclinical studies or clinical trials are required;</w:t>
      </w:r>
    </w:p>
    <w:p>
      <w:pPr>
        <w:spacing w:after="0" w:line="34" w:lineRule="exact"/>
        <w:rPr>
          <w:rFonts w:ascii="MS PGothic" w:cs="MS PGothic" w:eastAsia="MS PGothic" w:hAnsi="MS PGothic"/>
          <w:sz w:val="13"/>
          <w:szCs w:val="13"/>
          <w:color w:val="auto"/>
        </w:rPr>
      </w:pPr>
    </w:p>
    <w:p>
      <w:pPr>
        <w:ind w:left="960" w:right="280" w:hanging="432"/>
        <w:spacing w:after="0" w:line="243" w:lineRule="auto"/>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FDA’s non-approval of the quality of our drug substance or drug product, formulation, labeling or the specifications of our product candidates;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FDA’s failure to accept the manufacturing processes or facilities of third-party manufacturers with which we contract;</w:t>
      </w:r>
    </w:p>
    <w:p>
      <w:pPr>
        <w:spacing w:after="0" w:line="34" w:lineRule="exact"/>
        <w:rPr>
          <w:rFonts w:ascii="MS PGothic" w:cs="MS PGothic" w:eastAsia="MS PGothic" w:hAnsi="MS PGothic"/>
          <w:sz w:val="13"/>
          <w:szCs w:val="13"/>
          <w:color w:val="auto"/>
        </w:rPr>
      </w:pPr>
    </w:p>
    <w:p>
      <w:pPr>
        <w:ind w:left="960" w:right="40" w:hanging="432"/>
        <w:spacing w:after="0" w:line="243" w:lineRule="auto"/>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potential for approval policies or regulations of the FDA to significantly change in a manner rendering our clinical data insufficient for approval; or</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resistance to approval from the FDA’s advisory committee for any reason including safety or efficacy concerns.</w:t>
      </w:r>
    </w:p>
    <w:p>
      <w:pPr>
        <w:spacing w:after="0" w:line="156"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Even if we eventually complete clinical testing and receive approval of any regulatory filing for our product candidates, the FDA may grant approval contingent on the performance of costly and potentially time-consuming additional post-approval clinical trials or subject to restrictive Risk Evaluation and Mitigation Strategies.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To date, we have only generated limited clinical data for our product candidates.</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Positive results in preclinical testing and early clinical trials do not ensure that later clinical trials will be successful. A number of pharmaceutical companies have suffered significant setbacks in clinical trials, including in Phase 3 clinical trials, after promising results in preclinical testing and early clinical trials. These setbacks have included negative safety and efficacy observations in later clinical trials, including previously unreported adverse effects. For example, we have enrolled only 22 patients into the recently completed UTUC Compassionate Use program of MitoGel. In the Compassionate Use Program, only 13 patients who were confirmed with low-grade UTUC disease and had completed the six-weekly administration treatment regimen were evaluated for response, and eight of the 13 patients achieved a complete response and the remaining five achieved a partial response at the primary evaluation time. Of the eight patients who achieved a complete response at the primary evaluation time, three have subsequently experienced recurrences to date. The data generated by our Compassionate Use program may not be as reliable as data generated from a clinical trial. For instance, consistent with the nature of Compassionate Use programs, our Compassionate Use program is investigator-initiated and driven, with no uniform protocol with respect to dosing, primary endpoint or frequency or timing of follow-up evaluations. The data collected in our Compassionate Use program is based on individual physician reports and has not undergone independent monitoring or quality assurance. The follow-up evaluation plan for patients is determined by each individual investigator and varies from patient to patient, and some patients have not undergone follow-up evaluation or have been lost to follow-up. Due to the intricate anatomy of the renal pelvis and the calyceal system, we also face the risk that MitoGel may not reach all tumors. To date in our preclinical testing, Compassionate Use program and clinical trials, we have observed several adverse events and serious adverse events, consisting primarily of burning sensation, rash, kidney swelling, kidney infection, urgency in urination and pain during urination. In addition we have observed transient perturbation of laboratory measures of renal and hematopoietic function. No study participants have required medical intervention to address these changes. These adverse events are known MMC-related adverse events and are indicated as potential side effects of MMC usage on the MMC label. However, we cannot assure you that adverse events related to MitoGel and VesiGel that are not directly attributable to MMC specifically will not occur. In addition, this trial may not be successful. If our clinical trials do not ultimately indicate that our product candidates are safe and efficacious for their intended application, the FDA may not approve any NDA that we may file to market such product candidates, and our business would not be able to generate revenue from the sale of any such product candidates.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440"/>
        <w:spacing w:after="0" w:line="268" w:lineRule="auto"/>
        <w:rPr>
          <w:sz w:val="20"/>
          <w:szCs w:val="20"/>
          <w:color w:val="auto"/>
        </w:rPr>
      </w:pPr>
      <w:r>
        <w:rPr>
          <w:rFonts w:ascii="Arial" w:cs="Arial" w:eastAsia="Arial" w:hAnsi="Arial"/>
          <w:sz w:val="17"/>
          <w:szCs w:val="17"/>
          <w:b w:val="1"/>
          <w:bCs w:val="1"/>
          <w:i w:val="1"/>
          <w:iCs w:val="1"/>
          <w:color w:val="auto"/>
        </w:rPr>
        <w:t>We have limited experience in conducting clinical trials and have never obtained approval for any product candidates, and may be unable to do so successfully.</w:t>
      </w:r>
    </w:p>
    <w:p>
      <w:pPr>
        <w:spacing w:after="0" w:line="2"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As a company, we have limited experience in conducting clinical trials and have never progressed a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In addition, due to the significant lack of drug development for non-muscle invasive urothelial cancers over the past 15 years, neither we nor any third-party clinical investigators, clinical research organizations, or CROs, and/or consultants are likely to have extensive experience conducting clinical trials for the indications we are targeting.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34"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b w:val="1"/>
          <w:bCs w:val="1"/>
          <w:i w:val="1"/>
          <w:iCs w:val="1"/>
          <w:color w:val="auto"/>
        </w:rPr>
        <w:t>We have not applied for regulatory approvals to market any of our product candidates, and we may be delayed in obtaining or failing to obtain such regulatory approvals and to commercialize our product candidates.</w:t>
      </w:r>
    </w:p>
    <w:p>
      <w:pPr>
        <w:spacing w:after="0" w:line="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preclinical and clinical data that demonstrates the safety and efficacy of the product for the intended indication.</w:t>
      </w:r>
    </w:p>
    <w:p>
      <w:pPr>
        <w:spacing w:after="0" w:line="15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Before we can submit an NDA to the FDA or comparable similar applications to foreign regulatory authorities, we must conduct Phase 3 clinical trials, or a pivotal/registration trial equivalent, for each product candidate. We commenced a single pivotal, open-label, single-arm Phase 3 clinical trial of MitoGel for the treatment of low-grade UTUC in the first quarter of 2017. This clinical trial is substantially broader than the previous Compassionate Use program for MitoGel for the treatment of patients with UTUC and requires us to enroll a considerably larger number of patients in multiple clinics and medical centers across multiple countries. Based on our discussions with the FDA, our current expectation is that our pivotal clinical trial for MitoGel will evaluate approximately 74 patients. We are also planning to commence a Phase 2b clinical trial of VesiGel in 2018. Before commencing a clinical trial for VesiGel in the United States, we must first file an IND, which must be accepted by the FDA. We cannot assure you that the FDA will not decide to materially alter these parameters, including potentially requiring a pivotal study with a control arm, during the trial or require us to conduct more than one pivotal trial before submitting an NDA.</w:t>
      </w:r>
    </w:p>
    <w:p>
      <w:pPr>
        <w:spacing w:after="0" w:line="148"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preclinical,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48"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color w:val="auto"/>
        </w:rPr>
        <w:t>If any of these outcomes occur, we may not receive regulatory approval for the corresponding product candidates, and our business would not be able to generate revenue from the sale of any such product candidates.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480"/>
        <w:spacing w:after="0" w:line="268" w:lineRule="auto"/>
        <w:rPr>
          <w:sz w:val="20"/>
          <w:szCs w:val="20"/>
          <w:color w:val="auto"/>
        </w:rPr>
      </w:pPr>
      <w:r>
        <w:rPr>
          <w:rFonts w:ascii="Arial" w:cs="Arial" w:eastAsia="Arial" w:hAnsi="Arial"/>
          <w:sz w:val="17"/>
          <w:szCs w:val="17"/>
          <w:b w:val="1"/>
          <w:bCs w:val="1"/>
          <w:i w:val="1"/>
          <w:iCs w:val="1"/>
          <w:color w:val="auto"/>
        </w:rPr>
        <w:t>We may not be able to advance our preclinical product candidates into clinical development and through regulatory approval and commercialization.</w:t>
      </w:r>
    </w:p>
    <w:p>
      <w:pPr>
        <w:spacing w:after="0" w:line="2" w:lineRule="exact"/>
        <w:rPr>
          <w:sz w:val="20"/>
          <w:szCs w:val="20"/>
          <w:color w:val="auto"/>
        </w:rPr>
      </w:pPr>
    </w:p>
    <w:p>
      <w:pPr>
        <w:ind w:left="200" w:right="700"/>
        <w:spacing w:after="0" w:line="243" w:lineRule="auto"/>
        <w:rPr>
          <w:sz w:val="20"/>
          <w:szCs w:val="20"/>
          <w:color w:val="auto"/>
        </w:rPr>
      </w:pPr>
      <w:r>
        <w:rPr>
          <w:rFonts w:ascii="Arial" w:cs="Arial" w:eastAsia="Arial" w:hAnsi="Arial"/>
          <w:sz w:val="17"/>
          <w:szCs w:val="17"/>
          <w:color w:val="auto"/>
        </w:rPr>
        <w:t>Certain of our product candidates are currently in preclinical development and are therefore currently subject to the risks associated with preclinical development, including the risks associated with:</w:t>
      </w:r>
    </w:p>
    <w:p>
      <w:pPr>
        <w:spacing w:after="0" w:line="185" w:lineRule="exact"/>
        <w:rPr>
          <w:sz w:val="20"/>
          <w:szCs w:val="20"/>
          <w:color w:val="auto"/>
        </w:rPr>
      </w:pPr>
    </w:p>
    <w:p>
      <w:pPr>
        <w:ind w:left="960" w:hanging="432"/>
        <w:spacing w:after="0"/>
        <w:tabs>
          <w:tab w:leader="none" w:pos="96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generating adequate and sufficient preclinical safety and efficacy data in a timely fashion to support the initiation of clinical trials;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obtaining regulatory approval to commence clinical trials in any jurisdiction, including the filing and acceptance of INDs;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contracting with the necessary parties to conduct a clinical trial;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enrolling sufficient numbers of patients in clinical trials in timely fashion, if at all;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timely manufacture of sufficient quantities of the product candidate for use in clinical trials.</w:t>
      </w:r>
    </w:p>
    <w:p>
      <w:pPr>
        <w:spacing w:after="0" w:line="156"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If we are unsuccessful in advancing our preclinical product candidates into clinical trials in a timely fashion, our business may be harmed. Even if we are successful in advancing our preclinical product candidates into clinical development, their success will be subject to all of the clinical, regulatory and commercial risks described elsewhere in “Risk Factors.” Accordingly, we cannot assure you that we will be able to develop, obtain regulatory approval for, commercialize or generate significant revenue from our product candidates.</w:t>
      </w:r>
    </w:p>
    <w:p>
      <w:pPr>
        <w:spacing w:after="0" w:line="35" w:lineRule="exact"/>
        <w:rPr>
          <w:sz w:val="20"/>
          <w:szCs w:val="20"/>
          <w:color w:val="auto"/>
        </w:rPr>
      </w:pPr>
    </w:p>
    <w:p>
      <w:pPr>
        <w:ind w:left="200" w:right="300"/>
        <w:spacing w:after="0" w:line="250"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7" w:lineRule="exact"/>
        <w:rPr>
          <w:sz w:val="20"/>
          <w:szCs w:val="20"/>
          <w:color w:val="auto"/>
        </w:rPr>
      </w:pPr>
    </w:p>
    <w:p>
      <w:pPr>
        <w:ind w:left="200" w:right="60"/>
        <w:spacing w:after="0" w:line="23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We do not know whether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72" w:lineRule="exact"/>
        <w:rPr>
          <w:sz w:val="20"/>
          <w:szCs w:val="20"/>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 xml:space="preserve">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52"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obtain regulatory approval, or feedback on trial design, in order to commence a trial;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identify, recruit and train suitable clinical investigators;</w:t>
      </w:r>
    </w:p>
    <w:p>
      <w:pPr>
        <w:spacing w:after="0" w:line="34" w:lineRule="exact"/>
        <w:rPr>
          <w:rFonts w:ascii="MS PGothic" w:cs="MS PGothic" w:eastAsia="MS PGothic" w:hAnsi="MS PGothic"/>
          <w:sz w:val="13"/>
          <w:szCs w:val="13"/>
          <w:color w:val="auto"/>
        </w:rPr>
      </w:pPr>
    </w:p>
    <w:p>
      <w:pPr>
        <w:ind w:left="960" w:right="200" w:hanging="432"/>
        <w:spacing w:after="0" w:line="243" w:lineRule="auto"/>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reach agreement on acceptable terms with prospective CROs and clinical trial sites, and have such CROs and sites effect the proper and timely conduct of our clinical trials;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obtain and maintain institutional review board, or IRB, approval at each clinical trial site;</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identify, recruit and enroll suitable patients to participate in a trial;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have a sufficient number of patients complete a trial or return for post-treatment follow-up;</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ensure clinical investigators and clinical trial sites observe trial protocol or continue to participate in a trial;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address any patient safety concerns that arise during the course of a trial;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address any conflicts with new or existing laws or regulations;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add a sufficient number of clinical trial sites;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manufacture sufficient quantities at the required quality of product candidate for use in clinical trials;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raise sufficient capital to fund a trial.</w:t>
      </w:r>
    </w:p>
    <w:p>
      <w:pPr>
        <w:spacing w:after="0" w:line="156"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49" w:lineRule="exact"/>
        <w:rPr>
          <w:sz w:val="20"/>
          <w:szCs w:val="20"/>
          <w:color w:val="auto"/>
        </w:rPr>
      </w:pPr>
    </w:p>
    <w:p>
      <w:pPr>
        <w:ind w:left="200" w:right="360"/>
        <w:spacing w:after="0" w:line="243" w:lineRule="auto"/>
        <w:rPr>
          <w:sz w:val="20"/>
          <w:szCs w:val="20"/>
          <w:color w:val="auto"/>
        </w:rPr>
      </w:pPr>
      <w:r>
        <w:rPr>
          <w:rFonts w:ascii="Arial" w:cs="Arial" w:eastAsia="Arial" w:hAnsi="Arial"/>
          <w:sz w:val="17"/>
          <w:szCs w:val="17"/>
          <w:color w:val="auto"/>
        </w:rPr>
        <w:t>We may also encounter delays if a clinical trial is suspended or terminated by us, by the IRBs of the institutions in which such trials are being conducted, by the trial’s data safety monitoring board, by the FDA or by the applicable</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47" w:lineRule="exact"/>
        <w:rPr>
          <w:sz w:val="20"/>
          <w:szCs w:val="20"/>
          <w:color w:val="auto"/>
        </w:rPr>
      </w:pPr>
    </w:p>
    <w:p>
      <w:pPr>
        <w:ind w:left="200" w:right="20"/>
        <w:spacing w:after="0" w:line="261"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limited to those patients who are ineligible for established therapies or for whom prior therapies have failed, and may be small.</w:t>
      </w:r>
    </w:p>
    <w:p>
      <w:pPr>
        <w:ind w:left="200" w:right="40"/>
        <w:spacing w:after="0" w:line="234" w:lineRule="auto"/>
        <w:rPr>
          <w:sz w:val="20"/>
          <w:szCs w:val="20"/>
          <w:color w:val="auto"/>
        </w:rPr>
      </w:pPr>
      <w:r>
        <w:rPr>
          <w:rFonts w:ascii="Arial" w:cs="Arial" w:eastAsia="Arial" w:hAnsi="Arial"/>
          <w:sz w:val="17"/>
          <w:szCs w:val="17"/>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candidates with the goal of replacing surgery as the first-line standard of care for certain urothelial cancers. We intend to seek approval of MitoGel for the first-line treatment of low-grade UTUC and of VesiGel for the first-line treatment of low-grade NMIBC in both cases as a chemoablation agent to replace tumor resection surgeries. However, there is no guarantee that our product candidates, if approved, would be approved for first-line or even later lines of therapy, and, that prior to any such approvals, we will not have to conduct additional clinical trials.</w:t>
      </w:r>
    </w:p>
    <w:p>
      <w:pPr>
        <w:spacing w:after="0" w:line="14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Even if we receive regulatory approval for our product candidates and obtain significant market share, because the potential target populations are small, we may never achieve profitability without obtaining regulatory approval for additional indications, including the use of the products as first- or second-line therapy.</w:t>
      </w:r>
    </w:p>
    <w:p>
      <w:pPr>
        <w:spacing w:after="0" w:line="49" w:lineRule="exact"/>
        <w:rPr>
          <w:sz w:val="20"/>
          <w:szCs w:val="20"/>
          <w:color w:val="auto"/>
        </w:rPr>
      </w:pPr>
    </w:p>
    <w:p>
      <w:pPr>
        <w:ind w:left="200" w:right="60"/>
        <w:spacing w:after="0" w:line="244" w:lineRule="auto"/>
        <w:rPr>
          <w:sz w:val="20"/>
          <w:szCs w:val="20"/>
          <w:color w:val="auto"/>
        </w:rPr>
      </w:pPr>
      <w:r>
        <w:rPr>
          <w:rFonts w:ascii="Arial" w:cs="Arial" w:eastAsia="Arial" w:hAnsi="Arial"/>
          <w:sz w:val="17"/>
          <w:szCs w:val="17"/>
          <w:b w:val="1"/>
          <w:bCs w:val="1"/>
          <w:i w:val="1"/>
          <w:iCs w:val="1"/>
          <w:color w:val="auto"/>
        </w:rPr>
        <w:t>MitoGel or VesiGel or any of our other product candidates may produce undesirable side effects that we may not have detected in our previous preclinical studies and clinical trials.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8"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As with most pharmaceutical products, use of MitoGel or VesiGel or our other product candidates may be associated with side effects or adverse events that can vary in severity and frequency. Our proprietary reverse thermal gelation hydrogel, or RTGel, which is used in the formulation of MitoGel and VesiGel, has not undergone extensive testing in humans. Side effects or adverse events associated with the use of MitoGel and VesiGel may be observed at any time, including in clinical trials or once a product is commercialized, and any such side effects or adverse events may negatively affect our ability to obtain regulatory approval or market our product candidates. To date in our clinical trials, we have observed several adverse events and serious adverse events, consisting primarily of burning sensation, rash, kidney swelling, kidney infection, urgency in urination and pain during urination. In addition, we have observed transient perturbation of laboratory measures of renal and hematopoietic function. These adverse events are known MMC-related adverse events and are indicated as potential side effects of MMC usage on the MMC label. However, we cannot assure you that we will not observe additional drug-related serious adverse events in the future or that the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FDA will not determine them as such. Side effects such as toxicity or other safety issues associated with the use of our product candidates could require us to perform additional studies or halt development or sale of these product candidates or expose us to product liability lawsuits, which will harm our business.</w:t>
      </w:r>
    </w:p>
    <w:p>
      <w:pPr>
        <w:spacing w:after="0" w:line="148"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Furthermore, the commenced single pivotal Phase 3 clinical trial for MitoGel and the planned Phase 2b clinical trial for VesiGel will involve a larger patient base than that previously studied, and the commercial marketing of MitoGel and VesiGel, if approved,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49"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50"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Additionally, in the event we discover the existence of adverse medical events or side effects caused by one of our product candidates, a number of other potentially significant negative consequences could result, including:</w:t>
      </w:r>
    </w:p>
    <w:p>
      <w:pPr>
        <w:spacing w:after="0" w:line="185" w:lineRule="exact"/>
        <w:rPr>
          <w:sz w:val="20"/>
          <w:szCs w:val="20"/>
          <w:color w:val="auto"/>
        </w:rPr>
      </w:pPr>
    </w:p>
    <w:p>
      <w:pPr>
        <w:ind w:left="960" w:right="400" w:hanging="432"/>
        <w:spacing w:after="0" w:line="243" w:lineRule="auto"/>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inability to file an NDA or similar application for our product candidates because of insufficient risk-reward, or the denial of such application by the FDA or foreign regulatory authorities;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suspending or withdrawing their approval of the product;</w:t>
      </w:r>
    </w:p>
    <w:p>
      <w:pPr>
        <w:spacing w:after="0" w:line="34" w:lineRule="exact"/>
        <w:rPr>
          <w:rFonts w:ascii="MS PGothic" w:cs="MS PGothic" w:eastAsia="MS PGothic" w:hAnsi="MS PGothic"/>
          <w:sz w:val="13"/>
          <w:szCs w:val="13"/>
          <w:color w:val="auto"/>
        </w:rPr>
      </w:pPr>
    </w:p>
    <w:p>
      <w:pPr>
        <w:ind w:left="960" w:right="1280" w:hanging="432"/>
        <w:spacing w:after="0" w:line="243" w:lineRule="auto"/>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requiring the addition of labeling statements, such as Box or other warnings or contraindications or distribution and use restrictions;</w:t>
      </w:r>
    </w:p>
    <w:p>
      <w:pPr>
        <w:spacing w:after="0" w:line="22" w:lineRule="exact"/>
        <w:rPr>
          <w:rFonts w:ascii="MS PGothic" w:cs="MS PGothic" w:eastAsia="MS PGothic" w:hAnsi="MS PGothic"/>
          <w:sz w:val="13"/>
          <w:szCs w:val="13"/>
          <w:color w:val="auto"/>
        </w:rPr>
      </w:pPr>
    </w:p>
    <w:p>
      <w:pPr>
        <w:ind w:left="960" w:right="460" w:hanging="432"/>
        <w:spacing w:after="0" w:line="243" w:lineRule="auto"/>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issuing negative publicity regarding the affected product, including safety communications;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being limited with respect to the safety-related claims that we can make in our marketing or promotional materials;</w:t>
      </w:r>
    </w:p>
    <w:p>
      <w:pPr>
        <w:spacing w:after="0" w:line="34" w:lineRule="exact"/>
        <w:rPr>
          <w:rFonts w:ascii="MS PGothic" w:cs="MS PGothic" w:eastAsia="MS PGothic" w:hAnsi="MS PGothic"/>
          <w:sz w:val="13"/>
          <w:szCs w:val="13"/>
          <w:color w:val="auto"/>
        </w:rPr>
      </w:pPr>
    </w:p>
    <w:p>
      <w:pPr>
        <w:ind w:left="960" w:right="340" w:hanging="432"/>
        <w:spacing w:after="0" w:line="243" w:lineRule="auto"/>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being required to change the way the product is administered, conduct additional preclinical studies or clinical trials or restrict or cease the distribution or use of the product;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being sued and held liable for harm caused to patients.</w:t>
      </w:r>
    </w:p>
    <w:p>
      <w:pPr>
        <w:spacing w:after="0" w:line="156" w:lineRule="exact"/>
        <w:rPr>
          <w:sz w:val="20"/>
          <w:szCs w:val="20"/>
          <w:color w:val="auto"/>
        </w:rPr>
      </w:pPr>
    </w:p>
    <w:p>
      <w:pPr>
        <w:ind w:left="200" w:right="340"/>
        <w:spacing w:after="0" w:line="236" w:lineRule="auto"/>
        <w:rPr>
          <w:sz w:val="20"/>
          <w:szCs w:val="20"/>
          <w:color w:val="auto"/>
        </w:rPr>
      </w:pPr>
      <w:r>
        <w:rPr>
          <w:rFonts w:ascii="Arial" w:cs="Arial" w:eastAsia="Arial" w:hAnsi="Arial"/>
          <w:sz w:val="17"/>
          <w:szCs w:val="17"/>
          <w:color w:val="auto"/>
        </w:rPr>
        <w:t>Any of these events could prevent us from achieving approval or market acceptance of the affected product candidate and could substantially increase commercialization costs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48"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7"/>
          <w:szCs w:val="17"/>
          <w:b w:val="1"/>
          <w:bCs w:val="1"/>
          <w:i w:val="1"/>
          <w:iCs w:val="1"/>
          <w:color w:val="auto"/>
        </w:rPr>
        <w:t>Even if our product candidates receive marketing approval, we may continue to face future developmental and regulatory difficulties. In addition, we are subject to government regulations and we may experience delays in obtaining required regulatory approvals to market our proposed product candidates.</w:t>
      </w:r>
    </w:p>
    <w:p>
      <w:pPr>
        <w:spacing w:after="0" w:line="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50"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88" w:lineRule="exact"/>
        <w:rPr>
          <w:sz w:val="20"/>
          <w:szCs w:val="20"/>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suspension or imposition of restrictions on operations, including costly new manufacturing requirements;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regulatory agency refusal to approve pending applications or supplements to applications;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suspension of any ongoing clinical trials;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suspension or withdrawal of marketing approval;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an injunction or imposition of civil or criminal penalties or monetary fines;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seizure or detention of products;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bans or restrictions on imports and exports;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issuance of warning letters or untitled letters;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suspension or imposition of restrictions on operations, including costly new manufacturing requirements;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refusal of regulatory authorities to approve pending applications or supplements to applications.</w:t>
      </w:r>
    </w:p>
    <w:p>
      <w:pPr>
        <w:spacing w:after="0" w:line="156"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47" w:lineRule="exact"/>
        <w:rPr>
          <w:sz w:val="20"/>
          <w:szCs w:val="20"/>
          <w:color w:val="auto"/>
        </w:rPr>
      </w:pPr>
    </w:p>
    <w:p>
      <w:pPr>
        <w:ind w:left="200" w:right="240"/>
        <w:spacing w:after="0" w:line="261"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may fail to achieve the broad degree of physician adoption and use and market acceptance necessary for commercial success.</w:t>
      </w:r>
    </w:p>
    <w:p>
      <w:pPr>
        <w:ind w:left="200"/>
        <w:spacing w:after="0" w:line="235" w:lineRule="auto"/>
        <w:rPr>
          <w:sz w:val="20"/>
          <w:szCs w:val="20"/>
          <w:color w:val="auto"/>
        </w:rPr>
      </w:pPr>
      <w:r>
        <w:rPr>
          <w:rFonts w:ascii="Arial" w:cs="Arial" w:eastAsia="Arial" w:hAnsi="Arial"/>
          <w:sz w:val="17"/>
          <w:szCs w:val="17"/>
          <w:color w:val="auto"/>
        </w:rPr>
        <w:t>Even if we obtain FDA or foreign regulatory approvals for our product candidates, the commercial success of such products will depend significantly on their broad adoption and use by physicians, for approved indications, including, in the case of MitoGel, for the first-line treatment of low-grade UTUC, and in the case of VesiGel, for the first-line treatment of low-grade NMIBC, and for other therapeutic indications that we may seek to pursue with any of our product candidates. Physicians treating low-grade UTUC and low-grade NMIBC have never had to consider first-line treatments other than surgery. The degree and rate of physician and patient adoption of our product candidates, if approved, will depend on a number of factors, including:</w:t>
      </w:r>
    </w:p>
    <w:p>
      <w:pPr>
        <w:spacing w:after="0" w:line="189" w:lineRule="exact"/>
        <w:rPr>
          <w:sz w:val="20"/>
          <w:szCs w:val="20"/>
          <w:color w:val="auto"/>
        </w:rPr>
      </w:pPr>
    </w:p>
    <w:p>
      <w:pPr>
        <w:ind w:left="960" w:hanging="432"/>
        <w:spacing w:after="0"/>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the product is approved;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adverse side effects and the level of risk/reward observed in our clinical trials;</w:t>
      </w:r>
    </w:p>
    <w:p>
      <w:pPr>
        <w:spacing w:after="0" w:line="34" w:lineRule="exact"/>
        <w:rPr>
          <w:rFonts w:ascii="MS PGothic" w:cs="MS PGothic" w:eastAsia="MS PGothic" w:hAnsi="MS PGothic"/>
          <w:sz w:val="13"/>
          <w:szCs w:val="13"/>
          <w:color w:val="auto"/>
        </w:rPr>
      </w:pPr>
    </w:p>
    <w:p>
      <w:pPr>
        <w:ind w:left="960" w:right="120" w:hanging="432"/>
        <w:spacing w:after="0" w:line="243" w:lineRule="auto"/>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patient satisfaction with the results and administration of our product and overall treatment experience, including relative convenience, ease of use and avoidance of, or reduction in, adverse side effects;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extent to which physicians recommend our products to patients;</w:t>
      </w:r>
    </w:p>
    <w:p>
      <w:pPr>
        <w:spacing w:after="0" w:line="34" w:lineRule="exact"/>
        <w:rPr>
          <w:rFonts w:ascii="MS PGothic" w:cs="MS PGothic" w:eastAsia="MS PGothic" w:hAnsi="MS PGothic"/>
          <w:sz w:val="13"/>
          <w:szCs w:val="13"/>
          <w:color w:val="auto"/>
        </w:rPr>
      </w:pPr>
    </w:p>
    <w:p>
      <w:pPr>
        <w:ind w:left="960" w:right="240" w:hanging="432"/>
        <w:spacing w:after="0" w:line="243" w:lineRule="auto"/>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physicians’ and patients’ willingness to adopt new therapies in lieu of other products or treatments, including willingness to adopt our lead product candidates as locally-administered drug replacements to current surgical standards of care;</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cost of treatment, safety and efficacy in relation to alternative treatments, including the recurrence rate of our treatments;</w:t>
      </w:r>
    </w:p>
    <w:p>
      <w:pPr>
        <w:spacing w:after="0" w:line="34" w:lineRule="exact"/>
        <w:rPr>
          <w:rFonts w:ascii="MS PGothic" w:cs="MS PGothic" w:eastAsia="MS PGothic" w:hAnsi="MS PGothic"/>
          <w:sz w:val="13"/>
          <w:szCs w:val="13"/>
          <w:color w:val="auto"/>
        </w:rPr>
      </w:pPr>
    </w:p>
    <w:p>
      <w:pPr>
        <w:ind w:left="960" w:right="300" w:hanging="432"/>
        <w:spacing w:after="0" w:line="243" w:lineRule="auto"/>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extent to which the costs of our product candidates are reimbursed by third-party payors, and patients’ willingness to pay for our products;</w:t>
      </w:r>
    </w:p>
    <w:p>
      <w:pPr>
        <w:spacing w:after="0" w:line="22" w:lineRule="exact"/>
        <w:rPr>
          <w:rFonts w:ascii="MS PGothic" w:cs="MS PGothic" w:eastAsia="MS PGothic" w:hAnsi="MS PGothic"/>
          <w:sz w:val="13"/>
          <w:szCs w:val="13"/>
          <w:color w:val="auto"/>
        </w:rPr>
      </w:pPr>
    </w:p>
    <w:p>
      <w:pPr>
        <w:ind w:left="960" w:hanging="432"/>
        <w:spacing w:after="0" w:line="243" w:lineRule="auto"/>
        <w:tabs>
          <w:tab w:leader="none" w:pos="96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whether treatment with our product candidates, including the treatment of low-grade UTUC with MitoGel and the treatment of low-grade NMIBC with VesiGel, will be deemed to be an elective procedure by third-</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party payors; if so, the cost of treatment would be borne by the patient and would be less likely to be broadly adopted;</w:t>
      </w:r>
    </w:p>
    <w:p>
      <w:pPr>
        <w:spacing w:after="0" w:line="34" w:lineRule="exact"/>
        <w:rPr>
          <w:sz w:val="20"/>
          <w:szCs w:val="20"/>
          <w:color w:val="auto"/>
        </w:rPr>
      </w:pPr>
    </w:p>
    <w:p>
      <w:pPr>
        <w:ind w:left="960" w:hanging="432"/>
        <w:spacing w:after="0"/>
        <w:tabs>
          <w:tab w:leader="none" w:pos="96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proper training and administration of our products by physicians or nurses;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revenues and profitability that our products will offer physicians as compared to alternative therapies; and</w:t>
      </w:r>
    </w:p>
    <w:p>
      <w:pPr>
        <w:spacing w:after="0" w:line="34" w:lineRule="exact"/>
        <w:rPr>
          <w:rFonts w:ascii="MS PGothic" w:cs="MS PGothic" w:eastAsia="MS PGothic" w:hAnsi="MS PGothic"/>
          <w:sz w:val="13"/>
          <w:szCs w:val="13"/>
          <w:color w:val="auto"/>
        </w:rPr>
      </w:pPr>
    </w:p>
    <w:p>
      <w:pPr>
        <w:ind w:left="960" w:hanging="432"/>
        <w:spacing w:after="0" w:line="243" w:lineRule="auto"/>
        <w:tabs>
          <w:tab w:leader="none" w:pos="96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effectiveness of our sales and marketing efforts, especially the success of any targeted marketing efforts directed toward physicians and clinics and any direct-to-consumer marketing efforts we may initiate.</w:t>
      </w:r>
    </w:p>
    <w:p>
      <w:pPr>
        <w:spacing w:after="0" w:line="144" w:lineRule="exact"/>
        <w:rPr>
          <w:sz w:val="20"/>
          <w:szCs w:val="20"/>
          <w:color w:val="auto"/>
        </w:rPr>
      </w:pPr>
    </w:p>
    <w:p>
      <w:pPr>
        <w:ind w:left="200" w:right="280"/>
        <w:spacing w:after="0" w:line="243" w:lineRule="auto"/>
        <w:rPr>
          <w:sz w:val="20"/>
          <w:szCs w:val="20"/>
          <w:color w:val="auto"/>
        </w:rPr>
      </w:pPr>
      <w:r>
        <w:rPr>
          <w:rFonts w:ascii="Arial" w:cs="Arial" w:eastAsia="Arial" w:hAnsi="Arial"/>
          <w:sz w:val="17"/>
          <w:szCs w:val="17"/>
          <w:color w:val="auto"/>
        </w:rPr>
        <w:t>If MitoGel, VesiGel or any of our other product candidates is approved for use, but fails to achieve the broad degree of physician adoption and market acceptance necessary for commercial success, our operating results and financial condition would be adversely affected.</w:t>
      </w:r>
    </w:p>
    <w:p>
      <w:pPr>
        <w:spacing w:after="0" w:line="43" w:lineRule="exact"/>
        <w:rPr>
          <w:sz w:val="20"/>
          <w:szCs w:val="20"/>
          <w:color w:val="auto"/>
        </w:rPr>
      </w:pPr>
    </w:p>
    <w:p>
      <w:pPr>
        <w:ind w:left="200" w:right="220"/>
        <w:spacing w:after="0" w:line="261" w:lineRule="auto"/>
        <w:rPr>
          <w:sz w:val="20"/>
          <w:szCs w:val="20"/>
          <w:color w:val="auto"/>
        </w:rPr>
      </w:pPr>
      <w:r>
        <w:rPr>
          <w:rFonts w:ascii="Arial" w:cs="Arial" w:eastAsia="Arial" w:hAnsi="Arial"/>
          <w:sz w:val="17"/>
          <w:szCs w:val="17"/>
          <w:b w:val="1"/>
          <w:bCs w:val="1"/>
          <w:i w:val="1"/>
          <w:iCs w:val="1"/>
          <w:color w:val="auto"/>
        </w:rPr>
        <w:t>If we are not successful in developing, receiving regulatory approval for and commercializing our preclinical and clinical product candidates other than MitoGel or VesiGel, our ability to expand our business and achieve our strategic objectives could be impaired.</w:t>
      </w:r>
    </w:p>
    <w:p>
      <w:pPr>
        <w:ind w:left="200" w:right="40"/>
        <w:spacing w:after="0" w:line="233" w:lineRule="auto"/>
        <w:rPr>
          <w:sz w:val="20"/>
          <w:szCs w:val="20"/>
          <w:color w:val="auto"/>
        </w:rPr>
      </w:pPr>
      <w:r>
        <w:rPr>
          <w:rFonts w:ascii="Arial" w:cs="Arial" w:eastAsia="Arial" w:hAnsi="Arial"/>
          <w:sz w:val="17"/>
          <w:szCs w:val="17"/>
          <w:color w:val="auto"/>
        </w:rPr>
        <w:t>Although we will devote a substantial portion of our resources on the continued clinical testing and potential approval of MitoGel for the treatment of low-grade UTUC and VesiGel for the treatment of low-grade NMIBC, another key element of our strategy is to discover, develop and commercialize a portfolio of products based on our proprietary RTGel platforms to serve additional therapeutic markets. We are seeking to do so through our internal research programs, but our resources are limited, and those that we have are geared towards clinical testing and seeking regulatory approval of MitoGel, VesiGel and our other existing product candidates. We may also explore strategic collaborations for the development or acquisition of new products, but we may not be successful in entering into such relationships. While we have commenced a single pivotal Phase 3 clinical trial for MitoGel and plan to commence a Phase 2b clinical trial for VesiGel, all of our other potential product candidates remain in the preclinical and/or early clinical stages of development.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95" w:lineRule="exact"/>
        <w:rPr>
          <w:sz w:val="20"/>
          <w:szCs w:val="20"/>
          <w:color w:val="auto"/>
        </w:rPr>
      </w:pPr>
    </w:p>
    <w:p>
      <w:pPr>
        <w:ind w:left="960" w:hanging="432"/>
        <w:spacing w:after="0"/>
        <w:tabs>
          <w:tab w:leader="none" w:pos="96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research methodology used may not be successful in identifying potential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competitors may develop alternatives that render our product candidates obsolete or less attractive;</w:t>
      </w:r>
    </w:p>
    <w:p>
      <w:pPr>
        <w:spacing w:after="0" w:line="34" w:lineRule="exact"/>
        <w:rPr>
          <w:rFonts w:ascii="MS PGothic" w:cs="MS PGothic" w:eastAsia="MS PGothic" w:hAnsi="MS PGothic"/>
          <w:sz w:val="13"/>
          <w:szCs w:val="13"/>
          <w:color w:val="auto"/>
        </w:rPr>
      </w:pPr>
    </w:p>
    <w:p>
      <w:pPr>
        <w:ind w:left="960" w:hanging="432"/>
        <w:spacing w:after="0" w:line="243" w:lineRule="auto"/>
        <w:tabs>
          <w:tab w:leader="none" w:pos="96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 product candidate may in a subsequent trial be shown to have harmful side effects or other characteristics that indicate it is unlikely to be effective or otherwise does not meet applicable regulatory criteria;</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 product candidate may not be capable of being produced in commercial quantities at an acceptable cost, or at all;</w:t>
      </w:r>
    </w:p>
    <w:p>
      <w:pPr>
        <w:spacing w:after="0" w:line="34" w:lineRule="exact"/>
        <w:rPr>
          <w:rFonts w:ascii="MS PGothic" w:cs="MS PGothic" w:eastAsia="MS PGothic" w:hAnsi="MS PGothic"/>
          <w:sz w:val="13"/>
          <w:szCs w:val="13"/>
          <w:color w:val="auto"/>
        </w:rPr>
      </w:pPr>
    </w:p>
    <w:p>
      <w:pPr>
        <w:ind w:left="960" w:right="140" w:hanging="432"/>
        <w:spacing w:after="0" w:line="243" w:lineRule="auto"/>
        <w:tabs>
          <w:tab w:leader="none" w:pos="96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 product candidate may not be accepted as safe and effective by patients, the medical community or third-party payors, if applicable; and</w:t>
      </w:r>
    </w:p>
    <w:p>
      <w:pPr>
        <w:spacing w:after="0" w:line="22" w:lineRule="exact"/>
        <w:rPr>
          <w:rFonts w:ascii="MS PGothic" w:cs="MS PGothic" w:eastAsia="MS PGothic" w:hAnsi="MS PGothic"/>
          <w:sz w:val="13"/>
          <w:szCs w:val="13"/>
          <w:color w:val="auto"/>
        </w:rPr>
      </w:pPr>
    </w:p>
    <w:p>
      <w:pPr>
        <w:ind w:left="960" w:right="320" w:hanging="432"/>
        <w:spacing w:after="0" w:line="243" w:lineRule="auto"/>
        <w:tabs>
          <w:tab w:leader="none" w:pos="96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intellectual property or other proprietary rights of third parties for product candidates we develop may potentially block our entry into certain markets, or make such entry economically impracticable.</w:t>
      </w:r>
    </w:p>
    <w:p>
      <w:pPr>
        <w:spacing w:after="0" w:line="144" w:lineRule="exact"/>
        <w:rPr>
          <w:sz w:val="20"/>
          <w:szCs w:val="20"/>
          <w:color w:val="auto"/>
        </w:rPr>
      </w:pPr>
    </w:p>
    <w:p>
      <w:pPr>
        <w:ind w:left="200" w:right="620"/>
        <w:spacing w:after="0" w:line="243" w:lineRule="auto"/>
        <w:rPr>
          <w:sz w:val="20"/>
          <w:szCs w:val="20"/>
          <w:color w:val="auto"/>
        </w:rPr>
      </w:pPr>
      <w:r>
        <w:rPr>
          <w:rFonts w:ascii="Arial" w:cs="Arial" w:eastAsia="Arial" w:hAnsi="Arial"/>
          <w:sz w:val="17"/>
          <w:szCs w:val="17"/>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43" w:lineRule="exact"/>
        <w:rPr>
          <w:sz w:val="20"/>
          <w:szCs w:val="20"/>
          <w:color w:val="auto"/>
        </w:rPr>
      </w:pPr>
    </w:p>
    <w:p>
      <w:pPr>
        <w:ind w:left="200" w:right="760"/>
        <w:spacing w:after="0" w:line="261" w:lineRule="auto"/>
        <w:rPr>
          <w:sz w:val="20"/>
          <w:szCs w:val="20"/>
          <w:color w:val="auto"/>
        </w:rPr>
      </w:pPr>
      <w:r>
        <w:rPr>
          <w:rFonts w:ascii="Arial" w:cs="Arial" w:eastAsia="Arial" w:hAnsi="Arial"/>
          <w:sz w:val="17"/>
          <w:szCs w:val="17"/>
          <w:b w:val="1"/>
          <w:bCs w:val="1"/>
          <w:i w:val="1"/>
          <w:iCs w:val="1"/>
          <w:color w:val="auto"/>
        </w:rPr>
        <w:t>Our product candidates, if approved, will face significant competition with competing technologies and our failure to compete effectively may prevent us from achieving significant market penetration.</w:t>
      </w:r>
    </w:p>
    <w:p>
      <w:pPr>
        <w:ind w:left="200" w:right="220"/>
        <w:spacing w:after="0" w:line="235"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150" w:lineRule="exact"/>
        <w:rPr>
          <w:sz w:val="20"/>
          <w:szCs w:val="20"/>
          <w:color w:val="auto"/>
        </w:rPr>
      </w:pPr>
    </w:p>
    <w:p>
      <w:pPr>
        <w:ind w:left="200" w:right="420"/>
        <w:spacing w:after="0" w:line="243" w:lineRule="auto"/>
        <w:rPr>
          <w:sz w:val="20"/>
          <w:szCs w:val="20"/>
          <w:color w:val="auto"/>
        </w:rPr>
      </w:pPr>
      <w:r>
        <w:rPr>
          <w:rFonts w:ascii="Arial" w:cs="Arial" w:eastAsia="Arial" w:hAnsi="Arial"/>
          <w:sz w:val="17"/>
          <w:szCs w:val="17"/>
          <w:color w:val="auto"/>
        </w:rPr>
        <w:t>We are aware that other companies, such as Merck Sharp &amp; Dohme Corp., Viventia Bio Inc., Telesta Therapeutics Inc., Heat Biologics, Inc., Viralytics Limited, AADi, LLC, Biocancell Ltd., Halozyme Therapeutics, Inc., Astellas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Pharma Inc., Cold Genesys, Inc., Altor BioScience Corporation, FKD Therapies Oy, Nippon Kayaku Co., Ltd, Spectrum Pharmaceuticals, Inc., Taris Biomedical LLC and Handok Inc., are conducting or have recently conducted clinical trials for product candidates for the treatment of low-grade and high-grade NMIBC, including CIS. In addition, we are aware of several pharmaceutical companies that are developing drug candidates for muscle-invasive bladder cancer. On May 18, 2016, the FDA approved Tecentriq (Atezolizumab) for the treatment of patients with locally advanced or metastatic urothelial carcinoma, a form of muscle invasive bladder cancer. We do not know whether these potential competitors are already developing, or plan to develop, low-grade UTUC or high-grade UTUC treatments or treatments for other indications that we are pursuing, and we may be unable to ascertain whether such activities are underway in the future.</w:t>
      </w:r>
    </w:p>
    <w:p>
      <w:pPr>
        <w:spacing w:after="0" w:line="151" w:lineRule="exact"/>
        <w:rPr>
          <w:sz w:val="20"/>
          <w:szCs w:val="20"/>
          <w:color w:val="auto"/>
        </w:rPr>
      </w:pPr>
    </w:p>
    <w:p>
      <w:pPr>
        <w:jc w:val="both"/>
        <w:ind w:left="200" w:right="440"/>
        <w:spacing w:after="0" w:line="238" w:lineRule="auto"/>
        <w:rPr>
          <w:sz w:val="20"/>
          <w:szCs w:val="20"/>
          <w:color w:val="auto"/>
        </w:rPr>
      </w:pPr>
      <w:r>
        <w:rPr>
          <w:rFonts w:ascii="Arial" w:cs="Arial" w:eastAsia="Arial" w:hAnsi="Arial"/>
          <w:sz w:val="17"/>
          <w:szCs w:val="17"/>
          <w:color w:val="auto"/>
        </w:rPr>
        <w:t>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48" w:lineRule="exact"/>
        <w:rPr>
          <w:sz w:val="20"/>
          <w:szCs w:val="20"/>
          <w:color w:val="auto"/>
        </w:rPr>
      </w:pPr>
    </w:p>
    <w:p>
      <w:pPr>
        <w:ind w:left="200" w:right="300"/>
        <w:spacing w:after="0" w:line="236" w:lineRule="auto"/>
        <w:rPr>
          <w:sz w:val="20"/>
          <w:szCs w:val="20"/>
          <w:color w:val="auto"/>
        </w:rPr>
      </w:pPr>
      <w:r>
        <w:rPr>
          <w:rFonts w:ascii="Arial" w:cs="Arial" w:eastAsia="Arial" w:hAnsi="Arial"/>
          <w:sz w:val="17"/>
          <w:szCs w:val="17"/>
          <w:color w:val="auto"/>
        </w:rPr>
        <w:t>In addition, we face competition from existing standards of treatment, including transurethral resection of bladder tumor, or TURBT, surgery for bladder cancer. If we are not able to demonstrate that our product candidates are at least as safe and effective as such courses of treatment, medical professionals may not adopt our product candidates in replacement of the existing standard of care, which is first-line tumor surgical procedures.</w:t>
      </w:r>
    </w:p>
    <w:p>
      <w:pPr>
        <w:spacing w:after="0" w:line="48" w:lineRule="exact"/>
        <w:rPr>
          <w:sz w:val="20"/>
          <w:szCs w:val="20"/>
          <w:color w:val="auto"/>
        </w:rPr>
      </w:pPr>
    </w:p>
    <w:p>
      <w:pPr>
        <w:ind w:left="200" w:right="300"/>
        <w:spacing w:after="0" w:line="261" w:lineRule="auto"/>
        <w:rPr>
          <w:sz w:val="20"/>
          <w:szCs w:val="20"/>
          <w:color w:val="auto"/>
        </w:rPr>
      </w:pPr>
      <w:r>
        <w:rPr>
          <w:rFonts w:ascii="Arial" w:cs="Arial" w:eastAsia="Arial" w:hAnsi="Arial"/>
          <w:sz w:val="17"/>
          <w:szCs w:val="17"/>
          <w:b w:val="1"/>
          <w:bCs w:val="1"/>
          <w:i w:val="1"/>
          <w:iCs w:val="1"/>
          <w:color w:val="auto"/>
        </w:rPr>
        <w:t>We have no experience in marketing or distributing products and no internal capability to do so, and are therefore subject to certain risks in relation to the commercialization of our product candidates once approved.</w:t>
      </w:r>
    </w:p>
    <w:p>
      <w:pPr>
        <w:ind w:left="200" w:right="40"/>
        <w:spacing w:after="0" w:line="233" w:lineRule="auto"/>
        <w:rPr>
          <w:sz w:val="20"/>
          <w:szCs w:val="20"/>
          <w:color w:val="auto"/>
        </w:rPr>
      </w:pPr>
      <w:r>
        <w:rPr>
          <w:rFonts w:ascii="Arial" w:cs="Arial" w:eastAsia="Arial" w:hAnsi="Arial"/>
          <w:sz w:val="17"/>
          <w:szCs w:val="17"/>
          <w:color w:val="auto"/>
        </w:rPr>
        <w:t>We have not yet established a commercial organization for the marketing, sale and distribution of our product candidates. Therefore, even if we receive approval to market our product candidates in the United States or other markets, in order to successfully commercialize our product candidates, we will need to either build marketing, sales, distribution, managerial and other non-technical capabilities or contract with third parties to obtain these capabilities. This involves many challenges, such as recruiting and retaining talented personnel, training employees, setting the appropriate system of incentives, managing additional headcount and integrating new business units into an existing corporate infrastructure. The development of our own sales infrastructure or contracting with third parties will involve substantial expense, much of which we will incur well in advance of any marketing or sales. Moreover, we do not have experience as a company in establishing a significant sales infrastructure, and we cannot be certain that we will successfully develop this capability or contract successfully with third parties for the necessary services. We will have to compete with other pharmaceutical and biotechnology companies to recruit, hire, train and retain personnel for medical affairs, marketing and sales. If we fail to establish an effective sales and marketing infrastructure or contract with third parties to do so, we will be unable to successfully commercialize our product candidates, which in turn would have an adverse effect on our business, financial condition and results of operations.</w:t>
      </w:r>
    </w:p>
    <w:p>
      <w:pPr>
        <w:spacing w:after="0" w:line="53" w:lineRule="exact"/>
        <w:rPr>
          <w:sz w:val="20"/>
          <w:szCs w:val="20"/>
          <w:color w:val="auto"/>
        </w:rPr>
      </w:pPr>
    </w:p>
    <w:p>
      <w:pPr>
        <w:jc w:val="both"/>
        <w:ind w:left="200"/>
        <w:spacing w:after="0" w:line="250" w:lineRule="auto"/>
        <w:rPr>
          <w:sz w:val="20"/>
          <w:szCs w:val="20"/>
          <w:color w:val="auto"/>
        </w:rPr>
      </w:pPr>
      <w:r>
        <w:rPr>
          <w:rFonts w:ascii="Arial" w:cs="Arial" w:eastAsia="Arial" w:hAnsi="Arial"/>
          <w:sz w:val="17"/>
          <w:szCs w:val="17"/>
          <w:b w:val="1"/>
          <w:bCs w:val="1"/>
          <w:i w:val="1"/>
          <w:iCs w:val="1"/>
          <w:color w:val="auto"/>
        </w:rPr>
        <w:t>We have entered into a licensing agreement and in the future may enter into collaborations with other third parties for the development or commercialization of our product candidates. If our collaborations are not successful, we may not be able to capitalize on the market potential of these product candidates.</w:t>
      </w:r>
    </w:p>
    <w:p>
      <w:pPr>
        <w:spacing w:after="0" w:line="3"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In October 2016, we entered into the Allergan Agreement. Under the Allergan Agreement, we granted Allergan an exclusive worldwide license to research, develop, manufacture and commercialize pharmaceutical products that contain RTGel and clostridial toxins (including BOTOX), alone or in combination with certain other active ingredients, which we refer to collectively as the Licensed Products. 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 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 If any of these events occurs, we will not be able to</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obtain, or may be delayed in obtaining, marketing approvals for the Licensed Products and will not be able to, or may be delayed in our efforts to, successfully commercialize the Licensed Products, and our business will be harmed.</w:t>
      </w:r>
    </w:p>
    <w:p>
      <w:pPr>
        <w:spacing w:after="0" w:line="144"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We may utilize a variety of types of collaboration, distribution and other marketing arrangements with third parties to develop our product candidates and commercialize our approved product candidates, if any. We are not currently party to any such arrangement. Our ability to generate revenues from these arrangements will depend on our collaborators’ abilities and efforts to successfully perform the functions assigned to them in these arrangements.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existing collaboration with Allergan and any future collaborations that we enter into, may pose a number of risks, including the following:</w:t>
      </w:r>
    </w:p>
    <w:p>
      <w:pPr>
        <w:spacing w:after="0" w:line="196" w:lineRule="exact"/>
        <w:rPr>
          <w:sz w:val="20"/>
          <w:szCs w:val="20"/>
          <w:color w:val="auto"/>
        </w:rPr>
      </w:pPr>
    </w:p>
    <w:p>
      <w:pPr>
        <w:ind w:left="960" w:right="480" w:hanging="432"/>
        <w:spacing w:after="0" w:line="243"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have significant discretion in determining the amount and timing of efforts and resources that they will apply to these collaborations;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may not perform their obligations as expected;</w:t>
      </w:r>
    </w:p>
    <w:p>
      <w:pPr>
        <w:spacing w:after="0" w:line="34" w:lineRule="exact"/>
        <w:rPr>
          <w:rFonts w:ascii="MS PGothic" w:cs="MS PGothic" w:eastAsia="MS PGothic" w:hAnsi="MS PGothic"/>
          <w:sz w:val="13"/>
          <w:szCs w:val="13"/>
          <w:color w:val="auto"/>
        </w:rPr>
      </w:pPr>
    </w:p>
    <w:p>
      <w:pPr>
        <w:ind w:left="960" w:hanging="432"/>
        <w:spacing w:after="0" w:line="238"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clinical trials conducted by collaborators could give rise to new safety concerns;</w:t>
      </w:r>
    </w:p>
    <w:p>
      <w:pPr>
        <w:spacing w:after="0" w:line="34" w:lineRule="exact"/>
        <w:rPr>
          <w:rFonts w:ascii="MS PGothic" w:cs="MS PGothic" w:eastAsia="MS PGothic" w:hAnsi="MS PGothic"/>
          <w:sz w:val="13"/>
          <w:szCs w:val="13"/>
          <w:color w:val="auto"/>
        </w:rPr>
      </w:pPr>
    </w:p>
    <w:p>
      <w:pPr>
        <w:ind w:left="960" w:right="160" w:hanging="432"/>
        <w:spacing w:after="0" w:line="238"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6" w:lineRule="exact"/>
        <w:rPr>
          <w:rFonts w:ascii="MS PGothic" w:cs="MS PGothic" w:eastAsia="MS PGothic" w:hAnsi="MS PGothic"/>
          <w:sz w:val="13"/>
          <w:szCs w:val="13"/>
          <w:color w:val="auto"/>
        </w:rPr>
      </w:pPr>
    </w:p>
    <w:p>
      <w:pPr>
        <w:ind w:left="960" w:right="300" w:hanging="432"/>
        <w:spacing w:after="0" w:line="243"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MS PGothic" w:cs="MS PGothic" w:eastAsia="MS PGothic" w:hAnsi="MS PGothic"/>
          <w:sz w:val="13"/>
          <w:szCs w:val="13"/>
          <w:color w:val="auto"/>
        </w:rPr>
      </w:pPr>
    </w:p>
    <w:p>
      <w:pPr>
        <w:ind w:left="960" w:right="40" w:hanging="432"/>
        <w:spacing w:after="0" w:line="238"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6" w:lineRule="exact"/>
        <w:rPr>
          <w:rFonts w:ascii="MS PGothic" w:cs="MS PGothic" w:eastAsia="MS PGothic" w:hAnsi="MS PGothic"/>
          <w:sz w:val="13"/>
          <w:szCs w:val="13"/>
          <w:color w:val="auto"/>
        </w:rPr>
      </w:pPr>
    </w:p>
    <w:p>
      <w:pPr>
        <w:ind w:left="960" w:right="580" w:hanging="432"/>
        <w:spacing w:after="0" w:line="238"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6" w:lineRule="exact"/>
        <w:rPr>
          <w:rFonts w:ascii="MS PGothic" w:cs="MS PGothic" w:eastAsia="MS PGothic" w:hAnsi="MS PGothic"/>
          <w:sz w:val="13"/>
          <w:szCs w:val="13"/>
          <w:color w:val="auto"/>
        </w:rPr>
      </w:pPr>
    </w:p>
    <w:p>
      <w:pPr>
        <w:ind w:left="960" w:right="140" w:hanging="432"/>
        <w:spacing w:after="0" w:line="243"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2" w:lineRule="exact"/>
        <w:rPr>
          <w:rFonts w:ascii="MS PGothic" w:cs="MS PGothic" w:eastAsia="MS PGothic" w:hAnsi="MS PGothic"/>
          <w:sz w:val="13"/>
          <w:szCs w:val="13"/>
          <w:color w:val="auto"/>
        </w:rPr>
      </w:pPr>
    </w:p>
    <w:p>
      <w:pPr>
        <w:ind w:left="960" w:hanging="432"/>
        <w:spacing w:after="0" w:line="236"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27" w:lineRule="exact"/>
        <w:rPr>
          <w:rFonts w:ascii="MS PGothic" w:cs="MS PGothic" w:eastAsia="MS PGothic" w:hAnsi="MS PGothic"/>
          <w:sz w:val="13"/>
          <w:szCs w:val="13"/>
          <w:color w:val="auto"/>
        </w:rPr>
      </w:pPr>
    </w:p>
    <w:p>
      <w:pPr>
        <w:ind w:left="960" w:right="180" w:hanging="432"/>
        <w:spacing w:after="0" w:line="238"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34" w:lineRule="exact"/>
        <w:rPr>
          <w:rFonts w:ascii="MS PGothic" w:cs="MS PGothic" w:eastAsia="MS PGothic" w:hAnsi="MS PGothic"/>
          <w:sz w:val="13"/>
          <w:szCs w:val="13"/>
          <w:color w:val="auto"/>
        </w:rPr>
      </w:pPr>
    </w:p>
    <w:p>
      <w:pPr>
        <w:ind w:left="960" w:right="340" w:hanging="432"/>
        <w:spacing w:after="0" w:line="243" w:lineRule="auto"/>
        <w:tabs>
          <w:tab w:leader="none" w:pos="96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4"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the Allergan Agreement, and any future collaborations that we enter into, do not result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50" w:lineRule="exact"/>
        <w:rPr>
          <w:sz w:val="20"/>
          <w:szCs w:val="20"/>
          <w:color w:val="auto"/>
        </w:rPr>
      </w:pPr>
    </w:p>
    <w:p>
      <w:pPr>
        <w:ind w:left="200" w:right="620"/>
        <w:spacing w:after="0" w:line="236" w:lineRule="auto"/>
        <w:rPr>
          <w:sz w:val="20"/>
          <w:szCs w:val="20"/>
          <w:color w:val="auto"/>
        </w:rPr>
      </w:pPr>
      <w:r>
        <w:rPr>
          <w:rFonts w:ascii="Arial" w:cs="Arial" w:eastAsia="Arial" w:hAnsi="Arial"/>
          <w:sz w:val="17"/>
          <w:szCs w:val="17"/>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48" w:lineRule="exact"/>
        <w:rPr>
          <w:sz w:val="20"/>
          <w:szCs w:val="20"/>
          <w:color w:val="auto"/>
        </w:rPr>
      </w:pPr>
    </w:p>
    <w:p>
      <w:pPr>
        <w:ind w:left="200" w:right="800"/>
        <w:spacing w:after="0" w:line="261" w:lineRule="auto"/>
        <w:rPr>
          <w:sz w:val="20"/>
          <w:szCs w:val="20"/>
          <w:color w:val="auto"/>
        </w:rPr>
      </w:pPr>
      <w:r>
        <w:rPr>
          <w:rFonts w:ascii="Arial" w:cs="Arial" w:eastAsia="Arial" w:hAnsi="Arial"/>
          <w:sz w:val="17"/>
          <w:szCs w:val="17"/>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ind w:left="200" w:right="40"/>
        <w:spacing w:after="0" w:line="234" w:lineRule="auto"/>
        <w:rPr>
          <w:sz w:val="20"/>
          <w:szCs w:val="20"/>
          <w:color w:val="auto"/>
        </w:rPr>
      </w:pPr>
      <w:r>
        <w:rPr>
          <w:rFonts w:ascii="Arial" w:cs="Arial" w:eastAsia="Arial" w:hAnsi="Arial"/>
          <w:sz w:val="17"/>
          <w:szCs w:val="17"/>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manufacture economically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46"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b w:val="1"/>
          <w:bCs w:val="1"/>
          <w:i w:val="1"/>
          <w:iCs w:val="1"/>
          <w:color w:val="auto"/>
        </w:rPr>
        <w:t>We currently contract with third-party subcontractors and single-source suppliers for certain raw materials, compounds and components necessary to produce MitoGel, VesiGel and Vesimune for preclinical studies and clinical trials, and expect to continue to do so to support commercial scale production of MitoGel, VesiGel and Vesimune, if approved. There are significant risks associated with the manufacture of pharmaceutical products and contracting with contract manufacturers and with single-source suppliers. Furthermore, our existing third-party subcontractors and single-source suppliers may not be able to meet the increased need for certain raw materials, compounds and components that may result from our potential commercialization efforts. This increases the risk that we will not have sufficient quantities of MitoGel, VesiGel or Vesimune or be able to obtain such quantities at an acceptable cost, which could delay, prevent or impair our development or commercialization efforts.</w:t>
      </w:r>
    </w:p>
    <w:p>
      <w:pPr>
        <w:spacing w:after="0" w:line="15"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currently rely on third party subcontractors and suppliers for certain compounds and components necessary to produce MitoGel, VesiGel and Vesimune for our preclinical studies and clinical trials. We currently depend on Teva Pharmaceuticals Industries Ltd., or Teva, as our single-source supplier of MMC for MitoGel and VesiGel. Teva is in the midst of a corporate restructuring. Although we are not aware of any impact of the restructuring as currently in effect on Teva’s ability or willingness to supply us with MMC in the quantities and on the timeline required, it is possible that the restructuring could adversely affect our ability to obtain MMC in any given period and could require us to expend funds and effort to identify and engage one or more alternate suppliers of MMC. We also currently depend on single sources for the gel contained in MitoGel and VesiGel, and Imiquimod for Vesimune.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and if approved, ultimately for commercial sale. We do not have any control over the availability of raw materials. If we or our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any approved products.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expect to continue to rely on these or other subcontractors and suppliers to support our commercial requirements if MitoGel, VesiGel or any of our other product candidates is approved for marketing by the FDA or foreign regulatory authorities. Even if we establish ourselves as an approved commercial supplier of MMC, we plan to continue to rely on third parties for such production of MMC, as well as for the raw materials, compounds and components necessary to produce our product candidates and for preclinical studies and clinical trials. We would expect that if we become a commercial supplier of MMC, through a third party manufacturer of MMC, it would provide us with enhanced control of material supply for both clinical trials and the commercial market, enable the more rapid implementation of process changes, and allow for better long-term margins. However, we have no experience as a company in the commercial supply of drugs and may never be successful as a commercial supplier of MMC.</w:t>
      </w:r>
    </w:p>
    <w:p>
      <w:pPr>
        <w:spacing w:after="0" w:line="150"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Even if we are successful in being approved as a commercial supplier of MMC, cost-overruns, unexpected delays, equipment failures, labor shortages, natural disasters, power failures, production failures or product recalls, and numerous other factors could prevent us from realizing the intended benefits of our sales strategy and have a material adverse effect on our business. Further, establishing ourselves as a commercial supplier of MMC, if we choose to pursue this, will require additional investment, will be time-consuming and may be subject to delays, including because of shortage of labor, compliance with regulatory requirements or receipt of necessary regulatory approvals. In addition, building out our MMC commercial supply capabilities may cost more than we currently anticipate, and delays or problems may adversely impact our ability to provide supply for the development and commercialization of our product candidates as well as our financial condition.</w:t>
      </w:r>
    </w:p>
    <w:p>
      <w:pPr>
        <w:spacing w:after="0" w:line="151"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Moreover, before we can begin to commercially manufacture our product candidates, whether in a third-party facility or in our own facility, once established, we must obtain regulatory approval from FDA for our manufacturing process and facility in order to sell such products in the United States. A manufacturing authorization would also have to be obtained from the appropriate European Union regulatory authorities in order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154"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also called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 candidates, if approved.</w:t>
      </w:r>
    </w:p>
    <w:p>
      <w:pPr>
        <w:spacing w:after="0" w:line="15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MitoGel, VesiGel or any of our other product candidates that we may develop. Any failure or refusal to supply or any interruption in supply of the components for MitoGel, VesiGel or any other product candidates or products that we may develop could delay, prevent or impair our clinical development or commercialization efforts.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41" w:lineRule="exact"/>
        <w:rPr>
          <w:sz w:val="20"/>
          <w:szCs w:val="20"/>
          <w:color w:val="auto"/>
        </w:rPr>
      </w:pPr>
    </w:p>
    <w:p>
      <w:pPr>
        <w:ind w:left="200" w:right="280"/>
        <w:spacing w:after="0" w:line="243" w:lineRule="auto"/>
        <w:rPr>
          <w:sz w:val="20"/>
          <w:szCs w:val="20"/>
          <w:color w:val="auto"/>
        </w:rPr>
      </w:pPr>
      <w:r>
        <w:rPr>
          <w:rFonts w:ascii="Arial" w:cs="Arial" w:eastAsia="Arial" w:hAnsi="Arial"/>
          <w:sz w:val="17"/>
          <w:szCs w:val="17"/>
          <w:color w:val="auto"/>
        </w:rPr>
        <w:t>In order to market and sell our products in the European Union and other jurisdictions, we or our third-party collaborators must obtain separate marketing approvals and comply with numerous and varying regulatory</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the necessary approvals to commercialize our product candidates in any particular market.</w:t>
      </w:r>
    </w:p>
    <w:p>
      <w:pPr>
        <w:spacing w:after="0" w:line="49" w:lineRule="exact"/>
        <w:rPr>
          <w:sz w:val="20"/>
          <w:szCs w:val="20"/>
          <w:color w:val="auto"/>
        </w:rPr>
      </w:pPr>
    </w:p>
    <w:p>
      <w:pPr>
        <w:ind w:left="200" w:right="80"/>
        <w:spacing w:after="0" w:line="244" w:lineRule="auto"/>
        <w:rPr>
          <w:sz w:val="20"/>
          <w:szCs w:val="20"/>
          <w:color w:val="auto"/>
        </w:rPr>
      </w:pPr>
      <w:r>
        <w:rPr>
          <w:rFonts w:ascii="Arial" w:cs="Arial" w:eastAsia="Arial" w:hAnsi="Arial"/>
          <w:sz w:val="17"/>
          <w:szCs w:val="17"/>
          <w:b w:val="1"/>
          <w:bCs w:val="1"/>
          <w:i w:val="1"/>
          <w:iCs w:val="1"/>
          <w:color w:val="auto"/>
        </w:rPr>
        <w:t>We intend to rely on third parties and consultants to assist us in conducting our single pivotal Phase 3 clinical trial for MitoGel, our Phase 2b clinical trial for VesiGel and certain clinical trials for our other product candidates. If these third parties or consultants do not successfully carry out their contractual duties or meet expected deadlines, we may be unable to obtain regulatory approval for or commercialize MitoGel, VesiGel or any of our other product candidates.</w:t>
      </w:r>
    </w:p>
    <w:p>
      <w:pPr>
        <w:spacing w:after="0" w:line="8"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We do not have the ability to independently conduct many of our preclinical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15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and the third parties upon whom we rely are required to comply with Good Clinical Practice, or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cGMP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or healthcare privacy and security laws.</w:t>
      </w:r>
    </w:p>
    <w:p>
      <w:pPr>
        <w:spacing w:after="0" w:line="147"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into new arrangements with alternative CROs, clinical investigators or other third parties. We may be unable to enter into arrangements with alternative CROs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50" w:lineRule="exact"/>
        <w:rPr>
          <w:sz w:val="20"/>
          <w:szCs w:val="20"/>
          <w:color w:val="auto"/>
        </w:rPr>
      </w:pPr>
    </w:p>
    <w:p>
      <w:pPr>
        <w:ind w:left="200" w:right="120"/>
        <w:spacing w:after="0" w:line="261" w:lineRule="auto"/>
        <w:rPr>
          <w:sz w:val="20"/>
          <w:szCs w:val="20"/>
          <w:color w:val="auto"/>
        </w:rPr>
      </w:pPr>
      <w:r>
        <w:rPr>
          <w:rFonts w:ascii="Arial" w:cs="Arial" w:eastAsia="Arial" w:hAnsi="Arial"/>
          <w:sz w:val="17"/>
          <w:szCs w:val="17"/>
          <w:b w:val="1"/>
          <w:bCs w:val="1"/>
          <w:i w:val="1"/>
          <w:iCs w:val="1"/>
          <w:color w:val="auto"/>
        </w:rPr>
        <w:t>Our ability to market our product candidates, if approved, will be limited to certain indications. If we want to expand the indications for which we may market our products, we will need to obtain additional regulatory approvals, which may not be granted.</w:t>
      </w:r>
    </w:p>
    <w:p>
      <w:pPr>
        <w:ind w:left="200" w:right="80"/>
        <w:spacing w:after="0" w:line="234" w:lineRule="auto"/>
        <w:rPr>
          <w:sz w:val="20"/>
          <w:szCs w:val="20"/>
          <w:color w:val="auto"/>
        </w:rPr>
      </w:pPr>
      <w:r>
        <w:rPr>
          <w:rFonts w:ascii="Arial" w:cs="Arial" w:eastAsia="Arial" w:hAnsi="Arial"/>
          <w:sz w:val="17"/>
          <w:szCs w:val="17"/>
          <w:color w:val="auto"/>
        </w:rPr>
        <w:t>We are currently developing MitoGel for the treatment of low-grade UTUC, and VesiGel and Vesimune for the treatment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49" w:lineRule="exact"/>
        <w:rPr>
          <w:sz w:val="20"/>
          <w:szCs w:val="20"/>
          <w:color w:val="auto"/>
        </w:rPr>
      </w:pPr>
    </w:p>
    <w:p>
      <w:pPr>
        <w:ind w:left="200" w:right="300"/>
        <w:spacing w:after="0" w:line="250" w:lineRule="auto"/>
        <w:rPr>
          <w:sz w:val="20"/>
          <w:szCs w:val="20"/>
          <w:color w:val="auto"/>
        </w:rPr>
      </w:pPr>
      <w:r>
        <w:rPr>
          <w:rFonts w:ascii="Arial" w:cs="Arial" w:eastAsia="Arial" w:hAnsi="Arial"/>
          <w:sz w:val="17"/>
          <w:szCs w:val="17"/>
          <w:b w:val="1"/>
          <w:bCs w:val="1"/>
          <w:i w:val="1"/>
          <w:iCs w:val="1"/>
          <w:color w:val="auto"/>
        </w:rPr>
        <w:t>If our product candidates are approved for marketing, and we are found to have improperly promoted off-label uses,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3"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For example, if we receive marketing approval for MitoGel for treatment of low-grade UTUC, the first indication we are pursuing, we cannot promote the use of our product in a manner that is inconsistent with the approved label. However, physicians are able, in their independent medical judgment, to use MitoGel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5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Furthermore, the use of our products for conditions other than those approved</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the FDA may not effectively treat such conditions, which could harm our reputation in the marketplace among physicians and patients.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could be disrupted.</w:t>
      </w:r>
    </w:p>
    <w:p>
      <w:pPr>
        <w:spacing w:after="0" w:line="41"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As of December 31, 2017, we had 43 full-time employees and four part-time employees, of whom all except 11 are based in Israel. We will need to continue to expand our development, quality, sales, managerial, operational, finance, marketing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91" w:lineRule="exact"/>
        <w:rPr>
          <w:sz w:val="20"/>
          <w:szCs w:val="20"/>
          <w:color w:val="auto"/>
        </w:rPr>
      </w:pPr>
    </w:p>
    <w:p>
      <w:pPr>
        <w:ind w:left="960" w:hanging="432"/>
        <w:spacing w:after="0"/>
        <w:tabs>
          <w:tab w:leader="none" w:pos="96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manage our clinical trials effectively;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identify, recruit, retain, incentivize and integrate additional employees;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manage our internal development efforts effectively while carrying out our contractual obligations to third parties;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56"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could delay the execution of our development and strategic objectives, or disrupt our operations; and if we are not successful in commercializing our product candidates, either on our own or through collaborations with one or more third parties, our revenues will suffer and we would incur significant additional losses.</w:t>
      </w:r>
    </w:p>
    <w:p>
      <w:pPr>
        <w:spacing w:after="0" w:line="49" w:lineRule="exact"/>
        <w:rPr>
          <w:sz w:val="20"/>
          <w:szCs w:val="20"/>
          <w:color w:val="auto"/>
        </w:rPr>
      </w:pPr>
    </w:p>
    <w:p>
      <w:pPr>
        <w:ind w:left="200"/>
        <w:spacing w:after="0" w:line="261"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any of our other products we develop.</w:t>
      </w:r>
    </w:p>
    <w:p>
      <w:pPr>
        <w:ind w:left="200" w:right="20"/>
        <w:spacing w:after="0" w:line="234"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decreased demand for our product candidates or products we develop;</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injury to our reputation and significant negative media attention;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withdrawal of clinical trial participants or cancellation of clinical trials;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costs to defend the related litigation, which may be only partially recoverable even in the event of successful defenses;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a diversion of management’s time and our resources;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substantial monetary awards to trial participants or patients;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regulatory investigations, product recalls, withdrawals or labeling, marketing or promotional restrictions;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loss of revenues;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exhaustion of any available insurance and our capital resources;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inability to commercialize any product we develop.</w:t>
      </w:r>
    </w:p>
    <w:p>
      <w:pPr>
        <w:spacing w:after="0" w:line="156"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MitoGel, VesiGel or any other product candidate, we intend to expand our insurance coverage to include the commercialization of MitoGel, VesiGel or any other approved product that we may have; however, we may be unable to obtain this liability insurance on commercially reasonable terms.</w:t>
      </w:r>
    </w:p>
    <w:p>
      <w:pPr>
        <w:spacing w:after="0" w:line="49" w:lineRule="exact"/>
        <w:rPr>
          <w:sz w:val="20"/>
          <w:szCs w:val="20"/>
          <w:color w:val="auto"/>
        </w:rPr>
      </w:pPr>
    </w:p>
    <w:p>
      <w:pPr>
        <w:ind w:left="200" w:right="240"/>
        <w:spacing w:after="0" w:line="261"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successfully develop our product candidates, conduct our clinical trials and commercialize any of the products we develop.</w:t>
      </w:r>
    </w:p>
    <w:p>
      <w:pPr>
        <w:ind w:left="200" w:right="60"/>
        <w:spacing w:after="0" w:line="23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49"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Moreover, although we have established a U.S. subsidiary, we are domiciled in Israel and are predominantly based in Israel, which may make it difficult to hire necessary U.S.-based personnel.</w:t>
      </w:r>
    </w:p>
    <w:p>
      <w:pPr>
        <w:spacing w:after="0" w:line="49" w:lineRule="exact"/>
        <w:rPr>
          <w:sz w:val="20"/>
          <w:szCs w:val="20"/>
          <w:color w:val="auto"/>
        </w:rPr>
      </w:pPr>
    </w:p>
    <w:p>
      <w:pPr>
        <w:ind w:left="200" w:right="220"/>
        <w:spacing w:after="0" w:line="261" w:lineRule="auto"/>
        <w:rPr>
          <w:sz w:val="20"/>
          <w:szCs w:val="20"/>
          <w:color w:val="auto"/>
        </w:rPr>
      </w:pPr>
      <w:r>
        <w:rPr>
          <w:rFonts w:ascii="Arial" w:cs="Arial" w:eastAsia="Arial" w:hAnsi="Arial"/>
          <w:sz w:val="17"/>
          <w:szCs w:val="17"/>
          <w:b w:val="1"/>
          <w:bCs w:val="1"/>
          <w:i w:val="1"/>
          <w:iCs w:val="1"/>
          <w:color w:val="auto"/>
        </w:rPr>
        <w:t>Our internal computer systems, or those of our CROs or other contractors or consultants, may fail or suffer security breaches, which could result in a disruption of our drug development programs.</w:t>
      </w:r>
    </w:p>
    <w:p>
      <w:pPr>
        <w:ind w:left="200" w:right="80"/>
        <w:spacing w:after="0" w:line="234"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Under applicable employment laws, we may not be able to enforce covenants not to compete.</w:t>
      </w:r>
    </w:p>
    <w:p>
      <w:pPr>
        <w:spacing w:after="0" w:line="41"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49"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280"/>
        <w:spacing w:after="0" w:line="268" w:lineRule="auto"/>
        <w:rPr>
          <w:sz w:val="20"/>
          <w:szCs w:val="20"/>
          <w:color w:val="auto"/>
        </w:rPr>
      </w:pPr>
      <w:r>
        <w:rPr>
          <w:rFonts w:ascii="Arial" w:cs="Arial" w:eastAsia="Arial" w:hAnsi="Arial"/>
          <w:sz w:val="17"/>
          <w:szCs w:val="17"/>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2"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or laws that require the reporting of financial information or data accurately.</w:t>
      </w:r>
    </w:p>
    <w:p>
      <w:pPr>
        <w:spacing w:after="0" w:line="150"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civil, criminal and administrative penalties, damages, monetary fines, disgorgement, individual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8" w:lineRule="exact"/>
        <w:rPr>
          <w:sz w:val="20"/>
          <w:szCs w:val="20"/>
          <w:color w:val="auto"/>
        </w:rPr>
      </w:pPr>
    </w:p>
    <w:p>
      <w:pPr>
        <w:ind w:left="200" w:right="560"/>
        <w:spacing w:after="0" w:line="26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our third party manufacturers and suppliers must comply with environmental laws and regulations, which can be expensive and restrict how we do business.</w:t>
      </w:r>
    </w:p>
    <w:p>
      <w:pPr>
        <w:spacing w:after="0" w:line="2"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Our research and development activities and our third party subcontractors’ and suppliers’ activities involve the controlled storage, use and disposal of hazardous materials owned by us, including Mitomycin C, or MMC,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47"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Furthermore, environmental laws and regulations are complex, change frequently and have tended to become more stringent. We cannot predict the impact of such changes and cannot be certain of our future compliance.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Exchange rate fluctuations between the U.S. Dollar and the New Israeli Shekel may negatively affect our earnings.</w:t>
      </w:r>
    </w:p>
    <w:p>
      <w:pPr>
        <w:spacing w:after="0" w:line="54"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New Israeli Shekels, or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300"/>
        <w:spacing w:after="0" w:line="243" w:lineRule="auto"/>
        <w:rPr>
          <w:sz w:val="20"/>
          <w:szCs w:val="20"/>
          <w:color w:val="auto"/>
        </w:rPr>
      </w:pPr>
      <w:r>
        <w:rPr>
          <w:rFonts w:ascii="Arial" w:cs="Arial" w:eastAsia="Arial" w:hAnsi="Arial"/>
          <w:sz w:val="17"/>
          <w:szCs w:val="17"/>
          <w:color w:val="auto"/>
        </w:rPr>
        <w:t>although the dollar appreciated against the NIS in 2015 by 0.3%, the level of devaluation of the dollar against the NIS in 2016 was 1.5%. If the dollar cost of our operations in Israel increases, our dollar-measured results of operations will be adversely affected.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3" w:lineRule="exact"/>
        <w:rPr>
          <w:sz w:val="20"/>
          <w:szCs w:val="20"/>
          <w:color w:val="auto"/>
        </w:rPr>
      </w:pPr>
    </w:p>
    <w:p>
      <w:pPr>
        <w:ind w:left="200" w:right="560"/>
        <w:spacing w:after="0" w:line="261" w:lineRule="auto"/>
        <w:rPr>
          <w:sz w:val="20"/>
          <w:szCs w:val="20"/>
          <w:color w:val="auto"/>
        </w:rPr>
      </w:pPr>
      <w:r>
        <w:rPr>
          <w:rFonts w:ascii="Arial" w:cs="Arial" w:eastAsia="Arial" w:hAnsi="Arial"/>
          <w:sz w:val="17"/>
          <w:szCs w:val="17"/>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ind w:left="200" w:right="60"/>
        <w:spacing w:after="0" w:line="234" w:lineRule="auto"/>
        <w:rPr>
          <w:sz w:val="20"/>
          <w:szCs w:val="20"/>
          <w:color w:val="auto"/>
        </w:rPr>
      </w:pPr>
      <w:r>
        <w:rPr>
          <w:rFonts w:ascii="Arial" w:cs="Arial" w:eastAsia="Arial" w:hAnsi="Arial"/>
          <w:sz w:val="17"/>
          <w:szCs w:val="17"/>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w:t>
      </w:r>
    </w:p>
    <w:p>
      <w:pPr>
        <w:spacing w:after="0" w:line="150"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seek patent protection for all of our product candidates, and we have established several patent families comprised of issued patents and pending patent applications covering our proprietary RTGel formulation technology and the formulations, methods of use and manufacturing aspects of our product candidates. In the United States, we currently have 13 granted patents that are directed to protect our lead product candidates, MitoGel, VesiGel, BotuGel, Vesimune and RTGel as well as to our future product candidates that are under company research. These patents claim methods, systems, and novel compositions for treating cancer in internal cavities, in particular urinary tract cancer. These issued patents are expected to expire between 2024 and 2035. Moreover, our IP portfolio includes more than 45 patent applications filed worldwide that are directed to various methods, systems and compositions for treating cancer locally, by intravesical means. We have four pending patent applications relating to the product candidate BotuGel in the European Union, China and Israel as well as one granted patent in Russia. In addition, we have two granted patents related to Vesimune in the United States as well as two granted patents in the European Union, two granted patents in Japan and one granted patent in each of Australia, Mexico, China, Russia, and Hong Kong, each of which is expected to remain in effect until 2030. In addition to the issued patents mentioned above, our portfolio includes pending patent applications relating to Vesimune in the European Union, Hong Kong, Canada, Brazil and Israel. Moreover, we hold five granted patents in the United States as well as patent applications filed worldwide that relate to novel formulations of phospholipid drug analogs (saturated lipid conjugate compositions) for the treatment of urinary tract cancer.</w:t>
      </w:r>
    </w:p>
    <w:p>
      <w:pPr>
        <w:spacing w:after="0" w:line="152"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existing compounds and our granted patents and pending patent applications are directed to, among other things, novel formulations of these existing compounds with our RTGel. Accordingly, other parties may compete with us, for example, by independently developing or obtaining competing topical formulations that design around our patent claims, but which may contain the same active ingredients, or by seeking to invalidate our patents. Any disclosure to or misappropriation by third parties of our confidential proprietary information could enable competitors to quickly duplicate or surpass our technological achievements, eroding our competitive position in the market.</w:t>
      </w:r>
    </w:p>
    <w:p>
      <w:pPr>
        <w:spacing w:after="0" w:line="151"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However, the patent applications that we own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patents granted from them are complex, lengthy and highly technical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260"/>
        <w:spacing w:after="0" w:line="236" w:lineRule="auto"/>
        <w:rPr>
          <w:sz w:val="20"/>
          <w:szCs w:val="20"/>
          <w:color w:val="auto"/>
        </w:rPr>
      </w:pPr>
      <w:r>
        <w:rPr>
          <w:rFonts w:ascii="Arial" w:cs="Arial" w:eastAsia="Arial" w:hAnsi="Arial"/>
          <w:sz w:val="17"/>
          <w:szCs w:val="17"/>
          <w:color w:val="auto"/>
        </w:rPr>
        <w:t>documents that are often prepared under very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be subject to claims that we infringe, misappropriate or otherwise violate the intellectual property rights of third parties.</w:t>
      </w:r>
    </w:p>
    <w:p>
      <w:pPr>
        <w:spacing w:after="0" w:line="41" w:lineRule="exact"/>
        <w:rPr>
          <w:sz w:val="20"/>
          <w:szCs w:val="20"/>
          <w:color w:val="auto"/>
        </w:rPr>
      </w:pPr>
    </w:p>
    <w:p>
      <w:pPr>
        <w:ind w:left="200" w:right="300"/>
        <w:spacing w:after="0" w:line="236" w:lineRule="auto"/>
        <w:rPr>
          <w:sz w:val="20"/>
          <w:szCs w:val="20"/>
          <w:color w:val="auto"/>
        </w:rPr>
      </w:pPr>
      <w:r>
        <w:rPr>
          <w:rFonts w:ascii="Arial" w:cs="Arial" w:eastAsia="Arial" w:hAnsi="Arial"/>
          <w:sz w:val="17"/>
          <w:szCs w:val="17"/>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United States Patent and Trademark Office, or USPTO, may be subject to reexamination and other challenges.</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MitoGel, VesiGel and any of our product candidates.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receive only limited protection, or no protection, from our issued patents and patent applications.</w:t>
      </w:r>
    </w:p>
    <w:p>
      <w:pPr>
        <w:spacing w:after="0" w:line="41"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If we encounter delays in our clinical trials or regulatory approval of our product candidates, the period of time during which we could market any of our product candidates under patent protection could be reduced. Since patent applications in the United States and most other countries are confidential for a period of time after filing, we cannot be certain that we were the first to either (i) file any patent application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 or any of our product candidates or (ii) conceive and invent any of the inventions claimed in our patents or patent applications.</w:t>
      </w:r>
    </w:p>
    <w:p>
      <w:pPr>
        <w:spacing w:after="0" w:line="150"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54"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51"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49"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trade secrets may not have sufficient intellectual property protection.</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54" w:lineRule="exact"/>
        <w:rPr>
          <w:sz w:val="20"/>
          <w:szCs w:val="20"/>
          <w:color w:val="auto"/>
        </w:rPr>
      </w:pPr>
    </w:p>
    <w:p>
      <w:pPr>
        <w:ind w:left="200" w:right="140"/>
        <w:spacing w:after="0" w:line="233" w:lineRule="auto"/>
        <w:rPr>
          <w:sz w:val="20"/>
          <w:szCs w:val="20"/>
          <w:color w:val="auto"/>
        </w:rPr>
      </w:pPr>
      <w:r>
        <w:rPr>
          <w:rFonts w:ascii="Arial" w:cs="Arial" w:eastAsia="Arial" w:hAnsi="Arial"/>
          <w:sz w:val="17"/>
          <w:szCs w:val="17"/>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54"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4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For our U.S. patent applications containing a claim not entitled to priority before March 16, 2013, there is a greater level of uncertainty in the patent law. In September 2011, the Leahy-Smith America Invents Act, or the America Invents Act, or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51"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50"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3" w:lineRule="exact"/>
        <w:rPr>
          <w:sz w:val="20"/>
          <w:szCs w:val="20"/>
          <w:color w:val="auto"/>
        </w:rPr>
      </w:pPr>
    </w:p>
    <w:p>
      <w:pPr>
        <w:jc w:val="both"/>
        <w:ind w:left="200" w:right="20"/>
        <w:spacing w:after="0" w:line="25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7"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w:t>
      </w:r>
    </w:p>
    <w:p>
      <w:pPr>
        <w:spacing w:after="0" w:line="144"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Periodic maintenance fees and various other governmental fees on any issued patent and/or pending patent applications are due to be paid to the USPTO and foreign patent agencies in several stages over the lifetime of a</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4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50"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49"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are unable to protect our trademarks from infringement, our business prospects may be harmed.</w:t>
      </w:r>
    </w:p>
    <w:p>
      <w:pPr>
        <w:spacing w:after="0" w:line="41"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We own trademarks that identify MitoGel, VesiGel and Vesimune and have registered these trademarks in the United States and Israel.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49" w:lineRule="exact"/>
        <w:rPr>
          <w:sz w:val="20"/>
          <w:szCs w:val="20"/>
          <w:color w:val="auto"/>
        </w:rPr>
      </w:pPr>
    </w:p>
    <w:p>
      <w:pPr>
        <w:ind w:left="200" w:right="400"/>
        <w:spacing w:after="0" w:line="261"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or the patents of our licensors, which could be expensive and time consuming.</w:t>
      </w:r>
    </w:p>
    <w:p>
      <w:pPr>
        <w:ind w:left="200" w:right="40"/>
        <w:spacing w:after="0" w:line="236" w:lineRule="auto"/>
        <w:rPr>
          <w:sz w:val="20"/>
          <w:szCs w:val="20"/>
          <w:color w:val="auto"/>
        </w:rPr>
      </w:pPr>
      <w:r>
        <w:rPr>
          <w:rFonts w:ascii="Arial" w:cs="Arial" w:eastAsia="Arial" w:hAnsi="Arial"/>
          <w:sz w:val="17"/>
          <w:szCs w:val="17"/>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Generic 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pacing w:after="0" w:line="148"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49"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 xml:space="preserve">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post grant review. The implementation of these procedures brings uncertainty to the possibility of challenges to our patents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future, including challenges by competitors who perceive our patents as blocking entry into the market for their products, and the outcome of such challenges.</w:t>
      </w:r>
    </w:p>
    <w:p>
      <w:pPr>
        <w:spacing w:after="0" w:line="14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administration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50" w:lineRule="exact"/>
        <w:rPr>
          <w:sz w:val="20"/>
          <w:szCs w:val="20"/>
          <w:color w:val="auto"/>
        </w:rPr>
      </w:pPr>
    </w:p>
    <w:p>
      <w:pPr>
        <w:ind w:left="200" w:right="380"/>
        <w:spacing w:after="0" w:line="238" w:lineRule="auto"/>
        <w:rPr>
          <w:sz w:val="20"/>
          <w:szCs w:val="20"/>
          <w:color w:val="auto"/>
        </w:rPr>
      </w:pPr>
      <w:r>
        <w:rPr>
          <w:rFonts w:ascii="Arial" w:cs="Arial" w:eastAsia="Arial" w:hAnsi="Arial"/>
          <w:sz w:val="17"/>
          <w:szCs w:val="17"/>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48" w:lineRule="exact"/>
        <w:rPr>
          <w:sz w:val="20"/>
          <w:szCs w:val="20"/>
          <w:color w:val="auto"/>
        </w:rPr>
      </w:pPr>
    </w:p>
    <w:p>
      <w:pPr>
        <w:ind w:left="200" w:right="540"/>
        <w:spacing w:after="0" w:line="243" w:lineRule="auto"/>
        <w:rPr>
          <w:sz w:val="20"/>
          <w:szCs w:val="20"/>
          <w:color w:val="auto"/>
        </w:rPr>
      </w:pPr>
      <w:r>
        <w:rPr>
          <w:rFonts w:ascii="Arial" w:cs="Arial" w:eastAsia="Arial" w:hAnsi="Arial"/>
          <w:sz w:val="17"/>
          <w:szCs w:val="17"/>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44"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49" w:lineRule="exact"/>
        <w:rPr>
          <w:sz w:val="20"/>
          <w:szCs w:val="20"/>
          <w:color w:val="auto"/>
        </w:rPr>
      </w:pPr>
    </w:p>
    <w:p>
      <w:pPr>
        <w:ind w:left="200" w:right="220"/>
        <w:spacing w:after="0" w:line="261"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which could result in litigation and adversely affect our business.</w:t>
      </w:r>
    </w:p>
    <w:p>
      <w:pPr>
        <w:ind w:left="200" w:right="60"/>
        <w:spacing w:after="0" w:line="235"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or the Patent Law, inventions conceived by an employee during the scope of his or her employment with a company are regarded as “service inventions.”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all of our employees pursuant to which they waive their right to special remuneration for service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360"/>
        <w:spacing w:after="0" w:line="243" w:lineRule="auto"/>
        <w:rPr>
          <w:sz w:val="20"/>
          <w:szCs w:val="20"/>
          <w:color w:val="auto"/>
        </w:rPr>
      </w:pPr>
      <w:r>
        <w:rPr>
          <w:rFonts w:ascii="Arial" w:cs="Arial" w:eastAsia="Arial" w:hAnsi="Arial"/>
          <w:sz w:val="17"/>
          <w:szCs w:val="17"/>
          <w:color w:val="auto"/>
        </w:rPr>
        <w:t>inventions created in the scope of their employment or engagement and agree that any such inventions are owned exclusively by us, we may face claims by employees demanding remuneration beyond their regular salary and benefits.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Third-party claims alleging intellectual property infringement may adversely affect our business.</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for example, the intellectual property rights of competitors. Our research, development and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154" w:lineRule="exact"/>
        <w:rPr>
          <w:sz w:val="20"/>
          <w:szCs w:val="20"/>
          <w:color w:val="auto"/>
        </w:rPr>
      </w:pPr>
    </w:p>
    <w:p>
      <w:pPr>
        <w:ind w:left="200"/>
        <w:spacing w:after="0" w:line="232" w:lineRule="auto"/>
        <w:rPr>
          <w:sz w:val="20"/>
          <w:szCs w:val="20"/>
          <w:color w:val="auto"/>
        </w:rPr>
      </w:pPr>
      <w:r>
        <w:rPr>
          <w:rFonts w:ascii="Arial" w:cs="Arial" w:eastAsia="Arial" w:hAnsi="Arial"/>
          <w:sz w:val="17"/>
          <w:szCs w:val="17"/>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w:t>
      </w:r>
    </w:p>
    <w:p>
      <w:pPr>
        <w:spacing w:after="0" w:line="1" w:lineRule="exact"/>
        <w:rPr>
          <w:sz w:val="20"/>
          <w:szCs w:val="20"/>
          <w:color w:val="auto"/>
        </w:rPr>
      </w:pPr>
    </w:p>
    <w:p>
      <w:pPr>
        <w:ind w:left="200" w:right="60" w:firstLine="4"/>
        <w:spacing w:after="0" w:line="234" w:lineRule="auto"/>
        <w:tabs>
          <w:tab w:leader="none" w:pos="4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redesign any infringing products. Redesigning any infringing products may be impossible or require substantial time and monetary expenditure. Further, we cannot predict whether any required license would be available at all or whether it would be available on commercially reasonable terms. In the event that we could not obtain a license, we may be unable to further develop and commercialize our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51"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49" w:lineRule="exact"/>
        <w:rPr>
          <w:sz w:val="20"/>
          <w:szCs w:val="20"/>
          <w:color w:val="auto"/>
        </w:rPr>
      </w:pPr>
    </w:p>
    <w:p>
      <w:pPr>
        <w:ind w:left="200" w:right="900"/>
        <w:spacing w:after="0" w:line="261"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w:t>
      </w:r>
    </w:p>
    <w:p>
      <w:pPr>
        <w:ind w:left="200" w:right="20"/>
        <w:spacing w:after="0" w:line="234"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200" w:right="20"/>
        <w:spacing w:after="0" w:line="244" w:lineRule="auto"/>
        <w:rPr>
          <w:sz w:val="20"/>
          <w:szCs w:val="20"/>
          <w:color w:val="auto"/>
        </w:rPr>
      </w:pPr>
      <w:r>
        <w:rPr>
          <w:rFonts w:ascii="Arial" w:cs="Arial" w:eastAsia="Arial" w:hAnsi="Arial"/>
          <w:sz w:val="17"/>
          <w:szCs w:val="17"/>
          <w:b w:val="1"/>
          <w:bCs w:val="1"/>
          <w:i w:val="1"/>
          <w:iCs w:val="1"/>
          <w:color w:val="auto"/>
        </w:rPr>
        <w:t>If the FDA does not conclude that MitoGel, VesiGel, or our other product candidates satisfy the requirements under Section 505(b)(2) of the Federal Food Drug and Cosmetic Act, or Section 505(b)(2), or if the requirements for such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commenced a single pivotal Phase 3 clinical trial for MitoGel and expect to commence a Phase 2b clinical trial of VesiGel under the FDA’s Section 505(b)(2) regulatory pathway. The Drug Price Competition and Patent Term Restoration Act of 1984, also known as the Hatch-Waxman Act, added Section 505(b)(2) to the Federal Food, Drug and Cosmetic Act.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MitoGel, VesiGel and our other product candidates by potentially decreasing the amount of preclinical and clinical data that we would need to generate in order to obtain FDA approval. However, while we believe that our product candidates are reformulations of existing drugs or biologics and, therefore, will not be treated as new chemical entities, or NCEs, the submission of an NDA under the Section 505(b)(2) or similar regulatory pathway does not preclude the FDA from determining that the product candidate that is the subject of such submission is an NCE and therefore not eligible for review under such regulatory pathway.</w:t>
      </w:r>
    </w:p>
    <w:p>
      <w:pPr>
        <w:spacing w:after="0" w:line="148" w:lineRule="exact"/>
        <w:rPr>
          <w:sz w:val="20"/>
          <w:szCs w:val="20"/>
          <w:color w:val="auto"/>
        </w:rPr>
      </w:pPr>
    </w:p>
    <w:p>
      <w:pPr>
        <w:ind w:left="200" w:right="240"/>
        <w:spacing w:after="0" w:line="234"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 Section 505(b)(2) or similar regulatory pathway, our product candidates may not receive the requisite approvals for commercialization.</w:t>
      </w:r>
    </w:p>
    <w:p>
      <w:pPr>
        <w:spacing w:after="0" w:line="151" w:lineRule="exact"/>
        <w:rPr>
          <w:sz w:val="20"/>
          <w:szCs w:val="20"/>
          <w:color w:val="auto"/>
        </w:rPr>
      </w:pPr>
    </w:p>
    <w:p>
      <w:pPr>
        <w:ind w:left="200" w:right="40"/>
        <w:spacing w:after="0" w:line="232"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w:t>
      </w:r>
    </w:p>
    <w:p>
      <w:pPr>
        <w:spacing w:after="0" w:line="1" w:lineRule="exact"/>
        <w:rPr>
          <w:sz w:val="20"/>
          <w:szCs w:val="20"/>
          <w:color w:val="auto"/>
        </w:rPr>
      </w:pPr>
    </w:p>
    <w:p>
      <w:pPr>
        <w:ind w:left="200"/>
        <w:spacing w:after="0" w:line="232" w:lineRule="auto"/>
        <w:rPr>
          <w:sz w:val="20"/>
          <w:szCs w:val="20"/>
          <w:color w:val="auto"/>
        </w:rPr>
      </w:pPr>
      <w:r>
        <w:rPr>
          <w:rFonts w:ascii="Arial" w:cs="Arial" w:eastAsia="Arial" w:hAnsi="Arial"/>
          <w:sz w:val="17"/>
          <w:szCs w:val="17"/>
          <w:color w:val="auto"/>
        </w:rPr>
        <w:t>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w:t>
      </w:r>
    </w:p>
    <w:p>
      <w:pPr>
        <w:spacing w:after="0" w:line="1" w:lineRule="exact"/>
        <w:rPr>
          <w:sz w:val="20"/>
          <w:szCs w:val="20"/>
          <w:color w:val="auto"/>
        </w:rPr>
      </w:pPr>
    </w:p>
    <w:p>
      <w:pPr>
        <w:ind w:left="200" w:right="580" w:firstLine="4"/>
        <w:spacing w:after="0" w:line="243" w:lineRule="auto"/>
        <w:tabs>
          <w:tab w:leader="none" w:pos="4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pathway for our product candidates, there is no guarantee this would ultimately lead to faster product development or earlier approval.</w:t>
      </w:r>
    </w:p>
    <w:p>
      <w:pPr>
        <w:spacing w:after="0" w:line="144"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Moreover, even if these product candidates are approved under the Section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right="100"/>
        <w:spacing w:after="0" w:line="268" w:lineRule="auto"/>
        <w:rPr>
          <w:sz w:val="20"/>
          <w:szCs w:val="20"/>
          <w:color w:val="auto"/>
        </w:rPr>
      </w:pPr>
      <w:r>
        <w:rPr>
          <w:rFonts w:ascii="Arial" w:cs="Arial" w:eastAsia="Arial" w:hAnsi="Arial"/>
          <w:sz w:val="17"/>
          <w:szCs w:val="17"/>
          <w:b w:val="1"/>
          <w:bCs w:val="1"/>
          <w:i w:val="1"/>
          <w:iCs w:val="1"/>
          <w:color w:val="auto"/>
        </w:rPr>
        <w:t>Fast track designation for one or more of our product candidates may not actually lead to a faster development or regulatory review or approval process.</w:t>
      </w:r>
    </w:p>
    <w:p>
      <w:pPr>
        <w:spacing w:after="0" w:line="2"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In August 2017, we received fast track designation for MitoGel for the treatment of UTUC.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MitoGel for the treatment of UTUC,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31" w:lineRule="exact"/>
        <w:rPr>
          <w:sz w:val="20"/>
          <w:szCs w:val="20"/>
          <w:color w:val="auto"/>
        </w:rPr>
      </w:pPr>
    </w:p>
    <w:p>
      <w:pPr>
        <w:ind w:left="200" w:right="20"/>
        <w:spacing w:after="0" w:line="244" w:lineRule="auto"/>
        <w:rPr>
          <w:sz w:val="20"/>
          <w:szCs w:val="20"/>
          <w:color w:val="auto"/>
        </w:rPr>
      </w:pPr>
      <w:r>
        <w:rPr>
          <w:rFonts w:ascii="Arial" w:cs="Arial" w:eastAsia="Arial" w:hAnsi="Arial"/>
          <w:sz w:val="17"/>
          <w:szCs w:val="17"/>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22"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50"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and the Health Care and Education Affordability Reconciliation Act of 2010, or collectively, the ACA, a law intended, among other things, to broaden access to health insurance, improve quality of care, and reduce or constrain the growth of healthcare spending.</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Provisions of the ACA relevant to the pharmaceutical industry include the following:</w:t>
      </w:r>
    </w:p>
    <w:p>
      <w:pPr>
        <w:spacing w:after="0" w:line="196" w:lineRule="exact"/>
        <w:rPr>
          <w:sz w:val="20"/>
          <w:szCs w:val="20"/>
          <w:color w:val="auto"/>
        </w:rPr>
      </w:pPr>
    </w:p>
    <w:p>
      <w:pPr>
        <w:ind w:left="960" w:hanging="432"/>
        <w:spacing w:after="0" w:line="238" w:lineRule="auto"/>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not including orphan drug sales;</w:t>
      </w:r>
    </w:p>
    <w:p>
      <w:pPr>
        <w:spacing w:after="0" w:line="66" w:lineRule="exact"/>
        <w:rPr>
          <w:rFonts w:ascii="MS PGothic" w:cs="MS PGothic" w:eastAsia="MS PGothic" w:hAnsi="MS PGothic"/>
          <w:sz w:val="13"/>
          <w:szCs w:val="13"/>
          <w:color w:val="auto"/>
        </w:rPr>
      </w:pPr>
    </w:p>
    <w:p>
      <w:pPr>
        <w:ind w:left="960" w:right="60" w:hanging="432"/>
        <w:spacing w:after="0" w:line="243" w:lineRule="auto"/>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63" w:lineRule="exact"/>
        <w:rPr>
          <w:rFonts w:ascii="MS PGothic" w:cs="MS PGothic" w:eastAsia="MS PGothic" w:hAnsi="MS PGothic"/>
          <w:sz w:val="13"/>
          <w:szCs w:val="13"/>
          <w:color w:val="auto"/>
        </w:rPr>
      </w:pPr>
    </w:p>
    <w:p>
      <w:pPr>
        <w:ind w:left="960" w:right="360" w:hanging="432"/>
        <w:spacing w:after="0" w:line="238" w:lineRule="auto"/>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 new Medicare Part D coverage gap discount program, in which manufacturers must agree to offer 50% point-of-sale discounts on negotiated prices of applicable brand drugs to eligible beneficiaries during their coverage gap period, as a condition for the manufacturer’s outpatient drugs to be covered under Medicare Part D;</w:t>
      </w:r>
    </w:p>
    <w:p>
      <w:pPr>
        <w:spacing w:after="0" w:line="66" w:lineRule="exact"/>
        <w:rPr>
          <w:rFonts w:ascii="MS PGothic" w:cs="MS PGothic" w:eastAsia="MS PGothic" w:hAnsi="MS PGothic"/>
          <w:sz w:val="13"/>
          <w:szCs w:val="13"/>
          <w:color w:val="auto"/>
        </w:rPr>
      </w:pPr>
    </w:p>
    <w:p>
      <w:pPr>
        <w:ind w:left="960" w:right="160" w:hanging="432"/>
        <w:spacing w:after="0" w:line="243" w:lineRule="auto"/>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63" w:lineRule="exact"/>
        <w:rPr>
          <w:rFonts w:ascii="MS PGothic" w:cs="MS PGothic" w:eastAsia="MS PGothic" w:hAnsi="MS PGothic"/>
          <w:sz w:val="13"/>
          <w:szCs w:val="13"/>
          <w:color w:val="auto"/>
        </w:rPr>
      </w:pPr>
    </w:p>
    <w:p>
      <w:pPr>
        <w:ind w:left="960" w:right="280" w:hanging="432"/>
        <w:spacing w:after="0" w:line="238" w:lineRule="auto"/>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66" w:lineRule="exact"/>
        <w:rPr>
          <w:rFonts w:ascii="MS PGothic" w:cs="MS PGothic" w:eastAsia="MS PGothic" w:hAnsi="MS PGothic"/>
          <w:sz w:val="13"/>
          <w:szCs w:val="13"/>
          <w:color w:val="auto"/>
        </w:rPr>
      </w:pPr>
    </w:p>
    <w:p>
      <w:pPr>
        <w:ind w:left="960" w:hanging="432"/>
        <w:spacing w:after="0"/>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74" w:lineRule="exact"/>
        <w:rPr>
          <w:rFonts w:ascii="MS PGothic" w:cs="MS PGothic" w:eastAsia="MS PGothic" w:hAnsi="MS PGothic"/>
          <w:sz w:val="13"/>
          <w:szCs w:val="13"/>
          <w:color w:val="auto"/>
        </w:rPr>
      </w:pPr>
    </w:p>
    <w:p>
      <w:pPr>
        <w:jc w:val="both"/>
        <w:ind w:left="960" w:right="160" w:hanging="432"/>
        <w:spacing w:after="0" w:line="238" w:lineRule="auto"/>
        <w:tabs>
          <w:tab w:leader="none" w:pos="96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new requirements to report annually certain financial arrangements with physicians and teaching hospitals; as defined in the ACA and its implementing regulations, including reporting any payment or “transfer of value” provided to physicians and teaching hospitals and any ownership and investment interests held by physicians and their immediate family members during the preceding calendar year;</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right="220" w:hanging="432"/>
        <w:spacing w:after="0" w:line="243" w:lineRule="auto"/>
        <w:tabs>
          <w:tab w:leader="none" w:pos="96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expansion of healthcare fraud and abuse laws, including the federal civil False Claims Act and the federal Anti-Kickback Statute, new government investigative powers and enhanced penalties for noncompliance; and</w:t>
      </w:r>
    </w:p>
    <w:p>
      <w:pPr>
        <w:spacing w:after="0" w:line="63" w:lineRule="exact"/>
        <w:rPr>
          <w:rFonts w:ascii="MS PGothic" w:cs="MS PGothic" w:eastAsia="MS PGothic" w:hAnsi="MS PGothic"/>
          <w:sz w:val="13"/>
          <w:szCs w:val="13"/>
          <w:color w:val="auto"/>
        </w:rPr>
      </w:pPr>
    </w:p>
    <w:p>
      <w:pPr>
        <w:ind w:left="960" w:right="300" w:hanging="432"/>
        <w:spacing w:after="0" w:line="243" w:lineRule="auto"/>
        <w:tabs>
          <w:tab w:leader="none" w:pos="96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There have been judicial and Congressional challenges to certain aspects of the ACA. As a result, there have been delays in the implementation of, and action taken to repeal or replace, certain aspects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The recently enacted Tax Cuts and the Jobs Act includes a provision that repeals, effective January 1, 2019, the tax-based shared responsibility payment imposed by the ACA on certain individuals who fail to maintain qualifying health coverage for all or part of a year. We continue to evaluate how the ACA and recent efforts to repeal and replace or limit the implementation of the ACA will impact our business.</w:t>
      </w:r>
    </w:p>
    <w:p>
      <w:pPr>
        <w:spacing w:after="0" w:line="147" w:lineRule="exact"/>
        <w:rPr>
          <w:sz w:val="20"/>
          <w:szCs w:val="20"/>
          <w:color w:val="auto"/>
        </w:rPr>
      </w:pPr>
    </w:p>
    <w:p>
      <w:pPr>
        <w:ind w:left="200" w:right="100"/>
        <w:spacing w:after="0" w:line="23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an amount greater than $1.2 trillion for the years 2013 through 2021, triggering the legislation’s automatic reduction to several government programs. This includes aggregate reductions to Medicare payments to healthcare providers of up to 2.0% per fiscal year, which started in 2013 and, following passage of the Bipartisan Budget Act of 2015, will stay in effect through 2025 unless additional Congressional action is taken.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there have been several recent U.S.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Further, the U.S. House of Representatives formed an Affordable Drug Pricing Task Force to advance legislation intended to control pharmaceutical drug costs and investigate pharmaceutical drug pricing, and the U.S. Senate requested information from certain pharmaceutical companies in connection with an investigation into pharmaceutical drug pricing practices.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50"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If we obtain regulatory approval and commercialization of MitoGel, VesiGel or any of our other product candidates, 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MitoGel, VesiGel or our other product candidates may be.</w:t>
      </w:r>
    </w:p>
    <w:p>
      <w:pPr>
        <w:spacing w:after="0" w:line="148" w:lineRule="exact"/>
        <w:rPr>
          <w:sz w:val="20"/>
          <w:szCs w:val="20"/>
          <w:color w:val="auto"/>
        </w:rPr>
      </w:pPr>
    </w:p>
    <w:p>
      <w:pPr>
        <w:ind w:left="200" w:right="280"/>
        <w:spacing w:after="0" w:line="236" w:lineRule="auto"/>
        <w:rPr>
          <w:sz w:val="20"/>
          <w:szCs w:val="20"/>
          <w:color w:val="auto"/>
        </w:rPr>
      </w:pPr>
      <w:r>
        <w:rPr>
          <w:rFonts w:ascii="Arial" w:cs="Arial" w:eastAsia="Arial" w:hAnsi="Arial"/>
          <w:sz w:val="17"/>
          <w:szCs w:val="17"/>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60"/>
        <w:spacing w:after="0" w:line="243" w:lineRule="auto"/>
        <w:rPr>
          <w:sz w:val="20"/>
          <w:szCs w:val="20"/>
          <w:color w:val="auto"/>
        </w:rPr>
      </w:pPr>
      <w:r>
        <w:rPr>
          <w:rFonts w:ascii="Arial" w:cs="Arial" w:eastAsia="Arial" w:hAnsi="Arial"/>
          <w:sz w:val="17"/>
          <w:szCs w:val="17"/>
          <w:color w:val="auto"/>
        </w:rPr>
        <w:t>and market our products. In addition, we believe the increasing emphasis on managed care in the United States has and will continue to put pressure on the price and usage of pharmaceutical products, which may adversely impact product sales.</w:t>
      </w:r>
    </w:p>
    <w:p>
      <w:pPr>
        <w:spacing w:after="0" w:line="43" w:lineRule="exact"/>
        <w:rPr>
          <w:sz w:val="20"/>
          <w:szCs w:val="20"/>
          <w:color w:val="auto"/>
        </w:rPr>
      </w:pPr>
    </w:p>
    <w:p>
      <w:pPr>
        <w:jc w:val="both"/>
        <w:ind w:left="200" w:right="120"/>
        <w:spacing w:after="0" w:line="250"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3"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Under the Orphan Drug Act of 1983,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48"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150"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Although the FDA has granted MitoGel orphan drug designation for the treatment of UTUC and to Vesimune for treatment of CIS,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49" w:lineRule="exact"/>
        <w:rPr>
          <w:sz w:val="20"/>
          <w:szCs w:val="20"/>
          <w:color w:val="auto"/>
        </w:rPr>
      </w:pPr>
    </w:p>
    <w:p>
      <w:pPr>
        <w:jc w:val="both"/>
        <w:ind w:left="200"/>
        <w:spacing w:after="0" w:line="261" w:lineRule="auto"/>
        <w:rPr>
          <w:sz w:val="20"/>
          <w:szCs w:val="20"/>
          <w:color w:val="auto"/>
        </w:rPr>
      </w:pPr>
      <w:r>
        <w:rPr>
          <w:rFonts w:ascii="Arial" w:cs="Arial" w:eastAsia="Arial" w:hAnsi="Arial"/>
          <w:sz w:val="17"/>
          <w:szCs w:val="17"/>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ind w:left="200" w:right="940"/>
        <w:spacing w:after="0" w:line="243"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trial costs, tax advantages, user-fee waivers and market exclusivity for certain periods of time.</w:t>
      </w:r>
    </w:p>
    <w:p>
      <w:pPr>
        <w:spacing w:after="0" w:line="144"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MitoGel and Vesimune have been granted Orphan Drug Designation for the treatment of UTUC and CIS, respectively, in the United States. Even if we obtain Orphan Drug Designation for our other product candidates, we may not be the first to obtain regulatory approval for any particular orphan indication due to the uncertainties associated with developing biopharmaceutical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53" w:lineRule="exact"/>
        <w:rPr>
          <w:sz w:val="20"/>
          <w:szCs w:val="20"/>
          <w:color w:val="auto"/>
        </w:rPr>
      </w:pPr>
    </w:p>
    <w:p>
      <w:pPr>
        <w:ind w:left="200"/>
        <w:spacing w:after="0" w:line="250" w:lineRule="auto"/>
        <w:rPr>
          <w:sz w:val="20"/>
          <w:szCs w:val="20"/>
          <w:color w:val="auto"/>
        </w:rPr>
      </w:pPr>
      <w:r>
        <w:rPr>
          <w:rFonts w:ascii="Arial" w:cs="Arial" w:eastAsia="Arial" w:hAnsi="Arial"/>
          <w:sz w:val="17"/>
          <w:szCs w:val="17"/>
          <w:b w:val="1"/>
          <w:bCs w:val="1"/>
          <w:i w:val="1"/>
          <w:iCs w:val="1"/>
          <w:color w:val="auto"/>
        </w:rPr>
        <w:t>Even if we receive regulatory approval for our product candidates, we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3"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If and when regulatory approval has been granted, our product candidates or any approved product will be subject to continual regulatory review by the FDA and/or non-U.S. regulatory authorities. Additionally, any product candidates, if approved,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also be subject to limitations on the approved indications for which the product may be marketed or to the conditions of approval, or contain requirements for potentially costly post-marketing testing, including Phase 4 clinical trials, and surveillance to monitor the safety and efficacy of the product. In addition, if the applicable regulatory agency approves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151"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problems with our third-party manufacturers’ processes, or failure to comply with regulatory requirements, may result in, among other things:</w:t>
      </w:r>
    </w:p>
    <w:p>
      <w:pPr>
        <w:spacing w:after="0" w:line="185" w:lineRule="exact"/>
        <w:rPr>
          <w:sz w:val="20"/>
          <w:szCs w:val="20"/>
          <w:color w:val="auto"/>
        </w:rPr>
      </w:pPr>
    </w:p>
    <w:p>
      <w:pPr>
        <w:ind w:left="960" w:right="400" w:hanging="432"/>
        <w:spacing w:after="0" w:line="243" w:lineRule="auto"/>
        <w:tabs>
          <w:tab w:leader="none" w:pos="96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product, withdrawal of the product from the market, or voluntary or mandatory product recalls;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fines, warnings letters or holds on clinical trials</w:t>
      </w:r>
    </w:p>
    <w:p>
      <w:pPr>
        <w:spacing w:after="0" w:line="34" w:lineRule="exact"/>
        <w:rPr>
          <w:rFonts w:ascii="MS PGothic" w:cs="MS PGothic" w:eastAsia="MS PGothic" w:hAnsi="MS PGothic"/>
          <w:sz w:val="13"/>
          <w:szCs w:val="13"/>
          <w:color w:val="auto"/>
        </w:rPr>
      </w:pPr>
    </w:p>
    <w:p>
      <w:pPr>
        <w:ind w:left="960" w:right="60" w:hanging="432"/>
        <w:spacing w:after="0" w:line="243" w:lineRule="auto"/>
        <w:tabs>
          <w:tab w:leader="none" w:pos="96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refusal by the FDA to approve pending applications or supplements to approved applications filed by us, or suspension or revocation of product license approvals; and</w:t>
      </w:r>
    </w:p>
    <w:p>
      <w:pPr>
        <w:spacing w:after="0" w:line="22" w:lineRule="exact"/>
        <w:rPr>
          <w:rFonts w:ascii="MS PGothic" w:cs="MS PGothic" w:eastAsia="MS PGothic" w:hAnsi="MS PGothic"/>
          <w:sz w:val="13"/>
          <w:szCs w:val="13"/>
          <w:color w:val="auto"/>
        </w:rPr>
      </w:pPr>
    </w:p>
    <w:p>
      <w:pPr>
        <w:ind w:left="960" w:right="300" w:hanging="432"/>
        <w:spacing w:after="0" w:line="243" w:lineRule="auto"/>
        <w:tabs>
          <w:tab w:leader="none" w:pos="96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to permit the import or export of products; and injunctions or the imposition of civil or criminal penalties.</w:t>
      </w:r>
    </w:p>
    <w:p>
      <w:pPr>
        <w:spacing w:after="0" w:line="144"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49" w:lineRule="exact"/>
        <w:rPr>
          <w:sz w:val="20"/>
          <w:szCs w:val="20"/>
          <w:color w:val="auto"/>
        </w:rPr>
      </w:pPr>
    </w:p>
    <w:p>
      <w:pPr>
        <w:ind w:left="200" w:right="240"/>
        <w:spacing w:after="0" w:line="244" w:lineRule="auto"/>
        <w:rPr>
          <w:sz w:val="20"/>
          <w:szCs w:val="20"/>
          <w:color w:val="auto"/>
        </w:rPr>
      </w:pPr>
      <w:r>
        <w:rPr>
          <w:rFonts w:ascii="Arial" w:cs="Arial" w:eastAsia="Arial" w:hAnsi="Arial"/>
          <w:sz w:val="17"/>
          <w:szCs w:val="17"/>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penalties.</w:t>
      </w:r>
    </w:p>
    <w:p>
      <w:pPr>
        <w:spacing w:after="0" w:line="8"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We may currently be or may become subject to various U.S. federal and state health care laws, including those intended to prevent health care fraud and abuse.</w:t>
      </w:r>
    </w:p>
    <w:p>
      <w:pPr>
        <w:spacing w:after="0" w:line="144"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 Remuneration has been broadly defined to include anything of value, including, but not limited to, cash, improper discounts, and free or reduced price items and services.</w:t>
      </w:r>
    </w:p>
    <w:p>
      <w:pPr>
        <w:spacing w:after="0" w:line="150"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Federal false claims laws, including the federal False Claims Act, or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pacing w:after="0" w:line="148"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Many states have similar fraud and abuse statutes and regulations that may be broader in scope and may apply regardless of payor, in addition to items and services reimbursed under Medicaid and other state programs. State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and federal authorities have aggressively targeted medical technology companies for, among other things, alleged violations of these anti-fraud statutes, based on unlawful financial inducements paid to prescribers and beneficiaries, as well as impermissible promotional practices, including certain marketing arrangements that rely on volume-based pricing and off-label promotion of FDA-approved products.</w:t>
      </w:r>
    </w:p>
    <w:p>
      <w:pPr>
        <w:spacing w:after="0" w:line="148"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The federal Health Insurance Portability and Accountability Act of 1996, or HIPAA, among other things, imposes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149"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Additionally, HIPAA, as amended by the Health Information Technology for Economic and Clinical Health Act, or HITECH, and their implementing regulations, impose, among other things, specified requirements on covered entities and their business associates relating to the privacy and,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47" w:lineRule="exact"/>
        <w:rPr>
          <w:sz w:val="20"/>
          <w:szCs w:val="20"/>
          <w:color w:val="auto"/>
        </w:rPr>
      </w:pPr>
    </w:p>
    <w:p>
      <w:pPr>
        <w:ind w:left="200" w:right="100"/>
        <w:spacing w:after="0" w:line="234" w:lineRule="auto"/>
        <w:rPr>
          <w:sz w:val="20"/>
          <w:szCs w:val="20"/>
          <w:color w:val="auto"/>
        </w:rPr>
      </w:pPr>
      <w:r>
        <w:rPr>
          <w:rFonts w:ascii="Arial" w:cs="Arial" w:eastAsia="Arial" w:hAnsi="Arial"/>
          <w:sz w:val="17"/>
          <w:szCs w:val="17"/>
          <w:color w:val="auto"/>
        </w:rPr>
        <w:t>Our operations will also be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the Centers for Medicare &amp; Medicaid Services, or CMS, an agency within the U.S. Department of Health and Human Services, or HHS, information related to payments and other transfers of value provided to physicians and teaching hospitals and certain ownership and investment interests held by physicians and their immediate family members. We may also be subject to state laws that require drug manufacturers to report information related to payments and other transfers of value to physicians and other healthcare providers or marketing expenditures, and/or state laws that require pharmaceutical companies to comply with the pharmaceutical industry’s voluntary compliance guidelines and the relevant compliance guidelines promulgated by the federal government.</w:t>
      </w:r>
    </w:p>
    <w:p>
      <w:pPr>
        <w:spacing w:after="0" w:line="148"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marketing expenditures or payments and other transfers of value to physicians and other healthcare providers. If any of our business activities, including but not limited to our relationships with healthcare providers, are found to violate any of the aforementioned laws, we may be subject to administrative, civil and/or criminal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147"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Also, the U.S. Foreign Corrupt Practices Act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620"/>
        <w:spacing w:after="0" w:line="243" w:lineRule="auto"/>
        <w:rPr>
          <w:sz w:val="20"/>
          <w:szCs w:val="20"/>
          <w:color w:val="auto"/>
        </w:rPr>
      </w:pPr>
      <w:r>
        <w:rPr>
          <w:rFonts w:ascii="Arial" w:cs="Arial" w:eastAsia="Arial" w:hAnsi="Arial"/>
          <w:sz w:val="17"/>
          <w:szCs w:val="17"/>
          <w:color w:val="auto"/>
        </w:rPr>
        <w:t>Violations of these laws, or allegations of such violations, could result in fines, penalties or prosecution and have a negative impact on our business, results of operations and reputation.</w:t>
      </w:r>
    </w:p>
    <w:p>
      <w:pPr>
        <w:spacing w:after="0" w:line="43" w:lineRule="exact"/>
        <w:rPr>
          <w:sz w:val="20"/>
          <w:szCs w:val="20"/>
          <w:color w:val="auto"/>
        </w:rPr>
      </w:pPr>
    </w:p>
    <w:p>
      <w:pPr>
        <w:ind w:left="200"/>
        <w:spacing w:after="0" w:line="250"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3"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92" w:lineRule="exact"/>
        <w:rPr>
          <w:sz w:val="20"/>
          <w:szCs w:val="20"/>
          <w:color w:val="auto"/>
        </w:rPr>
      </w:pPr>
    </w:p>
    <w:p>
      <w:pPr>
        <w:ind w:left="960" w:hanging="432"/>
        <w:spacing w:after="0"/>
        <w:tabs>
          <w:tab w:leader="none" w:pos="96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changes to manufacturing methods;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recall, replacement, or discontinuance of one or more of our products;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additional recordkeeping.</w:t>
      </w:r>
    </w:p>
    <w:p>
      <w:pPr>
        <w:spacing w:after="0" w:line="156"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47" w:lineRule="exact"/>
        <w:rPr>
          <w:sz w:val="20"/>
          <w:szCs w:val="20"/>
          <w:color w:val="auto"/>
        </w:rPr>
      </w:pPr>
    </w:p>
    <w:p>
      <w:pPr>
        <w:ind w:left="200" w:right="140"/>
        <w:spacing w:after="0" w:line="261"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negatively impact our business.</w:t>
      </w:r>
    </w:p>
    <w:p>
      <w:pPr>
        <w:ind w:left="200" w:right="20"/>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47" w:lineRule="exact"/>
        <w:rPr>
          <w:sz w:val="20"/>
          <w:szCs w:val="20"/>
          <w:color w:val="auto"/>
        </w:rPr>
      </w:pPr>
    </w:p>
    <w:p>
      <w:pPr>
        <w:ind w:left="200" w:right="600"/>
        <w:spacing w:after="0" w:line="261" w:lineRule="auto"/>
        <w:rPr>
          <w:sz w:val="20"/>
          <w:szCs w:val="20"/>
          <w:color w:val="auto"/>
        </w:rPr>
      </w:pPr>
      <w:r>
        <w:rPr>
          <w:rFonts w:ascii="Arial" w:cs="Arial" w:eastAsia="Arial" w:hAnsi="Arial"/>
          <w:sz w:val="17"/>
          <w:szCs w:val="17"/>
          <w:b w:val="1"/>
          <w:bCs w:val="1"/>
          <w:i w:val="1"/>
          <w:iCs w:val="1"/>
          <w:color w:val="auto"/>
        </w:rPr>
        <w:t>It may be difficult for us to profitably sell our product candidates if coverage and reimbursement for these products is limited by government authorities and/or third-party payor policies.</w:t>
      </w:r>
    </w:p>
    <w:p>
      <w:pPr>
        <w:ind w:left="200" w:right="140"/>
        <w:spacing w:after="0" w:line="236" w:lineRule="auto"/>
        <w:rPr>
          <w:sz w:val="20"/>
          <w:szCs w:val="20"/>
          <w:color w:val="auto"/>
        </w:rPr>
      </w:pPr>
      <w:r>
        <w:rPr>
          <w:rFonts w:ascii="Arial" w:cs="Arial" w:eastAsia="Arial" w:hAnsi="Arial"/>
          <w:sz w:val="17"/>
          <w:szCs w:val="17"/>
          <w:color w:val="auto"/>
        </w:rPr>
        <w:t>In addition to any healthcare reform measures which may affect reimbursement, market acceptance and sales of MitoGel, VesiGel and our other product candidates, if approved, will depend on the coverage and reimbursement policies of third-party payors, like government authorities, private health insurers, and health maintenance organizations. Third-party payors decide which medications they will cover and separately establish reimbursement levels.</w:t>
      </w:r>
    </w:p>
    <w:p>
      <w:pPr>
        <w:spacing w:after="0" w:line="149" w:lineRule="exact"/>
        <w:rPr>
          <w:sz w:val="20"/>
          <w:szCs w:val="20"/>
          <w:color w:val="auto"/>
        </w:rPr>
      </w:pPr>
    </w:p>
    <w:p>
      <w:pPr>
        <w:ind w:left="200" w:right="400"/>
        <w:spacing w:after="0" w:line="236" w:lineRule="auto"/>
        <w:rPr>
          <w:sz w:val="20"/>
          <w:szCs w:val="20"/>
          <w:color w:val="auto"/>
        </w:rPr>
      </w:pPr>
      <w:r>
        <w:rPr>
          <w:rFonts w:ascii="Arial" w:cs="Arial" w:eastAsia="Arial" w:hAnsi="Arial"/>
          <w:sz w:val="17"/>
          <w:szCs w:val="17"/>
          <w:color w:val="auto"/>
        </w:rPr>
        <w:t>A primary trend in the U.S. healthcare industry and elsewhere is cost containment.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We cannot be sure that coverage will be available for MitoGel, VesiGel or our</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other product candidates, if approved, or, if coverage is available, the level of reimbursement will be adequate to make our products affordable for patients or profitable for us.</w:t>
      </w:r>
    </w:p>
    <w:p>
      <w:pPr>
        <w:spacing w:after="0" w:line="144"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decisions about reimbursement for new medicines under Medicare are made by CMS, as the administrator for the Medicare program. Private payors often use CMS as a model for their coverage and reimbursement decisions. It is difficult to predict what CMS as well as other payors will decide with respect to reimbursement for fundamentally novel products such as ours, as there is no body of established practices and precedents for these new products.</w:t>
      </w:r>
    </w:p>
    <w:p>
      <w:pPr>
        <w:spacing w:after="0" w:line="150"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54"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use of a product is:</w:t>
      </w:r>
    </w:p>
    <w:p>
      <w:pPr>
        <w:spacing w:after="0" w:line="185" w:lineRule="exact"/>
        <w:rPr>
          <w:sz w:val="20"/>
          <w:szCs w:val="20"/>
          <w:color w:val="auto"/>
        </w:rPr>
      </w:pPr>
    </w:p>
    <w:p>
      <w:pPr>
        <w:ind w:left="960" w:hanging="432"/>
        <w:spacing w:after="0"/>
        <w:tabs>
          <w:tab w:leader="none" w:pos="96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6"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 We cannot be sure that coverage or adequate reimbursement will be available for MitoGel, VesiGel or any of our other product candidates, if approved. Also, we cannot be sure that reimbursement amounts will not reduce the demand for, or the price of, our future products. If reimbursement is not available, or is available only to limited levels, we may not be able to commercialize MitoGel, VesiGel or our other product candidates, or achieve profitably at all, even if approved.</w:t>
      </w:r>
    </w:p>
    <w:p>
      <w:pPr>
        <w:spacing w:after="0" w:line="127" w:lineRule="exact"/>
        <w:rPr>
          <w:sz w:val="20"/>
          <w:szCs w:val="20"/>
          <w:color w:val="auto"/>
        </w:rPr>
      </w:pPr>
    </w:p>
    <w:p>
      <w:pPr>
        <w:ind w:left="200" w:right="200"/>
        <w:spacing w:after="0" w:line="250"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MitoGel, VesiGel or any of our other product candidates and to produce, market, and distribute our products after clearance or approval is obtained.</w:t>
      </w:r>
    </w:p>
    <w:p>
      <w:pPr>
        <w:spacing w:after="0" w:line="138" w:lineRule="exact"/>
        <w:rPr>
          <w:sz w:val="20"/>
          <w:szCs w:val="20"/>
          <w:color w:val="auto"/>
        </w:rPr>
      </w:pPr>
    </w:p>
    <w:p>
      <w:pPr>
        <w:ind w:left="200" w:right="240"/>
        <w:spacing w:after="0" w:line="236"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reinterpretations of existing regulations may impose additional costs or lengthen review times of MitoGel, VesiGel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8" w:lineRule="exact"/>
        <w:rPr>
          <w:sz w:val="20"/>
          <w:szCs w:val="20"/>
          <w:color w:val="auto"/>
        </w:rPr>
      </w:pPr>
    </w:p>
    <w:p>
      <w:pPr>
        <w:ind w:left="960" w:hanging="432"/>
        <w:spacing w:after="0"/>
        <w:tabs>
          <w:tab w:leader="none" w:pos="96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to manufacturing methods;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 in protocol design;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additional treatment arm (control);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recall, replacement, or discontinuance of one or more of our products;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additional recordkeeping.</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73" w:lineRule="exact"/>
        <w:rPr>
          <w:sz w:val="20"/>
          <w:szCs w:val="20"/>
          <w:color w:val="auto"/>
        </w:rPr>
      </w:pPr>
    </w:p>
    <w:p>
      <w:pPr>
        <w:ind w:left="200" w:right="60"/>
        <w:spacing w:after="0" w:line="261" w:lineRule="auto"/>
        <w:rPr>
          <w:sz w:val="20"/>
          <w:szCs w:val="20"/>
          <w:color w:val="auto"/>
        </w:rPr>
      </w:pPr>
      <w:r>
        <w:rPr>
          <w:rFonts w:ascii="Arial" w:cs="Arial" w:eastAsia="Arial" w:hAnsi="Arial"/>
          <w:sz w:val="17"/>
          <w:szCs w:val="17"/>
          <w:b w:val="1"/>
          <w:bCs w:val="1"/>
          <w:i w:val="1"/>
          <w:iCs w:val="1"/>
          <w:color w:val="auto"/>
        </w:rPr>
        <w:t>The market price of our ordinary shares has been and may continue to be subject to fluctuation and you could lose all or part of your investment.</w:t>
      </w:r>
    </w:p>
    <w:p>
      <w:pPr>
        <w:ind w:left="200" w:right="300"/>
        <w:spacing w:after="0" w:line="238" w:lineRule="auto"/>
        <w:rPr>
          <w:sz w:val="20"/>
          <w:szCs w:val="20"/>
          <w:color w:val="auto"/>
        </w:rPr>
      </w:pPr>
      <w:r>
        <w:rPr>
          <w:rFonts w:ascii="Arial" w:cs="Arial" w:eastAsia="Arial" w:hAnsi="Arial"/>
          <w:sz w:val="17"/>
          <w:szCs w:val="17"/>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88" w:lineRule="exact"/>
        <w:rPr>
          <w:sz w:val="20"/>
          <w:szCs w:val="20"/>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actual or anticipated variations in our and our competitors’ results of operations and financial condition;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physician and market acceptance of our products;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mix of products that we sell;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success or failure to obtain approval for and commercialize our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changes in earnings estimates or recommendations by securities analysts, if our ordinary shares are covered by analysts;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development of technological innovations or new competitive products by others;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announcements of technological innovations or new products by us;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publication of the results of preclinical or clinical trials for MitoGel, VesiGel or our other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failure by us to achieve a publicly announced milestone;</w:t>
      </w:r>
    </w:p>
    <w:p>
      <w:pPr>
        <w:spacing w:after="0" w:line="34" w:lineRule="exact"/>
        <w:rPr>
          <w:rFonts w:ascii="MS PGothic" w:cs="MS PGothic" w:eastAsia="MS PGothic" w:hAnsi="MS PGothic"/>
          <w:sz w:val="13"/>
          <w:szCs w:val="13"/>
          <w:color w:val="auto"/>
        </w:rPr>
      </w:pPr>
    </w:p>
    <w:p>
      <w:pPr>
        <w:ind w:left="960" w:right="40" w:hanging="432"/>
        <w:spacing w:after="0" w:line="243" w:lineRule="auto"/>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delays between our expenditures to develop and market new or enhanced product candidates and the generation of sales from those products;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developments concerning intellectual property rights, including our involvement in litigation brought by or against us;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regulatory developments and the decisions of regulatory authorities as to the approval or rejection of new or modified products;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changes in the amounts that we spend to develop, acquire or license new products, technologies or businesses;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changes in our expenditures to promote our products;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sale or proposed sale, or the sale by our significant shareholders, of our ordinary shares or other securities in the future;</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changes in key personnel;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success or failure of our research and development projects or those of our competitors;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trading volume of our ordinary shares;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general economic and market conditions and other factors, including factors unrelated to our operating performance.</w:t>
      </w:r>
    </w:p>
    <w:p>
      <w:pPr>
        <w:spacing w:after="0" w:line="156"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w:t>
      </w:r>
    </w:p>
    <w:p>
      <w:pPr>
        <w:spacing w:after="0" w:line="14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60"/>
          </w:cols>
          <w:pgMar w:left="240" w:top="459" w:right="5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securities litigation, it could impose a substantial cost upon us and divert the resources and attention of our management from our business.</w:t>
      </w:r>
    </w:p>
    <w:p>
      <w:pPr>
        <w:spacing w:after="0" w:line="55" w:lineRule="exact"/>
        <w:rPr>
          <w:sz w:val="20"/>
          <w:szCs w:val="20"/>
          <w:color w:val="auto"/>
        </w:rPr>
      </w:pPr>
    </w:p>
    <w:p>
      <w:pPr>
        <w:ind w:left="200" w:right="840"/>
        <w:spacing w:after="0" w:line="261"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ind w:left="200" w:right="300"/>
        <w:spacing w:after="0" w:line="235" w:lineRule="auto"/>
        <w:rPr>
          <w:sz w:val="20"/>
          <w:szCs w:val="20"/>
          <w:color w:val="auto"/>
        </w:rPr>
      </w:pPr>
      <w:r>
        <w:rPr>
          <w:rFonts w:ascii="Arial" w:cs="Arial" w:eastAsia="Arial" w:hAnsi="Arial"/>
          <w:sz w:val="17"/>
          <w:szCs w:val="17"/>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Future sales of our ordinary shares could reduce the market price of our ordinary shares.</w:t>
      </w:r>
    </w:p>
    <w:p>
      <w:pPr>
        <w:spacing w:after="0" w:line="41"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As of the date of this prospectus, the holders of approximately 4,515,674 ordinary shares are entitled to registration rights, of which approximately 3,064,345 will be subject to the terms of the lock-up agreements described in the “Underwriting” section of this prospectus. In addition, our sale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Investors in this offering will experience immediate substantial dilution in net tangible book value.</w:t>
      </w:r>
    </w:p>
    <w:p>
      <w:pPr>
        <w:spacing w:after="0" w:line="4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 assumed public offering price of our ordinary shares in this offering is considerably greater than the net tangible book value per share of our outstanding ordinary shares immediately after this offering. Accordingly, investors in this offering will incur immediate dilution of $35.46 per share, as of September 30, 2017, based on an assumed public offering price of $44.02 per share, which was the last reported sale price of our ordinary shares on the NASDAQ Global Market on January 11, 2018. In addition, if outstanding options to purchase our ordinary shares are exercised in the future, you will experience additional dilution. Please see the section entitled “Dilution.”</w:t>
      </w:r>
    </w:p>
    <w:p>
      <w:pPr>
        <w:spacing w:after="0" w:line="49" w:lineRule="exact"/>
        <w:rPr>
          <w:sz w:val="20"/>
          <w:szCs w:val="20"/>
          <w:color w:val="auto"/>
        </w:rPr>
      </w:pPr>
    </w:p>
    <w:p>
      <w:pPr>
        <w:ind w:left="200" w:right="400"/>
        <w:spacing w:after="0" w:line="261" w:lineRule="auto"/>
        <w:rPr>
          <w:sz w:val="20"/>
          <w:szCs w:val="20"/>
          <w:color w:val="auto"/>
        </w:rPr>
      </w:pPr>
      <w:r>
        <w:rPr>
          <w:rFonts w:ascii="Arial" w:cs="Arial" w:eastAsia="Arial" w:hAnsi="Arial"/>
          <w:sz w:val="17"/>
          <w:szCs w:val="17"/>
          <w:b w:val="1"/>
          <w:bCs w:val="1"/>
          <w:i w:val="1"/>
          <w:iCs w:val="1"/>
          <w:color w:val="auto"/>
        </w:rPr>
        <w:t>The significant share ownership position of our officers, directors and entities affiliated with certain of our directors may limit your ability to influence corporate matters.</w:t>
      </w:r>
    </w:p>
    <w:p>
      <w:pPr>
        <w:ind w:left="200" w:right="20"/>
        <w:spacing w:after="0" w:line="234" w:lineRule="auto"/>
        <w:rPr>
          <w:sz w:val="20"/>
          <w:szCs w:val="20"/>
          <w:color w:val="auto"/>
        </w:rPr>
      </w:pPr>
      <w:r>
        <w:rPr>
          <w:rFonts w:ascii="Arial" w:cs="Arial" w:eastAsia="Arial" w:hAnsi="Arial"/>
          <w:sz w:val="17"/>
          <w:szCs w:val="17"/>
          <w:color w:val="auto"/>
        </w:rPr>
        <w:t>After giving effect to this offering, our officers, directors and entities affiliated with certain of our directors will beneficially own or control, directly or indirectly, approximately 24.7% of our outstanding ordinary shares (or 24.4% if the underwriters exercise in full their option to purchase additional ordinary shares). Accordingly, these persons will be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broad discretion as to the use of the net proceeds from this offering and may not use them effectively.</w:t>
      </w:r>
    </w:p>
    <w:p>
      <w:pPr>
        <w:spacing w:after="0" w:line="41"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expect to use the net proceeds from this offering, together with our existing cash resources, to complete our single pivotal Phase 3 clinical trial of MitoGel for the treatment of low-grade UTUC, to begin preparation for the commercial launch of MitoGel, if approved, to file an IND for, and to initiate our Phase 2b clinical trial of, VesiGel, for the treatment of low-grade NMIBC, and the remainder to fund continued research and clinical development of our other product candidates, including Vesimune, and for working capital and other general corporate purposes.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harm our business, financial condition and results of operation. Pending their use, we may invest the net proceeds from this offering in a manner that does not produce income.</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54"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are classified as a passive foreign investment company, our U.S. shareholders may suffer adverse tax consequences.</w:t>
      </w:r>
    </w:p>
    <w:p>
      <w:pPr>
        <w:spacing w:after="0" w:line="54"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We do not believe that we were classified as a PFIC for the taxable year ended December 31, 2017. However, based upon the expected nature and composition of our income and assets, we anticipate that we will be classified as a PFIC for the taxable year ending December 31, 2018.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interest charges apply to distributions by us and gains from the sales of our shares.</w:t>
      </w:r>
    </w:p>
    <w:p>
      <w:pPr>
        <w:spacing w:after="0" w:line="154"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common shares, which may be volatile) from time to time. We cannot provide any assurances regarding our PFIC status for the current or future taxable years, and our U.S. tax counsel has not provided any opinion regarding our PFIC status.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do not currently intend to provide the information necessary for our U.S. shareholders to make QEF elections.</w:t>
      </w:r>
    </w:p>
    <w:p>
      <w:pPr>
        <w:spacing w:after="0" w:line="41" w:lineRule="exact"/>
        <w:rPr>
          <w:sz w:val="20"/>
          <w:szCs w:val="20"/>
          <w:color w:val="auto"/>
        </w:rPr>
      </w:pPr>
    </w:p>
    <w:p>
      <w:pPr>
        <w:ind w:left="200" w:right="40"/>
        <w:spacing w:after="0" w:line="250" w:lineRule="auto"/>
        <w:rPr>
          <w:sz w:val="20"/>
          <w:szCs w:val="20"/>
          <w:color w:val="auto"/>
        </w:rPr>
      </w:pPr>
      <w:r>
        <w:rPr>
          <w:rFonts w:ascii="Arial" w:cs="Arial" w:eastAsia="Arial" w:hAnsi="Arial"/>
          <w:sz w:val="17"/>
          <w:szCs w:val="17"/>
          <w:b w:val="1"/>
          <w:bCs w:val="1"/>
          <w:i w:val="1"/>
          <w:iCs w:val="1"/>
          <w:color w:val="auto"/>
        </w:rPr>
        <w:t>As a foreign private issuer, we are permitted, and intend, to follow certain home country corporate governance practices instead of otherwise applicable NASDAQ requirements, and we will not be subject to certain U.S. securities laws including, but not limited to, U.S. proxy rules and the filing of certain Exchange Act reports.</w:t>
      </w:r>
    </w:p>
    <w:p>
      <w:pPr>
        <w:spacing w:after="0" w:line="17"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As a foreign private issuer, we are permitted to and follow certain home country corporate governance practices instead of those otherwise required by the NASDAQ Stock Market for domestic U.S. issuers. Following our home country governance practices as opposed to the requirements that would otherwise apply to a U.S. company listed on the NASDAQ Global Market may provide less protection to you than what is accorded to investors under the NASDAQ Rules applicable to domestic U.S. issuers. See the section titled “Management—Corporate Governance Practices.”</w:t>
      </w:r>
    </w:p>
    <w:p>
      <w:pPr>
        <w:spacing w:after="0" w:line="150"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As a foreign private issuer, we are exempt from the rules and regulations under the Securities Exchange Act of 1934, or the Exchange Act, related to the furnishing and content of proxy statements, including the requirement to disclose the compensation of our Chief Executive Officer, Chief Financial Officer, President of Israel Operations and the other two most highly compensated executive officers on an individual basis. Nevertheless, pursuant to regulations promulgated under the Israeli Companies Law, 5759-1999, or the Israeli Companies Law, we are required to disclose the annual compensation of our five most highly compensated office holders on an individual basis. Such disclosure is not as extensive as that required of a U.S. domestic issuer. Our officers, directors and principal shareholders are also exempt from the reporting and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w:t>
      </w:r>
    </w:p>
    <w:p>
      <w:pPr>
        <w:spacing w:after="0" w:line="14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exemptions and leniencies will reduce the frequency and scope of information and protections to which you may otherwise have been eligible in relation to a U.S. domestic issuer.</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Loss of foreign private issuer status in the future could result in significantly increased costs and divert management attention.</w:t>
      </w:r>
    </w:p>
    <w:p>
      <w:pPr>
        <w:spacing w:after="0" w:line="4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We would lose our foreign private issuer status if a majority of our shares are owned by U.S. residents and a majority of our directors or executive officers are U.S. citizens or residents or we fail to meet additional requirements necessary to avoid loss of foreign private issuer status. However, we cannot assure you that at June 30, 2018, the next determination date of our foreign private issuer status, we will qualify as a foreign private issuer. If we cease to qualify as a foreign private issuer at this determination date, we will be required to begin reporting as a domestic issuer on January 1, 2019.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accepted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46" w:lineRule="exact"/>
        <w:rPr>
          <w:sz w:val="20"/>
          <w:szCs w:val="20"/>
          <w:color w:val="auto"/>
        </w:rPr>
      </w:pPr>
    </w:p>
    <w:p>
      <w:pPr>
        <w:ind w:left="200" w:right="240"/>
        <w:spacing w:after="0" w:line="261"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ordinary shares less attractive to investors.</w:t>
      </w:r>
    </w:p>
    <w:p>
      <w:pPr>
        <w:ind w:left="200" w:right="100"/>
        <w:spacing w:after="0" w:line="24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requirements that are applicable to other public companies that are not emerging growth companies.</w:t>
      </w:r>
    </w:p>
    <w:p>
      <w:pPr>
        <w:spacing w:after="0" w:line="144"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For as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5" w:lineRule="exact"/>
        <w:rPr>
          <w:sz w:val="20"/>
          <w:szCs w:val="20"/>
          <w:color w:val="auto"/>
        </w:rPr>
      </w:pPr>
    </w:p>
    <w:p>
      <w:pPr>
        <w:ind w:left="960" w:right="40" w:hanging="432"/>
        <w:spacing w:after="0" w:line="238" w:lineRule="auto"/>
        <w:tabs>
          <w:tab w:leader="none" w:pos="96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being permitted to provide only two years of audited financial statements, in addition to any required unaudited condensed consolidated interim financial statements, with correspondingly reduced “Management’s discussion and analysis of financial condition and results of operations” disclosure;</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34" w:lineRule="exact"/>
        <w:rPr>
          <w:rFonts w:ascii="MS PGothic" w:cs="MS PGothic" w:eastAsia="MS PGothic" w:hAnsi="MS PGothic"/>
          <w:sz w:val="13"/>
          <w:szCs w:val="13"/>
          <w:color w:val="auto"/>
        </w:rPr>
      </w:pPr>
    </w:p>
    <w:p>
      <w:pPr>
        <w:ind w:left="960" w:right="120" w:hanging="432"/>
        <w:spacing w:after="0" w:line="238" w:lineRule="auto"/>
        <w:tabs>
          <w:tab w:leader="none" w:pos="96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reduced disclosure obligations regarding executive compensation; and</w:t>
      </w:r>
    </w:p>
    <w:p>
      <w:pPr>
        <w:spacing w:after="0" w:line="34" w:lineRule="exact"/>
        <w:rPr>
          <w:rFonts w:ascii="MS PGothic" w:cs="MS PGothic" w:eastAsia="MS PGothic" w:hAnsi="MS PGothic"/>
          <w:sz w:val="13"/>
          <w:szCs w:val="13"/>
          <w:color w:val="auto"/>
        </w:rPr>
      </w:pPr>
    </w:p>
    <w:p>
      <w:pPr>
        <w:ind w:left="960" w:right="180" w:hanging="432"/>
        <w:spacing w:after="0" w:line="243" w:lineRule="auto"/>
        <w:tabs>
          <w:tab w:leader="none" w:pos="96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will remain an emerging growth company until the earliest of: (i) the last day of our fiscal year during which we have total annual gross revenues of at least $1.07 billion; (ii) the last day of our fiscal year following the fifth anniversary of the closing of this offering; (iii) the date on which we have, during the previous three-year period, issued more than $1.0 billion in non-convertible debt; or (iv) the date on which we are deemed to be a “large accelerated filer” under the Exchange Act. We have opted out of the extended transition period made available to emerging growth companies to comply with newly adopted public company accounting requirements.</w:t>
      </w:r>
    </w:p>
    <w:p>
      <w:pPr>
        <w:spacing w:after="0" w:line="150"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73" w:lineRule="exact"/>
        <w:rPr>
          <w:sz w:val="20"/>
          <w:szCs w:val="20"/>
          <w:color w:val="auto"/>
        </w:rPr>
      </w:pPr>
    </w:p>
    <w:p>
      <w:pPr>
        <w:ind w:left="200" w:right="200"/>
        <w:spacing w:after="0" w:line="261" w:lineRule="auto"/>
        <w:rPr>
          <w:sz w:val="20"/>
          <w:szCs w:val="20"/>
          <w:color w:val="auto"/>
        </w:rPr>
      </w:pPr>
      <w:r>
        <w:rPr>
          <w:rFonts w:ascii="Arial" w:cs="Arial" w:eastAsia="Arial" w:hAnsi="Arial"/>
          <w:sz w:val="17"/>
          <w:szCs w:val="17"/>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ind w:left="200" w:right="60"/>
        <w:spacing w:after="0" w:line="234" w:lineRule="auto"/>
        <w:rPr>
          <w:sz w:val="20"/>
          <w:szCs w:val="20"/>
          <w:color w:val="auto"/>
        </w:rPr>
      </w:pPr>
      <w:r>
        <w:rPr>
          <w:rFonts w:ascii="Arial" w:cs="Arial" w:eastAsia="Arial" w:hAnsi="Arial"/>
          <w:sz w:val="17"/>
          <w:szCs w:val="17"/>
          <w:color w:val="auto"/>
        </w:rPr>
        <w:t>Our headquarters and research and development facilities are located in Ra’anana, Israel. In addition, the majority of our key employees, officers and directors are residents of Israel. If these or any future facilities in Israel were to be damaged, destroyed or otherwise unable to operate, whether due to war, acts of hostility, earthquakes, fire, floods, hurricanes, storms, tornadoes, other natural disasters, employee malfeasance, terrorist acts,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50"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51"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Further, our operations could be disrupted by the obligations of our employees to perform military service. As of December 31, 2017, we had 36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47" w:lineRule="exact"/>
        <w:rPr>
          <w:sz w:val="20"/>
          <w:szCs w:val="20"/>
          <w:color w:val="auto"/>
        </w:rPr>
      </w:pPr>
    </w:p>
    <w:p>
      <w:pPr>
        <w:ind w:left="200" w:right="120"/>
        <w:spacing w:after="0" w:line="250" w:lineRule="auto"/>
        <w:rPr>
          <w:sz w:val="20"/>
          <w:szCs w:val="20"/>
          <w:color w:val="auto"/>
        </w:rPr>
      </w:pPr>
      <w:r>
        <w:rPr>
          <w:rFonts w:ascii="Arial" w:cs="Arial" w:eastAsia="Arial" w:hAnsi="Arial"/>
          <w:sz w:val="17"/>
          <w:szCs w:val="17"/>
          <w:b w:val="1"/>
          <w:bCs w:val="1"/>
          <w:i w:val="1"/>
          <w:iCs w:val="1"/>
          <w:color w:val="auto"/>
        </w:rPr>
        <w:t>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3"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have received grants under the Israeli Law for the Encouragement of Industrial Research, Development and Technological Innovation, 5754-1984, or the R&amp;D Law, from the Israel Innovation Authority of the Ministry of Economy and Industry in Israel, or the IIA, formerly known as the Office of the Chief Scientist, an independent and impartial public entity, for some of our development programs. Through September 30, 2017, we had received grants in the aggregate amount of $2.1 million. We may in the future apply to receive additional grants from the IIA. However, we cannot predict whether we will be entitled to any future grants, or the amounts of any such grants.</w:t>
      </w:r>
    </w:p>
    <w:p>
      <w:pPr>
        <w:spacing w:after="0" w:line="150"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A recipient of a grant from the IIA is obligated to pay royalties generally at a rate of 3% to 5% on revenues from sales of products developed with IIA-funded technology, up to the amount of the grant related to any such products plus accrued interest. Under the R&amp;D Law, a company that received grants from the IIA may not transfer IIA-funded</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technology or manufacture products developed with IIA-funded technology outside of the State of Israel without first obtaining the approval of the IIA. For example, under the Allergan Agreement, Allergan has the option to manufacture products developed with IIA-funded technology outside of Israel and, although Allergan has not yet exercised this option, we have requested approval from the IIA for a possible transfer, and are currently awaiting their response. We may not receive any such approval upon any request, which could prevent us, for example, from out-licensing our product candidates or complying with our existing agreements. Even if we do receive such approvals, we may be required to pay increased royalties of up to 300% of the amount of the original grant and other amounts. If we do not receive such approvals, we may be required to pay significant penalties.</w:t>
      </w:r>
    </w:p>
    <w:p>
      <w:pPr>
        <w:spacing w:after="0" w:line="151"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In June 2017, new rules published by the IIA for granting a right to use know- how developed from research and development that was conducted pursuant to a plan approved by the IIA outside of Israel, or Licensing Rules, came into effect. The Licensing Rules allow a recipient of a grant from the IIA to grant third parties outside of Israel the right to use know-how, or License, provided that the IIA authorized the grant of the License. In such case, the recipient of the grant has to pay the IIA for the License. The amount of payment is based on various factors, including the consideration received by the licensor and, in accordance with the formulas set forth in the Licensing Rules, may equal up to six times the IIA-funding amount plus interest. When the consideration for the grant includes nonmonetary compensation or monetary compensation that is not fixed, or when a “special relationship” exists between the licensor and licensee (</w:t>
      </w:r>
      <w:r>
        <w:rPr>
          <w:rFonts w:ascii="Arial" w:cs="Arial" w:eastAsia="Arial" w:hAnsi="Arial"/>
          <w:sz w:val="17"/>
          <w:szCs w:val="17"/>
          <w:i w:val="1"/>
          <w:iCs w:val="1"/>
          <w:color w:val="auto"/>
        </w:rPr>
        <w:t>e.g.</w:t>
      </w:r>
      <w:r>
        <w:rPr>
          <w:rFonts w:ascii="Arial" w:cs="Arial" w:eastAsia="Arial" w:hAnsi="Arial"/>
          <w:sz w:val="17"/>
          <w:szCs w:val="17"/>
          <w:color w:val="auto"/>
        </w:rPr>
        <w:t>, when a party controls the other party or is the other party’s exclusive distributor) or when the agreed consideration does not reflect, in the IIA’s opinion, the market value, the IIA may base the value of the transaction on an economic assessment that it obtains for such purpose.</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IIA may also impose certain conditions on any arrangement under which it permits us to transfer IIA-funded technology outside of the State of Israel. Furthermore, the consideration available to our shareholders in a transaction involving the transfer outside of the State of Israel of IIA-funded technology (such as a merger or similar transaction) may be reduced by any amounts that we are required to pay to IIA. The restrictions under the R&amp;D Law will continue to apply even after we have repaid the full amount of royalties due to the IIA. If we fail to satisfy the conditions of the R&amp;D Law, we may be required to refund the amounts of the grants previously received, together with interest and penalties, and may become subject to criminal charges.</w:t>
      </w:r>
    </w:p>
    <w:p>
      <w:pPr>
        <w:spacing w:after="0" w:line="47" w:lineRule="exact"/>
        <w:rPr>
          <w:sz w:val="20"/>
          <w:szCs w:val="20"/>
          <w:color w:val="auto"/>
        </w:rPr>
      </w:pPr>
    </w:p>
    <w:p>
      <w:pPr>
        <w:ind w:left="200" w:right="200"/>
        <w:spacing w:after="0" w:line="261" w:lineRule="auto"/>
        <w:rPr>
          <w:sz w:val="20"/>
          <w:szCs w:val="20"/>
          <w:color w:val="auto"/>
        </w:rPr>
      </w:pPr>
      <w:r>
        <w:rPr>
          <w:rFonts w:ascii="Arial" w:cs="Arial" w:eastAsia="Arial" w:hAnsi="Arial"/>
          <w:sz w:val="17"/>
          <w:szCs w:val="17"/>
          <w:b w:val="1"/>
          <w:bCs w:val="1"/>
          <w:i w:val="1"/>
          <w:iCs w:val="1"/>
          <w:color w:val="auto"/>
        </w:rPr>
        <w:t>Provisions of Israeli law and our amended and restated articles of association may delay, prevent or otherwise impede a merger with, or an acquisition of, us, even when the terms of such a transaction are favorable to us and our shareholders.</w:t>
      </w:r>
    </w:p>
    <w:p>
      <w:pPr>
        <w:ind w:left="200"/>
        <w:spacing w:after="0" w:line="234"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50"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line="250" w:lineRule="auto"/>
        <w:rPr>
          <w:sz w:val="20"/>
          <w:szCs w:val="20"/>
          <w:color w:val="auto"/>
        </w:rPr>
      </w:pPr>
      <w:r>
        <w:rPr>
          <w:rFonts w:ascii="Arial" w:cs="Arial" w:eastAsia="Arial" w:hAnsi="Arial"/>
          <w:sz w:val="17"/>
          <w:szCs w:val="17"/>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7"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We are incorporated in Israel. The majority of our directors and most of our executive officers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may also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48" w:lineRule="exact"/>
        <w:rPr>
          <w:sz w:val="20"/>
          <w:szCs w:val="20"/>
          <w:color w:val="auto"/>
        </w:rPr>
      </w:pPr>
    </w:p>
    <w:p>
      <w:pPr>
        <w:ind w:left="200" w:right="240"/>
        <w:spacing w:after="0" w:line="236" w:lineRule="auto"/>
        <w:rPr>
          <w:sz w:val="20"/>
          <w:szCs w:val="20"/>
          <w:color w:val="auto"/>
        </w:rPr>
      </w:pPr>
      <w:r>
        <w:rPr>
          <w:rFonts w:ascii="Arial" w:cs="Arial" w:eastAsia="Arial" w:hAnsi="Arial"/>
          <w:sz w:val="17"/>
          <w:szCs w:val="17"/>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 Please see the section entitled “Enforcement of Civil Liabilities” for additional information on your ability to enforce a civil claim against us and our executive officers or directors named in this prospectus.</w:t>
      </w:r>
    </w:p>
    <w:p>
      <w:pPr>
        <w:spacing w:after="0" w:line="35"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2" w:lineRule="exact"/>
        <w:rPr>
          <w:sz w:val="20"/>
          <w:szCs w:val="20"/>
          <w:color w:val="auto"/>
        </w:rPr>
      </w:pPr>
    </w:p>
    <w:p>
      <w:pPr>
        <w:ind w:left="200" w:right="280"/>
        <w:spacing w:after="0" w:line="234" w:lineRule="auto"/>
        <w:rPr>
          <w:sz w:val="20"/>
          <w:szCs w:val="20"/>
          <w:color w:val="auto"/>
        </w:rPr>
      </w:pPr>
      <w:r>
        <w:rPr>
          <w:rFonts w:ascii="Arial" w:cs="Arial" w:eastAsia="Arial" w:hAnsi="Arial"/>
          <w:sz w:val="17"/>
          <w:szCs w:val="17"/>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48"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92" w:lineRule="exact"/>
        <w:rPr>
          <w:sz w:val="20"/>
          <w:szCs w:val="20"/>
          <w:color w:val="auto"/>
        </w:rPr>
      </w:pPr>
    </w:p>
    <w:p>
      <w:pPr>
        <w:jc w:val="both"/>
        <w:ind w:left="960" w:right="300" w:hanging="432"/>
        <w:spacing w:after="0" w:line="243" w:lineRule="auto"/>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timing and conduct of our clinical trials of MitoGel, VesiGel and our other product candidates, including statements regarding the timing, progress and results of current and future preclinical studies and clinical trials, and our research and development programs;</w:t>
      </w:r>
    </w:p>
    <w:p>
      <w:pPr>
        <w:spacing w:after="0" w:line="49" w:lineRule="exact"/>
        <w:rPr>
          <w:rFonts w:ascii="MS PGothic" w:cs="MS PGothic" w:eastAsia="MS PGothic" w:hAnsi="MS PGothic"/>
          <w:sz w:val="13"/>
          <w:szCs w:val="13"/>
          <w:color w:val="auto"/>
        </w:rPr>
      </w:pPr>
    </w:p>
    <w:p>
      <w:pPr>
        <w:ind w:left="960" w:right="380" w:hanging="432"/>
        <w:spacing w:after="0" w:line="243" w:lineRule="auto"/>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clinical utility, potential advantages and timing or likelihood of regulatory filings and approvals of MitoGel, VesiGel and our other product candidates;</w:t>
      </w:r>
    </w:p>
    <w:p>
      <w:pPr>
        <w:spacing w:after="0" w:line="49"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plans regarding utilization of regulatory pathways that would allow for accelerated marketing approval in the United States;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expectations regarding timing for application for and receipt of regulatory approval for any of our product candidates;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ongoing and planned discovery and development of product candidates;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expectations regarding future growth, including our ability to develop, and obtain regulatory approval for, new product candidates;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adequate intellectual property rights and adequately protect and enforce such rights;</w:t>
      </w:r>
    </w:p>
    <w:p>
      <w:pPr>
        <w:spacing w:after="0" w:line="61" w:lineRule="exact"/>
        <w:rPr>
          <w:rFonts w:ascii="MS PGothic" w:cs="MS PGothic" w:eastAsia="MS PGothic" w:hAnsi="MS PGothic"/>
          <w:sz w:val="13"/>
          <w:szCs w:val="13"/>
          <w:color w:val="auto"/>
        </w:rPr>
      </w:pPr>
    </w:p>
    <w:p>
      <w:pPr>
        <w:ind w:left="960" w:right="40" w:hanging="432"/>
        <w:spacing w:after="0" w:line="243" w:lineRule="auto"/>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maintain our collaboration with Allergan, enter into and successfully complete other collaborations, licensing arrangements or in-license or acquire rights to other products, product candidates or technologies;</w:t>
      </w:r>
    </w:p>
    <w:p>
      <w:pPr>
        <w:spacing w:after="0" w:line="49"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plans to develop and commercialize our product candidates;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estimates regarding the market opportunity for our product candidates;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estimates regarding expenses, future revenues, capital requirements and the need for additional financing;</w:t>
      </w:r>
    </w:p>
    <w:p>
      <w:pPr>
        <w:spacing w:after="0" w:line="61" w:lineRule="exact"/>
        <w:rPr>
          <w:rFonts w:ascii="MS PGothic" w:cs="MS PGothic" w:eastAsia="MS PGothic" w:hAnsi="MS PGothic"/>
          <w:sz w:val="13"/>
          <w:szCs w:val="13"/>
          <w:color w:val="auto"/>
        </w:rPr>
      </w:pPr>
    </w:p>
    <w:p>
      <w:pPr>
        <w:ind w:left="960" w:right="680" w:hanging="432"/>
        <w:spacing w:after="0" w:line="243" w:lineRule="auto"/>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planned level of capital expenditures and our belief that our existing cash and cash equivalents will be sufficient to fund our operating expenses and capital expenditure requirements for at least the next 18 months;</w:t>
      </w:r>
    </w:p>
    <w:p>
      <w:pPr>
        <w:spacing w:after="0" w:line="49"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impact of our research and development expenses as we continue developing product candidates;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maintenance of our foreign private issuer status;</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impact of government laws and regulations; and</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use of proceeds from this offering.</w:t>
      </w:r>
    </w:p>
    <w:p>
      <w:pPr>
        <w:spacing w:after="0" w:line="156"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Forward-looking statements are based on our management’s current expectations, estimates, forecasts and projections about our business and the industry in which we operate and our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forward-looking statements included in this prospectus speak only as of the date of this prospectus.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estimate that the net proceeds from the sale of 1,135,847 ordinary shares in this offering will be approximately $46.3 million (or approximately $53.3 million if the underwriters exercise their option to purchase additional ordinary shares in full), after deducting the underwriting discounts and commissions and estimated offering expenses payable by us, based on an assumed public offering price of $44.02 per ordinary share, which was the last reported sale price of our ordinary shares on the NASDAQ Global Market on January 11, 2018. Each $1.00 increase (decrease) in the assumed public offering price of $44.02 per ordinary share would increase (decrease) the net proceeds to us from this offering, after deducting the underwriting discounts and commissions and estimated offering expenses payable by us, by $1.1 million, assuming that the number of ordinary shares offered by us, as set forth on the cover of this prospectus, remains the same. We may also increase or decrease the number of ordinary shares we are offering. An increase (decrease) of 100,000 in the number of ordinary shares we are offering would increase (decrease) the net proceeds to us from this offering, after deducting the underwriting discounts and commissions and estimated offering expenses payable by us, by $4.1 million, assuming the assumed public offering price stays the same. The actual net proceeds we receive will depend on the actual number of ordinary shares offered by us, the actual public offering price and other terms of this offering determined at pricing.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expect to use the net proceeds from this offering, together with our existing cash resources, as follows:</w:t>
      </w:r>
    </w:p>
    <w:p>
      <w:pPr>
        <w:spacing w:after="0" w:line="196" w:lineRule="exact"/>
        <w:rPr>
          <w:sz w:val="20"/>
          <w:szCs w:val="20"/>
          <w:color w:val="auto"/>
        </w:rPr>
      </w:pPr>
    </w:p>
    <w:p>
      <w:pPr>
        <w:ind w:left="960" w:hanging="432"/>
        <w:spacing w:after="0"/>
        <w:tabs>
          <w:tab w:leader="none" w:pos="96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approximately $15.0 million to complete our single pivotal Phase 3 clinical trial of MitoGel for the treatment of low-grade UTUC;</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approximately $10.0 million to begin preparing for the commercial launch of MitoGel, if approved;</w:t>
      </w:r>
    </w:p>
    <w:p>
      <w:pPr>
        <w:spacing w:after="0" w:line="61" w:lineRule="exact"/>
        <w:rPr>
          <w:rFonts w:ascii="MS PGothic" w:cs="MS PGothic" w:eastAsia="MS PGothic" w:hAnsi="MS PGothic"/>
          <w:sz w:val="13"/>
          <w:szCs w:val="13"/>
          <w:color w:val="auto"/>
        </w:rPr>
      </w:pPr>
    </w:p>
    <w:p>
      <w:pPr>
        <w:ind w:left="960" w:right="120" w:hanging="432"/>
        <w:spacing w:after="0" w:line="243" w:lineRule="auto"/>
        <w:tabs>
          <w:tab w:leader="none" w:pos="96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approximately $2.0 million to file an IND for, and to initiate our Phase 2b clinical trial of, VesiGel for the treatment of low-grade NMIBC; and</w:t>
      </w:r>
    </w:p>
    <w:p>
      <w:pPr>
        <w:spacing w:after="0" w:line="49" w:lineRule="exact"/>
        <w:rPr>
          <w:rFonts w:ascii="MS PGothic" w:cs="MS PGothic" w:eastAsia="MS PGothic" w:hAnsi="MS PGothic"/>
          <w:sz w:val="13"/>
          <w:szCs w:val="13"/>
          <w:color w:val="auto"/>
        </w:rPr>
      </w:pPr>
    </w:p>
    <w:p>
      <w:pPr>
        <w:ind w:left="960" w:right="580" w:hanging="432"/>
        <w:spacing w:after="0" w:line="243" w:lineRule="auto"/>
        <w:tabs>
          <w:tab w:leader="none" w:pos="96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remainder to fund continued research and clinical development of our other product candidates, including Vesimune, and for working capital and other general corporate purposes.</w:t>
      </w:r>
    </w:p>
    <w:p>
      <w:pPr>
        <w:spacing w:after="0" w:line="144" w:lineRule="exact"/>
        <w:rPr>
          <w:sz w:val="20"/>
          <w:szCs w:val="20"/>
          <w:color w:val="auto"/>
        </w:rPr>
      </w:pPr>
    </w:p>
    <w:p>
      <w:pPr>
        <w:ind w:left="200" w:right="380"/>
        <w:spacing w:after="0" w:line="243" w:lineRule="auto"/>
        <w:rPr>
          <w:sz w:val="20"/>
          <w:szCs w:val="20"/>
          <w:color w:val="auto"/>
        </w:rPr>
      </w:pPr>
      <w:r>
        <w:rPr>
          <w:rFonts w:ascii="Arial" w:cs="Arial" w:eastAsia="Arial" w:hAnsi="Arial"/>
          <w:sz w:val="17"/>
          <w:szCs w:val="17"/>
          <w:color w:val="auto"/>
        </w:rPr>
        <w:t>Due to the uncertainties inherent in the clinical development and regulatory approval process, it is difficult to estimate with certainty the exact amounts of the net proceeds from this offering that may be used for any of the above purposes on a stand-alone basis.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Pending our application of the net proceeds from this offering, we plan to invest such proceeds in depositary institutions.</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PRICE OF ORDINARY SHARES</w:t>
      </w:r>
    </w:p>
    <w:p>
      <w:pPr>
        <w:spacing w:after="0" w:line="336" w:lineRule="exact"/>
        <w:rPr>
          <w:sz w:val="20"/>
          <w:szCs w:val="20"/>
          <w:color w:val="auto"/>
        </w:rPr>
      </w:pPr>
    </w:p>
    <w:p>
      <w:pPr>
        <w:jc w:val="both"/>
        <w:ind w:left="200" w:right="100"/>
        <w:spacing w:after="0" w:line="238" w:lineRule="auto"/>
        <w:rPr>
          <w:sz w:val="20"/>
          <w:szCs w:val="20"/>
          <w:color w:val="auto"/>
        </w:rPr>
      </w:pPr>
      <w:r>
        <w:rPr>
          <w:rFonts w:ascii="Arial" w:cs="Arial" w:eastAsia="Arial" w:hAnsi="Arial"/>
          <w:sz w:val="17"/>
          <w:szCs w:val="17"/>
          <w:color w:val="auto"/>
        </w:rPr>
        <w:t>Our ordinary shares have been listed on the NASDAQ Global Market under the symbol “URGN” since May 4, 2017. Prior to that date, there was no public trading market for our ordinary shares. The following table sets forth for the periods indicated the high and low intraday sales prices per ordinary share,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169"/>
        </w:trPr>
        <w:tc>
          <w:tcPr>
            <w:tcW w:w="20" w:type="dxa"/>
            <w:vAlign w:val="bottom"/>
          </w:tcPr>
          <w:p>
            <w:pPr>
              <w:spacing w:after="0"/>
              <w:rPr>
                <w:sz w:val="14"/>
                <w:szCs w:val="14"/>
                <w:color w:val="auto"/>
              </w:rPr>
            </w:pPr>
          </w:p>
        </w:tc>
        <w:tc>
          <w:tcPr>
            <w:tcW w:w="62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Annual:</w:t>
            </w:r>
          </w:p>
        </w:tc>
        <w:tc>
          <w:tcPr>
            <w:tcW w:w="3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color w:val="auto"/>
              </w:rPr>
              <w:t>2017</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$44.63</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$13.01</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2018 (through January 11)</w:t>
            </w:r>
          </w:p>
        </w:tc>
        <w:tc>
          <w:tcPr>
            <w:tcW w:w="3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46.68</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37.53</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b w:val="1"/>
                <w:bCs w:val="1"/>
                <w:color w:val="auto"/>
              </w:rPr>
              <w:t>Quarterly:</w:t>
            </w:r>
          </w:p>
        </w:tc>
        <w:tc>
          <w:tcPr>
            <w:tcW w:w="3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Second quarter 2017 (beginning May 4)</w:t>
            </w:r>
          </w:p>
        </w:tc>
        <w:tc>
          <w:tcPr>
            <w:tcW w:w="3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20.02</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13.01</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color w:val="auto"/>
              </w:rPr>
              <w:t>Third quarter 2017</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33.77</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17.07</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Fourth quarter 2017</w:t>
            </w:r>
          </w:p>
        </w:tc>
        <w:tc>
          <w:tcPr>
            <w:tcW w:w="3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44.63</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25.56</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color w:val="auto"/>
              </w:rPr>
              <w:t>First quarter 2018 (through January 11)</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46.68</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37.53</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Most Recent Six Months:</w:t>
            </w:r>
          </w:p>
        </w:tc>
        <w:tc>
          <w:tcPr>
            <w:tcW w:w="3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color w:val="auto"/>
              </w:rPr>
              <w:t>August 2017</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25.15</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17.07</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September 2017</w:t>
            </w:r>
          </w:p>
        </w:tc>
        <w:tc>
          <w:tcPr>
            <w:tcW w:w="3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33.77</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23.37</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color w:val="auto"/>
              </w:rPr>
              <w:t>October 2017</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33.17</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25.56</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November 2017</w:t>
            </w:r>
          </w:p>
        </w:tc>
        <w:tc>
          <w:tcPr>
            <w:tcW w:w="3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44.63</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29.72</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tcPr>
          <w:p>
            <w:pPr>
              <w:spacing w:after="0" w:line="189" w:lineRule="exact"/>
              <w:rPr>
                <w:sz w:val="20"/>
                <w:szCs w:val="20"/>
                <w:color w:val="auto"/>
              </w:rPr>
            </w:pPr>
            <w:r>
              <w:rPr>
                <w:rFonts w:ascii="Arial" w:cs="Arial" w:eastAsia="Arial" w:hAnsi="Arial"/>
                <w:sz w:val="17"/>
                <w:szCs w:val="17"/>
                <w:color w:val="auto"/>
              </w:rPr>
              <w:t>December 2017</w:t>
            </w:r>
          </w:p>
        </w:tc>
        <w:tc>
          <w:tcPr>
            <w:tcW w:w="3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41.25</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36.66</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January 2018 (through January 11)</w:t>
            </w:r>
          </w:p>
        </w:tc>
        <w:tc>
          <w:tcPr>
            <w:tcW w:w="3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46.68</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37.53</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5"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On January 11, 2018, the last reported sale price of our ordinary shares on the NASDAQ Global Market was $44.02 per share. As of January 11, 2018, we had 51 holders of record of our ordinary shares. The actual number of shareholders is greater than this number of record holders and includes shareholders who are beneficial owners, but whose shares are held in street name by brokers and other nominees. This number of holders of record also does not include shareholders whose ordinary shares may be held in trust or by other entities.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intend to reinvest any earnings in developing and expanding our business. Any future determination relating to our dividend policy will be at the discretion of our board of directors in compliance with applicable legal requirements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50"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See “Risk Factors—Risks Related to This Offering and Ownership of Our Ordinary Shares—We have never paid cash dividends on our share capital, and we do not anticipate paying any cash dividends in the foreseeable future” and, for an explanation concerning the payment of dividends under Israeli law, see “Description of Share Capital—Dividend and Liquidation Rights.”</w:t>
      </w:r>
    </w:p>
    <w:p>
      <w:pPr>
        <w:spacing w:after="0" w:line="14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980"/>
          </w:cols>
          <w:pgMar w:left="240" w:top="459" w:right="6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sets forth our cash and cash equivalents and capitalization as of September 30, 2017 on an:</w:t>
      </w:r>
    </w:p>
    <w:p>
      <w:pPr>
        <w:spacing w:after="0" w:line="196" w:lineRule="exact"/>
        <w:rPr>
          <w:sz w:val="20"/>
          <w:szCs w:val="20"/>
          <w:color w:val="auto"/>
        </w:rPr>
      </w:pPr>
    </w:p>
    <w:p>
      <w:pPr>
        <w:ind w:left="960" w:hanging="432"/>
        <w:spacing w:after="0"/>
        <w:tabs>
          <w:tab w:leader="none" w:pos="96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actual basis; and</w:t>
      </w:r>
    </w:p>
    <w:p>
      <w:pPr>
        <w:spacing w:after="0" w:line="61" w:lineRule="exact"/>
        <w:rPr>
          <w:rFonts w:ascii="MS PGothic" w:cs="MS PGothic" w:eastAsia="MS PGothic" w:hAnsi="MS PGothic"/>
          <w:sz w:val="13"/>
          <w:szCs w:val="13"/>
          <w:color w:val="auto"/>
        </w:rPr>
      </w:pPr>
    </w:p>
    <w:p>
      <w:pPr>
        <w:ind w:left="960" w:right="180" w:hanging="432"/>
        <w:spacing w:after="0" w:line="238" w:lineRule="auto"/>
        <w:tabs>
          <w:tab w:leader="none" w:pos="96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as adjusted basis to give effect to the sale of 1,135,847 ordinary shares in this offering at the assumed public offering price of $44.02 per ordinary share, which was the last reported sale price of our ordinary shares on the NASDAQ Global Market on January 11, 2018, after deducting the underwriting discounts and commissions and estimated offering expenses payable by us.</w:t>
      </w:r>
    </w:p>
    <w:p>
      <w:pPr>
        <w:spacing w:after="0" w:line="148"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7"/>
          <w:szCs w:val="17"/>
          <w:color w:val="auto"/>
        </w:rPr>
        <w:t>The as adjusted data included in the table below is also unaudited. You should read this information together with our condensed consolidated interim financial statements appearing elsewhere in this prospectus and the information set forth under the headings “Selected Financial Data,” “Use of Proceeds”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AS OF SEPTEMBER 30,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Borders>
              <w:top w:val="single" w:sz="8" w:color="auto"/>
              <w:bottom w:val="single" w:sz="8" w:color="auto"/>
            </w:tcBorders>
            <w:gridSpan w:val="3"/>
          </w:tcPr>
          <w:p>
            <w:pPr>
              <w:jc w:val="right"/>
              <w:ind w:right="328"/>
              <w:spacing w:after="0" w:line="155" w:lineRule="exact"/>
              <w:rPr>
                <w:sz w:val="20"/>
                <w:szCs w:val="20"/>
                <w:color w:val="auto"/>
              </w:rPr>
            </w:pPr>
            <w:r>
              <w:rPr>
                <w:rFonts w:ascii="Arial" w:cs="Arial" w:eastAsia="Arial" w:hAnsi="Arial"/>
                <w:sz w:val="14"/>
                <w:szCs w:val="14"/>
                <w:b w:val="1"/>
                <w:bCs w:val="1"/>
                <w:color w:val="auto"/>
              </w:rPr>
              <w:t>ACTUAL</w:t>
            </w:r>
          </w:p>
        </w:tc>
        <w:tc>
          <w:tcPr>
            <w:tcW w:w="1480" w:type="dxa"/>
            <w:vAlign w:val="bottom"/>
            <w:tcBorders>
              <w:top w:val="single" w:sz="8" w:color="auto"/>
              <w:bottom w:val="single" w:sz="8" w:color="auto"/>
            </w:tcBorders>
            <w:gridSpan w:val="3"/>
          </w:tcPr>
          <w:p>
            <w:pPr>
              <w:ind w:left="280"/>
              <w:spacing w:after="0" w:line="156" w:lineRule="exact"/>
              <w:rPr>
                <w:sz w:val="20"/>
                <w:szCs w:val="20"/>
                <w:color w:val="auto"/>
              </w:rPr>
            </w:pPr>
            <w:r>
              <w:rPr>
                <w:rFonts w:ascii="Arial" w:cs="Arial" w:eastAsia="Arial" w:hAnsi="Arial"/>
                <w:sz w:val="11"/>
                <w:szCs w:val="11"/>
                <w:b w:val="1"/>
                <w:bCs w:val="1"/>
                <w:color w:val="auto"/>
              </w:rPr>
              <w:t xml:space="preserve">AS ADJUSTED </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79,171</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125,471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7"/>
                <w:szCs w:val="17"/>
                <w:color w:val="auto"/>
              </w:rPr>
              <w:t>Shareholders’ equity</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4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NIS 0.01 par value: 100,000,000 shares authorized at September 30, 2017 actual</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and as adjusted; 13,178,400 issued and outstanding at September 30, 2017, actual;</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14,314,247 shares issued and outstanding, as adjusted</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4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w w:val="97"/>
              </w:rPr>
              <w:t>113,354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159,651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8"/>
              <w:spacing w:after="0" w:line="189" w:lineRule="exact"/>
              <w:rPr>
                <w:sz w:val="20"/>
                <w:szCs w:val="20"/>
                <w:color w:val="auto"/>
              </w:rPr>
            </w:pPr>
            <w:r>
              <w:rPr>
                <w:rFonts w:ascii="Arial" w:cs="Arial" w:eastAsia="Arial" w:hAnsi="Arial"/>
                <w:sz w:val="17"/>
                <w:szCs w:val="17"/>
                <w:color w:val="auto"/>
              </w:rPr>
              <w:t>(37,128)</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(37,128)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tcPr>
          <w:p>
            <w:pPr>
              <w:ind w:left="480"/>
              <w:spacing w:after="0"/>
              <w:rPr>
                <w:sz w:val="20"/>
                <w:szCs w:val="20"/>
                <w:color w:val="auto"/>
              </w:rPr>
            </w:pPr>
            <w:r>
              <w:rPr>
                <w:rFonts w:ascii="Arial" w:cs="Arial" w:eastAsia="Arial" w:hAnsi="Arial"/>
                <w:sz w:val="17"/>
                <w:szCs w:val="17"/>
                <w:color w:val="auto"/>
              </w:rPr>
              <w:t>Total shareholders’ equity</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76,261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122,561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4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Total capitalization</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76,261</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122,561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8" w:lineRule="exact"/>
        <w:rPr>
          <w:sz w:val="20"/>
          <w:szCs w:val="20"/>
          <w:color w:val="auto"/>
        </w:rPr>
      </w:pPr>
    </w:p>
    <w:p>
      <w:pPr>
        <w:ind w:left="520" w:right="60" w:hanging="249"/>
        <w:spacing w:after="0" w:line="223" w:lineRule="auto"/>
        <w:tabs>
          <w:tab w:leader="none" w:pos="520" w:val="left"/>
        </w:tabs>
        <w:numPr>
          <w:ilvl w:val="0"/>
          <w:numId w:val="42"/>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public offering price of $44.02 per ordinary share, which was the last reported sale price of our ordinary shares on the NASDAQ Global Market on January 11, 2018, would increase or decrease, respectively, each of cash and cash equivalents, total shareholders’ equity and total capitalization by $1.1 million, assuming the number of ordinary shares offered by us, as set forth on the cover of this prospectus, remains the same, and after deducting the underwriting discounts and commissions and estimated offering expenses payable by us. Similarly, each increase or decrease of 100,000 in the number of ordinary shares we are offering would increase or decrease, respectively, each of cash and cash equivalents, total equity and total capitalization by $4.1 million, assuming the assumed public offering price per ordinary share remains the same, and after deducting the underwriting discounts and commissions and estimated offering expenses payable by us. The as adjusted information is illustrative only, and we will adjust this information based on the actual public offering price and other terms of this offering determined at pricing.</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If you invest in our ordinary shares in this offering, your interest will be immediately diluted to the extent of the difference between the public offering price per ordinary share in this offering and the net tangible book value per ordinary share after this offering. Dilution results from the fact that the public offering price per ordinary share is substantially in excess of the net tangible book value per ordinary share. As of September 30, 2017, we had a historical net tangible book value per ordinary share of $5.79. Our net tangible book value per share represents total tangible assets less total liabilities, all divided by the number of shares outstanding on September 30, 2017.</w:t>
      </w:r>
    </w:p>
    <w:p>
      <w:pPr>
        <w:spacing w:after="0" w:line="150"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After giving effect to the sale of ordinary shares in this offering at the assumed public offering price of $44.02 per ordinary share, which was the last reported sale price of our ordinary shares on the NASDAQ Global Market on January 11, 2018, and after deducting the underwriting discounts and commissions and estimated offering expenses, our as adjusted net tangible book value at September 30, 2017 would have been $8.56 per share. This represents an immediate increase in as adjusted net tangible book value of $2.78 per share attributable to this offering and immediate dilution of $35.46 per ordinary share to investors participating in the offering. The following table illustrates this dilution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ordinary share</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Historical net tangible book value per ordinary share as of September 30, 2017</w:t>
            </w:r>
          </w:p>
        </w:tc>
        <w:tc>
          <w:tcPr>
            <w:tcW w:w="2520" w:type="dxa"/>
            <w:vAlign w:val="bottom"/>
          </w:tcPr>
          <w:p>
            <w:pPr>
              <w:jc w:val="right"/>
              <w:ind w:right="295"/>
              <w:spacing w:after="0" w:line="189" w:lineRule="exact"/>
              <w:rPr>
                <w:sz w:val="20"/>
                <w:szCs w:val="20"/>
                <w:color w:val="auto"/>
              </w:rPr>
            </w:pPr>
            <w:r>
              <w:rPr>
                <w:rFonts w:ascii="Arial" w:cs="Arial" w:eastAsia="Arial" w:hAnsi="Arial"/>
                <w:sz w:val="17"/>
                <w:szCs w:val="17"/>
                <w:color w:val="auto"/>
              </w:rPr>
              <w:t>$5.79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net tangible book value per share attributable to this offering</w:t>
            </w:r>
          </w:p>
        </w:tc>
        <w:tc>
          <w:tcPr>
            <w:tcW w:w="25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color w:val="auto"/>
              </w:rPr>
              <w:t>As adjusted net tangible book value per ordinary share after this offering</w:t>
            </w:r>
          </w:p>
        </w:tc>
        <w:tc>
          <w:tcPr>
            <w:tcW w:w="2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8.56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ordinary share to investors participating in this offering</w:t>
            </w:r>
          </w:p>
        </w:tc>
        <w:tc>
          <w:tcPr>
            <w:tcW w:w="2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35.46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Each $1.00 increase or decrease in the assumed public offering price of $44.02 per ordinary share, which was the last reported sale price of our ordinary shares on the NASDAQ Global Market on January 11, 2018, would increase or decrease, respectively, our as adjusted net tangible book value as of September 30, 2017 after this offering by approximately $0.07 per ordinary share, and would increase or decrease, respectively, dilution to investors in this offering by $0.93 per ordinary share, assuming that the number of ordinary shares offered by us, as set forth on the cover of this prospectus, remains the same, and after deducting the underwriting discounts and commissions and estimated offering expenses payable by us. Similarly, each increase or decrease of 100,000 in the number of ordinary shares we are offering would increase or decrease, respectively, our as adjusted net tangible book value as of September 30, 2017 after this offering by approximately $0.23 per ordinary share, and would increase or decrease, respectively, dilution to investors in this offering by approximately $0.23 per ordinary share, assuming the assumed public offering price per ordinary share remains the same, and after deducting the underwriting discounts and commissions and estimated offering expenses payable by us. The as adjusted information is illustrative only, and we will adjust this information based on the actual public offering price and other terms of this offering determined at pricing.</w:t>
      </w:r>
    </w:p>
    <w:p>
      <w:pPr>
        <w:spacing w:after="0" w:line="154" w:lineRule="exact"/>
        <w:rPr>
          <w:sz w:val="20"/>
          <w:szCs w:val="20"/>
          <w:color w:val="auto"/>
        </w:rPr>
      </w:pPr>
    </w:p>
    <w:p>
      <w:pPr>
        <w:ind w:left="200" w:right="520"/>
        <w:spacing w:after="0" w:line="238" w:lineRule="auto"/>
        <w:rPr>
          <w:sz w:val="20"/>
          <w:szCs w:val="20"/>
          <w:color w:val="auto"/>
        </w:rPr>
      </w:pPr>
      <w:r>
        <w:rPr>
          <w:rFonts w:ascii="Arial" w:cs="Arial" w:eastAsia="Arial" w:hAnsi="Arial"/>
          <w:sz w:val="17"/>
          <w:szCs w:val="17"/>
          <w:color w:val="auto"/>
        </w:rPr>
        <w:t>If the underwriters exercise in full their option to purchase 170,377 additional ordinary shares, the as adjusted net tangible book value will increase to $8.95 per ordinary share, representing an immediate increase in as adjusted net tangible book value to existing shareholders of $0.39 per ordinary share and an immediate dilution of $35.07 per ordinary share to investors participating in this offering.</w:t>
      </w:r>
    </w:p>
    <w:p>
      <w:pPr>
        <w:spacing w:after="0" w:line="148"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equity holders.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information above is based on 13,178,400 ordinary shares outstanding as of September 30, 2017 and assumes:</w:t>
      </w:r>
    </w:p>
    <w:p>
      <w:pPr>
        <w:spacing w:after="0" w:line="196" w:lineRule="exact"/>
        <w:rPr>
          <w:sz w:val="20"/>
          <w:szCs w:val="20"/>
          <w:color w:val="auto"/>
        </w:rPr>
      </w:pPr>
    </w:p>
    <w:p>
      <w:pPr>
        <w:ind w:left="960" w:hanging="432"/>
        <w:spacing w:after="0"/>
        <w:tabs>
          <w:tab w:leader="none" w:pos="96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issuance by us of 1,135,847 ordinary shares in this offering;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except where indicated otherwise, no exercise of the underwriters’ option to purchase up to 170,377 additional ordinary shares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but excludes:</w:t>
      </w:r>
    </w:p>
    <w:p>
      <w:pPr>
        <w:spacing w:after="0" w:line="196" w:lineRule="exact"/>
        <w:rPr>
          <w:sz w:val="20"/>
          <w:szCs w:val="20"/>
          <w:color w:val="auto"/>
        </w:rPr>
      </w:pPr>
    </w:p>
    <w:p>
      <w:pPr>
        <w:ind w:left="960" w:hanging="432"/>
        <w:spacing w:after="0" w:line="243" w:lineRule="auto"/>
        <w:tabs>
          <w:tab w:leader="none" w:pos="96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2,208,663 ordinary shares reserved for issuance under our 2010 Israeli Share Option Plan upon the exercise of outstanding options at a weighted average exercise price of $4.85 per share;</w:t>
      </w:r>
    </w:p>
    <w:p>
      <w:pPr>
        <w:spacing w:after="0" w:line="22" w:lineRule="exact"/>
        <w:rPr>
          <w:rFonts w:ascii="MS PGothic" w:cs="MS PGothic" w:eastAsia="MS PGothic" w:hAnsi="MS PGothic"/>
          <w:sz w:val="13"/>
          <w:szCs w:val="13"/>
          <w:color w:val="auto"/>
        </w:rPr>
      </w:pPr>
    </w:p>
    <w:p>
      <w:pPr>
        <w:ind w:left="960" w:right="300" w:hanging="432"/>
        <w:spacing w:after="0" w:line="243" w:lineRule="auto"/>
        <w:tabs>
          <w:tab w:leader="none" w:pos="96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375,000 ordinary shares reserved for issuance under our 2017 Equity Incentive Plan upon the exercise of outstanding options at a weighted average exercise price of $20.54 per share;</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329,000 ordinary shares reserved for issuance upon the vesting of outstanding restricted share units;</w:t>
      </w:r>
    </w:p>
    <w:p>
      <w:pPr>
        <w:spacing w:after="0" w:line="34" w:lineRule="exact"/>
        <w:rPr>
          <w:rFonts w:ascii="MS PGothic" w:cs="MS PGothic" w:eastAsia="MS PGothic" w:hAnsi="MS PGothic"/>
          <w:sz w:val="13"/>
          <w:szCs w:val="13"/>
          <w:color w:val="auto"/>
        </w:rPr>
      </w:pPr>
    </w:p>
    <w:p>
      <w:pPr>
        <w:ind w:left="960" w:right="480" w:hanging="432"/>
        <w:spacing w:after="0" w:line="243" w:lineRule="auto"/>
        <w:tabs>
          <w:tab w:leader="none" w:pos="96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278,400 ordinary shares reserved for issuance upon the achievement of certain milestones under the Vesimune asset purchase agreement with Telormedix SA;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1,000,000 ordinary shares available for issuance pursuant to the terms of our 2017 Equity Incentive Plan.</w:t>
      </w:r>
    </w:p>
    <w:p>
      <w:pPr>
        <w:spacing w:after="0" w:line="15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80"/>
          </w:cols>
          <w:pgMar w:left="240" w:top="459" w:right="5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31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i w:val="1"/>
          <w:iCs w:val="1"/>
          <w:color w:val="auto"/>
        </w:rPr>
        <w:t>The following tables present selected financial data for our business. We derived the statements of operations data for the years ended December 31, 2016 and 2015 and the balance sheet data as of December 31, 2016 and 2015 from our consolidated audited financial statements and related notes appearing elsewhere in this prospectus. We derived the statements of operations data for the nine months ended September 30, 2017 and 2016 and the balance sheet data as of September 30, 2017 from our condensed consolidated unaudited financial statements and related notes appearing elsewhere in this prospectus. Our condensed consolidated unaudited financial statements have been prepared on the same basis as our consolidated audited financial statements, and, in the opinion of management, reflect all adjustments, which include only normal recurring adjustments, necessary to state fairly our financial position as of September 30, 2017 and the results of operations for the nine months ended September 30, 2016 and 2017. We maintain our books and records in U.S. dollars, and prepare our financial statements in accordance with accounting principles generally accepted in the United States, or U.S. GAAP, as issued by the Financial Accounting Standards Board, or FASB. You should read this data together with our financial statements and related notes appearing elsewhere in this prospectus and the information under the captions “Capitalization” and “Management’s Discussion and Analysis of Financial Condition and Results of Operations.” Our historical results are not necessarily indicative of our future results, and our interim period results are not necessarily indicative of results to be expected for a full year or any other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133350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gridSpan w:val="9"/>
          </w:tcPr>
          <w:p>
            <w:pPr>
              <w:ind w:left="6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Statements of operations data:</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7"/>
                <w:szCs w:val="17"/>
                <w:color w:val="auto"/>
              </w:rPr>
              <w:t>Revenues</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17,530</w:t>
            </w:r>
          </w:p>
        </w:tc>
        <w:tc>
          <w:tcPr>
            <w:tcW w:w="120" w:type="dxa"/>
            <w:vAlign w:val="bottom"/>
          </w:tcPr>
          <w:p>
            <w:pPr>
              <w:spacing w:after="0"/>
              <w:rPr>
                <w:sz w:val="16"/>
                <w:szCs w:val="16"/>
                <w:color w:val="auto"/>
              </w:rPr>
            </w:pPr>
          </w:p>
        </w:tc>
        <w:tc>
          <w:tcPr>
            <w:tcW w:w="880" w:type="dxa"/>
            <w:vAlign w:val="bottom"/>
            <w:gridSpan w:val="3"/>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7,831</w:t>
            </w:r>
          </w:p>
        </w:tc>
        <w:tc>
          <w:tcPr>
            <w:tcW w:w="460" w:type="dxa"/>
            <w:vAlign w:val="bottom"/>
          </w:tcPr>
          <w:p>
            <w:pPr>
              <w:spacing w:after="0"/>
              <w:rPr>
                <w:sz w:val="16"/>
                <w:szCs w:val="16"/>
                <w:color w:val="auto"/>
              </w:rPr>
            </w:pPr>
          </w:p>
        </w:tc>
        <w:tc>
          <w:tcPr>
            <w:tcW w:w="40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313</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7,518</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10,287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10,515</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11,936</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1,895</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5,374</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loss (income)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12,410</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9,792</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13,103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spacing w:after="0" w:line="189" w:lineRule="exact"/>
              <w:rPr>
                <w:sz w:val="20"/>
                <w:szCs w:val="20"/>
                <w:color w:val="auto"/>
              </w:rPr>
            </w:pPr>
            <w:r>
              <w:rPr>
                <w:rFonts w:ascii="Arial" w:cs="Arial" w:eastAsia="Arial" w:hAnsi="Arial"/>
                <w:sz w:val="17"/>
                <w:szCs w:val="17"/>
                <w:color w:val="auto"/>
              </w:rPr>
              <w:t>Finance expenses, net</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279</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color w:val="auto"/>
              </w:rPr>
              <w:t>122</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for the period</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1,941</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spacing w:after="0"/>
              <w:rPr>
                <w:sz w:val="16"/>
                <w:szCs w:val="16"/>
                <w:color w:val="auto"/>
              </w:rPr>
            </w:pPr>
          </w:p>
        </w:tc>
        <w:tc>
          <w:tcPr>
            <w:tcW w:w="34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12,689</w:t>
            </w: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9,914</w:t>
            </w:r>
          </w:p>
        </w:tc>
        <w:tc>
          <w:tcPr>
            <w:tcW w:w="4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14,864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rPr>
              <w:t>Loss per ordinary share, basic and diluted</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gridSpan w:val="2"/>
            <w:vMerge w:val="continue"/>
          </w:tcPr>
          <w:p>
            <w:pPr>
              <w:spacing w:after="0"/>
              <w:rPr>
                <w:sz w:val="15"/>
                <w:szCs w:val="15"/>
                <w:color w:val="auto"/>
              </w:rPr>
            </w:pPr>
          </w:p>
        </w:tc>
        <w:tc>
          <w:tcPr>
            <w:tcW w:w="4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1.91</w:t>
            </w:r>
          </w:p>
        </w:tc>
        <w:tc>
          <w:tcPr>
            <w:tcW w:w="120" w:type="dxa"/>
            <w:vAlign w:val="bottom"/>
          </w:tcPr>
          <w:p>
            <w:pPr>
              <w:spacing w:after="0"/>
              <w:rPr>
                <w:sz w:val="15"/>
                <w:szCs w:val="15"/>
                <w:color w:val="auto"/>
              </w:rPr>
            </w:pPr>
          </w:p>
        </w:tc>
        <w:tc>
          <w:tcPr>
            <w:tcW w:w="880" w:type="dxa"/>
            <w:vAlign w:val="bottom"/>
            <w:gridSpan w:val="3"/>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5.88</w:t>
            </w:r>
          </w:p>
        </w:tc>
        <w:tc>
          <w:tcPr>
            <w:tcW w:w="7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1.31</w:t>
            </w:r>
          </w:p>
        </w:tc>
        <w:tc>
          <w:tcPr>
            <w:tcW w:w="460" w:type="dxa"/>
            <w:vAlign w:val="bottom"/>
          </w:tcPr>
          <w:p>
            <w:pPr>
              <w:spacing w:after="0"/>
              <w:rPr>
                <w:sz w:val="15"/>
                <w:szCs w:val="15"/>
                <w:color w:val="auto"/>
              </w:rPr>
            </w:pPr>
          </w:p>
        </w:tc>
        <w:tc>
          <w:tcPr>
            <w:tcW w:w="400" w:type="dxa"/>
            <w:vAlign w:val="bottom"/>
            <w:gridSpan w:val="2"/>
          </w:tcPr>
          <w:p>
            <w:pPr>
              <w:jc w:val="center"/>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line="183" w:lineRule="exact"/>
              <w:rPr>
                <w:sz w:val="20"/>
                <w:szCs w:val="20"/>
                <w:color w:val="auto"/>
              </w:rPr>
            </w:pPr>
            <w:r>
              <w:rPr>
                <w:rFonts w:ascii="Arial" w:cs="Arial" w:eastAsia="Arial" w:hAnsi="Arial"/>
                <w:sz w:val="17"/>
                <w:szCs w:val="17"/>
                <w:color w:val="auto"/>
              </w:rPr>
              <w:t>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2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Weighted average number of ordinary shares outstanding used in</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computing loss per share</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2,305,503</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2,300,959</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8,223,124</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2,305,410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AS OF DECEMBER 31,</w:t>
            </w:r>
          </w:p>
        </w:tc>
        <w:tc>
          <w:tcPr>
            <w:tcW w:w="2320" w:type="dxa"/>
            <w:vAlign w:val="bottom"/>
            <w:gridSpan w:val="7"/>
          </w:tcPr>
          <w:p>
            <w:pPr>
              <w:ind w:left="64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center"/>
              <w:ind w:left="9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60" w:type="dxa"/>
            <w:vAlign w:val="bottom"/>
            <w:gridSpan w:val="5"/>
          </w:tcPr>
          <w:p>
            <w:pPr>
              <w:ind w:left="40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sheet data:</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left="138"/>
              <w:spacing w:after="0" w:line="189" w:lineRule="exact"/>
              <w:rPr>
                <w:sz w:val="20"/>
                <w:szCs w:val="20"/>
                <w:color w:val="auto"/>
              </w:rPr>
            </w:pPr>
            <w:r>
              <w:rPr>
                <w:rFonts w:ascii="Arial" w:cs="Arial" w:eastAsia="Arial" w:hAnsi="Arial"/>
                <w:sz w:val="17"/>
                <w:szCs w:val="17"/>
                <w:color w:val="auto"/>
              </w:rPr>
              <w:t>$21,362</w:t>
            </w:r>
          </w:p>
        </w:tc>
        <w:tc>
          <w:tcPr>
            <w:tcW w:w="540" w:type="dxa"/>
            <w:vAlign w:val="bottom"/>
          </w:tcPr>
          <w:p>
            <w:pPr>
              <w:spacing w:after="0"/>
              <w:rPr>
                <w:sz w:val="16"/>
                <w:szCs w:val="16"/>
                <w:color w:val="auto"/>
              </w:rPr>
            </w:pPr>
          </w:p>
        </w:tc>
        <w:tc>
          <w:tcPr>
            <w:tcW w:w="72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$17,975</w:t>
            </w:r>
          </w:p>
        </w:tc>
        <w:tc>
          <w:tcPr>
            <w:tcW w:w="780" w:type="dxa"/>
            <w:vAlign w:val="bottom"/>
            <w:gridSpan w:val="2"/>
          </w:tcPr>
          <w:p>
            <w:pPr>
              <w:ind w:left="62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79,171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(1)</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center"/>
              <w:ind w:left="138"/>
              <w:spacing w:after="0" w:line="189" w:lineRule="exact"/>
              <w:rPr>
                <w:sz w:val="20"/>
                <w:szCs w:val="20"/>
                <w:color w:val="auto"/>
              </w:rPr>
            </w:pPr>
            <w:r>
              <w:rPr>
                <w:rFonts w:ascii="Arial" w:cs="Arial" w:eastAsia="Arial" w:hAnsi="Arial"/>
                <w:sz w:val="17"/>
                <w:szCs w:val="17"/>
                <w:color w:val="auto"/>
              </w:rPr>
              <w:t>$18,904</w:t>
            </w:r>
          </w:p>
        </w:tc>
        <w:tc>
          <w:tcPr>
            <w:tcW w:w="5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$16,894</w:t>
            </w:r>
          </w:p>
        </w:tc>
        <w:tc>
          <w:tcPr>
            <w:tcW w:w="780" w:type="dxa"/>
            <w:vAlign w:val="bottom"/>
            <w:gridSpan w:val="2"/>
            <w:shd w:val="clear" w:color="auto" w:fill="CCEEFF"/>
          </w:tcPr>
          <w:p>
            <w:pPr>
              <w:ind w:left="62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75,522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left="138"/>
              <w:spacing w:after="0" w:line="189" w:lineRule="exact"/>
              <w:rPr>
                <w:sz w:val="20"/>
                <w:szCs w:val="20"/>
                <w:color w:val="auto"/>
              </w:rPr>
            </w:pPr>
            <w:r>
              <w:rPr>
                <w:rFonts w:ascii="Arial" w:cs="Arial" w:eastAsia="Arial" w:hAnsi="Arial"/>
                <w:sz w:val="17"/>
                <w:szCs w:val="17"/>
                <w:color w:val="auto"/>
              </w:rPr>
              <w:t>$23,056</w:t>
            </w:r>
          </w:p>
        </w:tc>
        <w:tc>
          <w:tcPr>
            <w:tcW w:w="540" w:type="dxa"/>
            <w:vAlign w:val="bottom"/>
          </w:tcPr>
          <w:p>
            <w:pPr>
              <w:spacing w:after="0"/>
              <w:rPr>
                <w:sz w:val="16"/>
                <w:szCs w:val="16"/>
                <w:color w:val="auto"/>
              </w:rPr>
            </w:pPr>
          </w:p>
        </w:tc>
        <w:tc>
          <w:tcPr>
            <w:tcW w:w="72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$19,390</w:t>
            </w:r>
          </w:p>
        </w:tc>
        <w:tc>
          <w:tcPr>
            <w:tcW w:w="780" w:type="dxa"/>
            <w:vAlign w:val="bottom"/>
            <w:gridSpan w:val="2"/>
          </w:tcPr>
          <w:p>
            <w:pPr>
              <w:ind w:left="62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81,188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center"/>
              <w:ind w:left="138"/>
              <w:spacing w:after="0" w:line="189" w:lineRule="exact"/>
              <w:rPr>
                <w:sz w:val="20"/>
                <w:szCs w:val="20"/>
                <w:color w:val="auto"/>
              </w:rPr>
            </w:pPr>
            <w:r>
              <w:rPr>
                <w:rFonts w:ascii="Arial" w:cs="Arial" w:eastAsia="Arial" w:hAnsi="Arial"/>
                <w:sz w:val="17"/>
                <w:szCs w:val="17"/>
                <w:color w:val="auto"/>
              </w:rPr>
              <w:t>$ 6,749</w:t>
            </w:r>
          </w:p>
        </w:tc>
        <w:tc>
          <w:tcPr>
            <w:tcW w:w="5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$ 3,109</w:t>
            </w:r>
          </w:p>
        </w:tc>
        <w:tc>
          <w:tcPr>
            <w:tcW w:w="780" w:type="dxa"/>
            <w:vAlign w:val="bottom"/>
            <w:gridSpan w:val="2"/>
            <w:shd w:val="clear" w:color="auto" w:fill="CCEEFF"/>
          </w:tcPr>
          <w:p>
            <w:pPr>
              <w:ind w:left="62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4,927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left="138"/>
              <w:spacing w:after="0"/>
              <w:rPr>
                <w:sz w:val="20"/>
                <w:szCs w:val="20"/>
                <w:color w:val="auto"/>
              </w:rPr>
            </w:pPr>
            <w:r>
              <w:rPr>
                <w:rFonts w:ascii="Arial" w:cs="Arial" w:eastAsia="Arial" w:hAnsi="Arial"/>
                <w:sz w:val="17"/>
                <w:szCs w:val="17"/>
                <w:color w:val="auto"/>
              </w:rPr>
              <w:t>$16,307</w:t>
            </w:r>
          </w:p>
        </w:tc>
        <w:tc>
          <w:tcPr>
            <w:tcW w:w="54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$16,281</w:t>
            </w:r>
          </w:p>
        </w:tc>
        <w:tc>
          <w:tcPr>
            <w:tcW w:w="78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76,261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6" w:lineRule="exact"/>
        <w:rPr>
          <w:sz w:val="20"/>
          <w:szCs w:val="20"/>
          <w:color w:val="auto"/>
        </w:rPr>
      </w:pPr>
    </w:p>
    <w:p>
      <w:pPr>
        <w:ind w:left="520" w:hanging="289"/>
        <w:spacing w:after="0"/>
        <w:tabs>
          <w:tab w:leader="none" w:pos="52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Working capital is defined as total current assets minus total current liabilities.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Financial Data” and our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entitled “Special Note Regarding Forward-Looking Statements.”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74"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and upper urinary tract surgeries, including removal of the upper urinary tract, which are major surgical procedures typically performed when local endoscopic tumor resection fails to control the disease progression. Additionally, we believe that our product candidates, which are based on formulations of previously approved drugs, may qualify for streamlined regulatory pathways to market approval.</w:t>
      </w:r>
    </w:p>
    <w:p>
      <w:pPr>
        <w:spacing w:after="0" w:line="154"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of the active drug throughout the organ. Consequently, we believe that RTGel-based drug formulations may enable us to overcome the anatomical and physiological challenges that have historically contributed to the lack of drug development for the treatment of urothelial cancer. No drugs have been approved by the U.S. Food and Drug Administration, or the FDA, for the treatment of non-muscle invasive bladder cancer, or NMIBC, in more than 15 years.</w:t>
      </w:r>
    </w:p>
    <w:p>
      <w:pPr>
        <w:spacing w:after="0" w:line="150"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which may include Carcinoma in Situ, or CIS. Vesimune is a novel, liquid formulation of Imiquimod, a generic toll-like receptor 7, or TLR7, agonist. Toll-like receptor agonists play a key role in initiating the innate immune response system. We believe that the combination of Vesimune with additional immunotherapy drugs, such as immune checkpoint inhibitors or chemotherapy drugs like VesiGel, could represent a valid alternative to the current standard of care for the post-TURBT adjuvant treatment of high-grade NMIBC.</w:t>
      </w:r>
    </w:p>
    <w:p>
      <w:pPr>
        <w:spacing w:after="0" w:line="96" w:lineRule="exact"/>
        <w:rPr>
          <w:sz w:val="20"/>
          <w:szCs w:val="20"/>
          <w:color w:val="auto"/>
        </w:rPr>
      </w:pPr>
    </w:p>
    <w:p>
      <w:pPr>
        <w:ind w:left="200" w:right="180"/>
        <w:spacing w:after="0" w:line="236" w:lineRule="auto"/>
        <w:rPr>
          <w:sz w:val="20"/>
          <w:szCs w:val="20"/>
          <w:color w:val="auto"/>
        </w:rPr>
      </w:pPr>
      <w:r>
        <w:rPr>
          <w:rFonts w:ascii="Arial" w:cs="Arial" w:eastAsia="Arial" w:hAnsi="Arial"/>
          <w:sz w:val="17"/>
          <w:szCs w:val="17"/>
          <w:color w:val="auto"/>
        </w:rPr>
        <w:t>BotuGel is our proprietary novel RTGel-based formulation of BOTOX, a branded drug, that we believe can potentially serve as an effective treatment option for patients suffering from overactive bladder. In October 2016, we announced the licensing of the worldwide rights to RTGel in combination with neurotoxins, including BOTOX, to Allergan Pharmaceuticals International Limited, or Allergan, a wholly owned subsidiary of Allergan plc, or the Allergan Agreement. In August 2017, we announced that Allergan had submitted an IND to the FDA in order to be able to</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20"/>
        <w:spacing w:after="0" w:line="243" w:lineRule="auto"/>
        <w:rPr>
          <w:sz w:val="20"/>
          <w:szCs w:val="20"/>
          <w:color w:val="auto"/>
        </w:rPr>
      </w:pPr>
      <w:r>
        <w:rPr>
          <w:rFonts w:ascii="Arial" w:cs="Arial" w:eastAsia="Arial" w:hAnsi="Arial"/>
          <w:sz w:val="17"/>
          <w:szCs w:val="17"/>
          <w:color w:val="auto"/>
        </w:rPr>
        <w:t>commence clinical trials in the United States using the RTGel in combination with BOTOX. In October 2017, Allergan commenced a Phase 2 clinical trial of BotuGel for the treatment of overactive bladder.</w:t>
      </w:r>
    </w:p>
    <w:p>
      <w:pPr>
        <w:spacing w:after="0" w:line="90"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have incurred net losses in each period since our formation in 2004. We incurred net losses of $9.9 million and $1.9 million for the nine months ended September 30, 2017 and the year ended December 31, 2016, respectively. As of September 30, 2017, and December 31, 2016, our accumulated deficit was $37.1 million and $27.2 million, respectively. We expect to continue to incur losses for the foreseeable future, and our losses may fluctuate significantly from year to year. We expect that our expenses will increase substantially in connection with our ongoing activities as we:</w:t>
      </w:r>
    </w:p>
    <w:p>
      <w:pPr>
        <w:spacing w:after="0" w:line="191" w:lineRule="exact"/>
        <w:rPr>
          <w:sz w:val="20"/>
          <w:szCs w:val="20"/>
          <w:color w:val="auto"/>
        </w:rPr>
      </w:pPr>
    </w:p>
    <w:p>
      <w:pPr>
        <w:ind w:left="960" w:right="80" w:hanging="432"/>
        <w:spacing w:after="0" w:line="243" w:lineRule="auto"/>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conduct the single pivotal Phase 3 clinical trial for MitoGel, and plan to initiate a Phase 2b clinical trial for VesiGel, each pursuant to the FDA’s 505(b)(2) regulatory pathway;</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initiate an additional clinical trial for Vesimune in combination with another agent;</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continue the preclinical development of our other product candidates;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file an NDA seeking regulatory approval for any product candidates;</w:t>
      </w:r>
    </w:p>
    <w:p>
      <w:pPr>
        <w:spacing w:after="0" w:line="34" w:lineRule="exact"/>
        <w:rPr>
          <w:rFonts w:ascii="MS PGothic" w:cs="MS PGothic" w:eastAsia="MS PGothic" w:hAnsi="MS PGothic"/>
          <w:sz w:val="13"/>
          <w:szCs w:val="13"/>
          <w:color w:val="auto"/>
        </w:rPr>
      </w:pPr>
    </w:p>
    <w:p>
      <w:pPr>
        <w:ind w:left="960" w:right="560" w:hanging="432"/>
        <w:spacing w:after="0" w:line="243" w:lineRule="auto"/>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establish a sales, marketing and distribution infrastructure and scale up external manufacturing capabilities to commercialize any products for which we obtain regulatory approval;</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maintain, expand and protect our intellectual property portfolio;</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add equipment and physical infrastructure to support our research and development;</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hire additional clinical development, regulatory, commercial, quality control and manufacturing personnel; and</w:t>
      </w:r>
    </w:p>
    <w:p>
      <w:pPr>
        <w:spacing w:after="0" w:line="34" w:lineRule="exact"/>
        <w:rPr>
          <w:rFonts w:ascii="MS PGothic" w:cs="MS PGothic" w:eastAsia="MS PGothic" w:hAnsi="MS PGothic"/>
          <w:sz w:val="13"/>
          <w:szCs w:val="13"/>
          <w:color w:val="auto"/>
        </w:rPr>
      </w:pPr>
    </w:p>
    <w:p>
      <w:pPr>
        <w:ind w:left="960" w:right="1000" w:hanging="432"/>
        <w:spacing w:after="0" w:line="243" w:lineRule="auto"/>
        <w:tabs>
          <w:tab w:leader="none" w:pos="96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add operational, financial and management information systems and personnel, including personnel to support our product development and planned future commercialization.</w:t>
      </w:r>
    </w:p>
    <w:p>
      <w:pPr>
        <w:spacing w:after="0" w:line="144"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We will need substantial additional funding to support our operating activities as we advance our product candidates through clinical development, seek regulatory approval and prepare for and, if any of our product candidates are approved, proceed to commercialization. Adequate funding may not be available to us on acceptable terms, or at all.</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Allergan License Agreement</w:t>
      </w:r>
    </w:p>
    <w:p>
      <w:pPr>
        <w:spacing w:after="0" w:line="93" w:lineRule="exact"/>
        <w:rPr>
          <w:sz w:val="20"/>
          <w:szCs w:val="20"/>
          <w:color w:val="auto"/>
        </w:rPr>
      </w:pPr>
    </w:p>
    <w:p>
      <w:pPr>
        <w:ind w:left="200" w:right="100"/>
        <w:spacing w:after="0" w:line="233" w:lineRule="auto"/>
        <w:rPr>
          <w:sz w:val="20"/>
          <w:szCs w:val="20"/>
          <w:color w:val="auto"/>
        </w:rPr>
      </w:pPr>
      <w:r>
        <w:rPr>
          <w:rFonts w:ascii="Arial" w:cs="Arial" w:eastAsia="Arial" w:hAnsi="Arial"/>
          <w:sz w:val="17"/>
          <w:szCs w:val="17"/>
          <w:color w:val="auto"/>
        </w:rPr>
        <w:t>We entered into an exclusive license agreement with Allergan Pharmaceuticals International Limited, or Allergan, a wholly owned subsidiary of Allergan plc in October 2016, which we refer to as the Allergan Agreement. Allergan paid us a nonrefundable upfront license fee of $17.5 million, and we are eligible to receive additional milestone payments upon the successful completion of certain development, regulatory and commercial milestones. Under the Allergan Agreement, Allergan is solely responsible, at its expense, for developing, obtaining regulatory approvals for and commercializing on a worldwide basis pharmaceutical products that contain RTGel and clostridial toxins (including BOTOX), alone or in combination with certain other active ingredients, which we refer to collectively as the Licensed Products. Allergan is obligated to pay us a tiered royalty in the low single digits based on worldwide annual net sales of Licensed Products, subject to certain reductions for the market entry of competing products and/or loss of our patent coverage of Licensed Products. We are responsible for payments to any third party for certain RTGel-related third party intellectual properties. In July 2017, Allergan notified us that they had submitted their Investigational New Drug, or IND, application for BotuGel, our proprietary novel RTGel-based formulation of BOTOX for the treatment of overactive bladder, to the FDA. The submission of the IND triggered the second milestone under the Allergan Agreement, pursuant to which we received a payment of $7.5 million in August 2017. Allergan commenced a Phase 2 clinical trial of BotuGel in October 2017, pursuant to Allergan Agreement.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Revenues</w:t>
      </w:r>
    </w:p>
    <w:p>
      <w:pPr>
        <w:spacing w:after="0" w:line="54" w:lineRule="exact"/>
        <w:rPr>
          <w:sz w:val="20"/>
          <w:szCs w:val="20"/>
          <w:color w:val="auto"/>
        </w:rPr>
      </w:pPr>
    </w:p>
    <w:p>
      <w:pPr>
        <w:ind w:left="200" w:right="260"/>
        <w:spacing w:after="0" w:line="236" w:lineRule="auto"/>
        <w:rPr>
          <w:sz w:val="20"/>
          <w:szCs w:val="20"/>
          <w:color w:val="auto"/>
        </w:rPr>
      </w:pPr>
      <w:r>
        <w:rPr>
          <w:rFonts w:ascii="Arial" w:cs="Arial" w:eastAsia="Arial" w:hAnsi="Arial"/>
          <w:sz w:val="17"/>
          <w:szCs w:val="17"/>
          <w:color w:val="auto"/>
        </w:rPr>
        <w:t>We do not currently have any products approved for sale and, to date, we have not recognized any revenues from sales of MitoGel, VesiGel or Vesimune. During the year ended December 31, 2016, we recognized revenues of $17.5 million from a payment received under the Allergan Agreement. For the nine months ended September 30, 2017, we generated revenues of $7.5 million under the Allergan Agreement upon the achievement of a milestone in August 2017. The remaining revenues we recognized during the nine months ended September 30, 2017 are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related to sales of RTGel to Allergan, per the Allergan Agreement. In the future, we may generate revenue from a combination of product sales, reimbursements, up-front payments, milestone payments and royalties in connection with the Allergan Agreement and future collaborations. If we fail to achieve clinical success and/or to obtain regulatory approval of any of our product candidates in a timely manner, our ability to generate future revenue will be impaired.</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Research and development expenses, net</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largest component of our total operating expenses has historically been, and we expect will continue to be, research and development.</w:t>
      </w:r>
    </w:p>
    <w:p>
      <w:pPr>
        <w:ind w:left="200"/>
        <w:spacing w:after="0"/>
        <w:rPr>
          <w:sz w:val="20"/>
          <w:szCs w:val="20"/>
          <w:color w:val="auto"/>
        </w:rPr>
      </w:pPr>
      <w:r>
        <w:rPr>
          <w:rFonts w:ascii="Arial" w:cs="Arial" w:eastAsia="Arial" w:hAnsi="Arial"/>
          <w:sz w:val="17"/>
          <w:szCs w:val="17"/>
          <w:color w:val="auto"/>
        </w:rPr>
        <w:t>Research and development expenses consist primarily of:</w:t>
      </w:r>
    </w:p>
    <w:p>
      <w:pPr>
        <w:spacing w:after="0" w:line="196" w:lineRule="exact"/>
        <w:rPr>
          <w:sz w:val="20"/>
          <w:szCs w:val="20"/>
          <w:color w:val="auto"/>
        </w:rPr>
      </w:pPr>
    </w:p>
    <w:p>
      <w:pPr>
        <w:ind w:left="960" w:hanging="432"/>
        <w:spacing w:after="0"/>
        <w:tabs>
          <w:tab w:leader="none" w:pos="96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salaries and related costs, including share-based compensation expense, for our personnel in research and development functions;</w:t>
      </w:r>
    </w:p>
    <w:p>
      <w:pPr>
        <w:spacing w:after="0" w:line="34" w:lineRule="exact"/>
        <w:rPr>
          <w:rFonts w:ascii="MS PGothic" w:cs="MS PGothic" w:eastAsia="MS PGothic" w:hAnsi="MS PGothic"/>
          <w:sz w:val="13"/>
          <w:szCs w:val="13"/>
          <w:color w:val="auto"/>
        </w:rPr>
      </w:pPr>
    </w:p>
    <w:p>
      <w:pPr>
        <w:ind w:left="960" w:right="160" w:hanging="432"/>
        <w:spacing w:after="0" w:line="243" w:lineRule="auto"/>
        <w:tabs>
          <w:tab w:leader="none" w:pos="96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expenses incurred under agreements with third parties, including CROs, subcontractors, suppliers and consultants, preclinical studies and clinical trials;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expenses incurred to acquire, develop and manufacture preclinical study and clinical trial materials;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facility and equipment costs, including depreciation expense, maintenance and allocated direct and indirect overhead costs.</w:t>
      </w:r>
    </w:p>
    <w:p>
      <w:pPr>
        <w:spacing w:after="0" w:line="156" w:lineRule="exact"/>
        <w:rPr>
          <w:sz w:val="20"/>
          <w:szCs w:val="20"/>
          <w:color w:val="auto"/>
        </w:rPr>
      </w:pPr>
    </w:p>
    <w:p>
      <w:pPr>
        <w:ind w:left="200" w:right="280"/>
        <w:spacing w:after="0" w:line="238" w:lineRule="auto"/>
        <w:rPr>
          <w:sz w:val="20"/>
          <w:szCs w:val="20"/>
          <w:color w:val="auto"/>
        </w:rPr>
      </w:pPr>
      <w:r>
        <w:rPr>
          <w:rFonts w:ascii="Arial" w:cs="Arial" w:eastAsia="Arial" w:hAnsi="Arial"/>
          <w:sz w:val="17"/>
          <w:szCs w:val="17"/>
          <w:color w:val="auto"/>
        </w:rPr>
        <w:t>We expense all research and development costs as incurred. In light of the fact that our employees and internal resources may be engaged in projects for multiple programs at any time, our focus is on total research and development expenditures, and we do not allocate our internal research and development expenses by project.</w:t>
      </w:r>
    </w:p>
    <w:p>
      <w:pPr>
        <w:spacing w:after="0" w:line="148" w:lineRule="exact"/>
        <w:rPr>
          <w:sz w:val="20"/>
          <w:szCs w:val="20"/>
          <w:color w:val="auto"/>
        </w:rPr>
      </w:pPr>
    </w:p>
    <w:p>
      <w:pPr>
        <w:jc w:val="both"/>
        <w:ind w:left="200"/>
        <w:spacing w:after="0" w:line="236" w:lineRule="auto"/>
        <w:rPr>
          <w:sz w:val="20"/>
          <w:szCs w:val="20"/>
          <w:color w:val="auto"/>
        </w:rPr>
      </w:pPr>
      <w:r>
        <w:rPr>
          <w:rFonts w:ascii="Arial" w:cs="Arial" w:eastAsia="Arial" w:hAnsi="Arial"/>
          <w:sz w:val="17"/>
          <w:szCs w:val="17"/>
          <w:color w:val="auto"/>
        </w:rPr>
        <w:t>Through September 30, 2017, we had received grants of $2.1 million in the aggregate from the Israeli Innovation Authority, or the IIA, for research and development funding. Pursuant to the terms of the grants, we are obligated to pay the IIA royalties of 3.0% to 4.5% on revenues from sales of products developed from a project financed in whole or in part by IIA grants, up to a limit of 100% of the amount of the grant received, plus annual interest calculated at a rate based on 12-month LIBOR.</w:t>
      </w:r>
    </w:p>
    <w:p>
      <w:pPr>
        <w:spacing w:after="0" w:line="149"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addition to paying any royalties due, we must abide by other restrictions associated with receiving such grants under the R&amp;D Law, which will continue to apply to us following full repayment to the IIA. For example, under the Allergan Agreement, Allergan has the option to manufacture products developed with IIA-funded technology outside of Israel, which would require approval from the IIA. Although Allergan has not yet exercised this option, we have requested approval from the IIA for a possible transfer. We may not receive such approval. Even if we do receive such approval, we may be required to pay increased royalties of up to 300% of the amount of the original grant received and other amounts. If the IIA deems the license to Allergan a technology transfer, we may be required to pay up to 600% of the amount of the original grant and other amounts. 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14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June 2017, new rules published by the IIA for granting a right to use know- how developed from research and development that was conducted pursuant to a plan approved by the IIA outside of Israel, or Licensing Rules, came into effect. The Licensing Rules allow a recipient of a grant from the IIA to grant third parties outside of Israel the right to use know-how, or License, provided that the IIA authorized the grant of the License. In such case, the recipient of the grant has to pay the IIA for the License. The amount of payment is based on various factors, including the consideration received by the licensor and, in accordance with the formulas set forth in the Licensing Rules, may equal up to six times the IIA-funding amount plus interest. When the consideration for the grant includes nonmonetary compensation or monetary compensation that is not fixed, or when a “special relationship” exists between the licensor and licensee (</w:t>
      </w:r>
      <w:r>
        <w:rPr>
          <w:rFonts w:ascii="Arial" w:cs="Arial" w:eastAsia="Arial" w:hAnsi="Arial"/>
          <w:sz w:val="17"/>
          <w:szCs w:val="17"/>
          <w:i w:val="1"/>
          <w:iCs w:val="1"/>
          <w:color w:val="auto"/>
        </w:rPr>
        <w:t>e.g.</w:t>
      </w:r>
      <w:r>
        <w:rPr>
          <w:rFonts w:ascii="Arial" w:cs="Arial" w:eastAsia="Arial" w:hAnsi="Arial"/>
          <w:sz w:val="17"/>
          <w:szCs w:val="17"/>
          <w:color w:val="auto"/>
        </w:rPr>
        <w:t>, when a party controls the other party or is the other party’s exclusive distributor) or when the agreed consideration does not reflect, in the IIA’s opinion, the market value, the IIA may base the value of the transaction on an economic assessment that it obtains for such purpose.</w:t>
      </w:r>
    </w:p>
    <w:p>
      <w:pPr>
        <w:spacing w:after="0" w:line="148" w:lineRule="exact"/>
        <w:rPr>
          <w:sz w:val="20"/>
          <w:szCs w:val="20"/>
          <w:color w:val="auto"/>
        </w:rPr>
      </w:pPr>
    </w:p>
    <w:p>
      <w:pPr>
        <w:ind w:left="200" w:right="160"/>
        <w:spacing w:after="0" w:line="243" w:lineRule="auto"/>
        <w:rPr>
          <w:sz w:val="20"/>
          <w:szCs w:val="20"/>
          <w:color w:val="auto"/>
        </w:rPr>
      </w:pPr>
      <w:r>
        <w:rPr>
          <w:rFonts w:ascii="Arial" w:cs="Arial" w:eastAsia="Arial" w:hAnsi="Arial"/>
          <w:sz w:val="17"/>
          <w:szCs w:val="17"/>
          <w:color w:val="auto"/>
        </w:rPr>
        <w:t>We are currently focused on advancing our product candidates, and our future research and development expenses will depend on their clinical success. Research and development expenses will continue to be significant and will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60"/>
        <w:spacing w:after="0" w:line="243" w:lineRule="auto"/>
        <w:rPr>
          <w:sz w:val="20"/>
          <w:szCs w:val="20"/>
          <w:color w:val="auto"/>
        </w:rPr>
      </w:pPr>
      <w:r>
        <w:rPr>
          <w:rFonts w:ascii="Arial" w:cs="Arial" w:eastAsia="Arial" w:hAnsi="Arial"/>
          <w:sz w:val="17"/>
          <w:szCs w:val="17"/>
          <w:color w:val="auto"/>
        </w:rPr>
        <w:t>increase over at least the next several years as we continue to develop our product candidates and conduct preclinical studies and clinical trials of our product candidates.</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do not believe that it is possible at this time to accurately project total expenses required for us to reach commercialization of our product candidates. Due to the inherently unpredictable nature of preclinical and clinical development, we are unable to estimate with certainty the costs we will incur and the timelines that will be required in the continued development and approval of our product candidates. Clinical and preclinical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Under applicable accounting rules, we deduct the IIA grants from research and development expenses as the applicable costs are incurred. We also had a preclinical collaboration for BotuGel with Allergan into which we initially entered into in February 2014. We deduct amounts received from the preclinical collaboration with Allergan from our research and development expenses as the applicable costs are incurred. As a result, our research and development expenses are shown on our financial statements net of the IIA grants and amounts received from the preclinical collaboration.</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7"/>
          <w:szCs w:val="17"/>
          <w:color w:val="auto"/>
        </w:rPr>
        <w:t>General and administrative expenses consist primarily of personnel costs, including share-based compensation, related to directors, executive, finance, and human resource functions, facility costs and external professional service costs, including legal, accounting and audit services and other consulting fees.</w:t>
      </w:r>
    </w:p>
    <w:p>
      <w:pPr>
        <w:spacing w:after="0" w:line="148"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administrative headcount and infrastructure to support our continued research and development programs and the potential approval and commercialization of our product candidates. We also anticipate that we will incur increased expenses related to audit, legal, regulatory and tax-related services associated with maintaining compliance with NASDAQ and SEC requirements, director and officer insurance premiums, executive compensation, and other costs associated with being a public company.</w:t>
      </w:r>
    </w:p>
    <w:p>
      <w:pPr>
        <w:spacing w:after="0" w:line="150" w:lineRule="exact"/>
        <w:rPr>
          <w:sz w:val="20"/>
          <w:szCs w:val="20"/>
          <w:color w:val="auto"/>
        </w:rPr>
      </w:pPr>
    </w:p>
    <w:p>
      <w:pPr>
        <w:ind w:left="200" w:right="280"/>
        <w:spacing w:after="0" w:line="243" w:lineRule="auto"/>
        <w:rPr>
          <w:sz w:val="20"/>
          <w:szCs w:val="20"/>
          <w:color w:val="auto"/>
        </w:rPr>
      </w:pPr>
      <w:r>
        <w:rPr>
          <w:rFonts w:ascii="Arial" w:cs="Arial" w:eastAsia="Arial" w:hAnsi="Arial"/>
          <w:sz w:val="17"/>
          <w:szCs w:val="17"/>
          <w:color w:val="auto"/>
        </w:rPr>
        <w:t>In addition, if any of our product candidates receives regulatory approval and if we invest in building a commercial infrastructure to support the marketing of our products, we expect to incur greater expenses.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Finance expenses, net</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Finance expenses, net, consist primarily of finance expenses on warrants.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We have yet to generate taxable income in Israel, as we have historically incurred operating losses resulting in carry forward tax losses totaling approximately $14.2 million as of December 31, 2016.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Analysis of Results of Operations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Comparison of the nine months ended September 30, 2017 and 2016</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our results of operations for nine months ended September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162560</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7"/>
          </w:tcPr>
          <w:p>
            <w:pPr>
              <w:ind w:left="3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9"/>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right"/>
              <w:ind w:right="29"/>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2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7,831</w:t>
            </w:r>
          </w:p>
        </w:tc>
        <w:tc>
          <w:tcPr>
            <w:tcW w:w="5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196"/>
        </w:trPr>
        <w:tc>
          <w:tcPr>
            <w:tcW w:w="20" w:type="dxa"/>
            <w:vAlign w:val="bottom"/>
          </w:tcPr>
          <w:p>
            <w:pPr>
              <w:spacing w:after="0"/>
              <w:rPr>
                <w:sz w:val="17"/>
                <w:szCs w:val="17"/>
                <w:color w:val="auto"/>
              </w:rPr>
            </w:pPr>
          </w:p>
        </w:tc>
        <w:tc>
          <w:tcPr>
            <w:tcW w:w="6400" w:type="dxa"/>
            <w:vAlign w:val="bottom"/>
          </w:tcPr>
          <w:p>
            <w:pPr>
              <w:spacing w:after="0" w:line="189" w:lineRule="exact"/>
              <w:rPr>
                <w:sz w:val="20"/>
                <w:szCs w:val="20"/>
                <w:color w:val="auto"/>
              </w:rPr>
            </w:pPr>
            <w:r>
              <w:rPr>
                <w:rFonts w:ascii="Arial" w:cs="Arial" w:eastAsia="Arial" w:hAnsi="Arial"/>
                <w:sz w:val="17"/>
                <w:szCs w:val="17"/>
                <w:color w:val="auto"/>
              </w:rPr>
              <w:t>Cost of revenues</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313</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9"/>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profit</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7,518</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4"/>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Research and development expenses, net</w:t>
            </w:r>
          </w:p>
        </w:tc>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spacing w:after="0" w:line="4" w:lineRule="exact"/>
              <w:rPr>
                <w:sz w:val="20"/>
                <w:szCs w:val="20"/>
                <w:color w:val="auto"/>
              </w:rPr>
            </w:pPr>
            <w:r>
              <w:rPr>
                <w:rFonts w:ascii="Arial" w:cs="Arial" w:eastAsia="Arial" w:hAnsi="Arial"/>
                <w:sz w:val="1"/>
                <w:szCs w:val="1"/>
                <w:color w:val="auto"/>
              </w:rPr>
              <w:t>11,936</w:t>
            </w:r>
          </w:p>
        </w:tc>
        <w:tc>
          <w:tcPr>
            <w:tcW w:w="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7,915</w:t>
            </w:r>
          </w:p>
        </w:tc>
        <w:tc>
          <w:tcPr>
            <w:tcW w:w="60" w:type="dxa"/>
            <w:vAlign w:val="bottom"/>
            <w:shd w:val="clear" w:color="auto" w:fill="CCEEFF"/>
          </w:tcPr>
          <w:p>
            <w:pPr>
              <w:spacing w:after="0" w:line="20" w:lineRule="exact"/>
              <w:rPr>
                <w:sz w:val="1"/>
                <w:szCs w:val="1"/>
                <w:color w:val="auto"/>
              </w:rPr>
            </w:pPr>
          </w:p>
        </w:tc>
      </w:tr>
      <w:tr>
        <w:trPr>
          <w:trHeight w:val="174"/>
        </w:trPr>
        <w:tc>
          <w:tcPr>
            <w:tcW w:w="6420" w:type="dxa"/>
            <w:vAlign w:val="bottom"/>
            <w:gridSpan w:val="2"/>
          </w:tcPr>
          <w:p>
            <w:pPr>
              <w:jc w:val="right"/>
              <w:ind w:right="2971"/>
              <w:spacing w:after="0"/>
              <w:rPr>
                <w:sz w:val="20"/>
                <w:szCs w:val="20"/>
                <w:color w:val="auto"/>
              </w:rPr>
            </w:pPr>
            <w:r>
              <w:rPr>
                <w:rFonts w:ascii="Arial" w:cs="Arial" w:eastAsia="Arial" w:hAnsi="Arial"/>
                <w:sz w:val="15"/>
                <w:szCs w:val="15"/>
                <w:color w:val="auto"/>
              </w:rPr>
              <w:t>(1)</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
                <w:szCs w:val="1"/>
                <w:color w:val="auto"/>
              </w:rPr>
              <w:t>General and administrative expenses</w:t>
            </w:r>
          </w:p>
        </w:tc>
        <w:tc>
          <w:tcPr>
            <w:tcW w:w="2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5,374</w:t>
            </w:r>
          </w:p>
        </w:tc>
        <w:tc>
          <w:tcPr>
            <w:tcW w:w="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
                <w:szCs w:val="1"/>
                <w:color w:val="auto"/>
              </w:rPr>
              <w:t>5,188</w:t>
            </w:r>
          </w:p>
        </w:tc>
        <w:tc>
          <w:tcPr>
            <w:tcW w:w="60" w:type="dxa"/>
            <w:vAlign w:val="bottom"/>
            <w:shd w:val="clear" w:color="auto" w:fill="CCEEFF"/>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400" w:type="dxa"/>
            <w:vAlign w:val="bottom"/>
            <w:shd w:val="clear" w:color="auto" w:fill="CCEEFF"/>
          </w:tcPr>
          <w:p>
            <w:pPr>
              <w:ind w:left="2800"/>
              <w:spacing w:after="0"/>
              <w:rPr>
                <w:sz w:val="20"/>
                <w:szCs w:val="20"/>
                <w:color w:val="auto"/>
              </w:rPr>
            </w:pPr>
            <w:r>
              <w:rPr>
                <w:rFonts w:ascii="Arial" w:cs="Arial" w:eastAsia="Arial" w:hAnsi="Arial"/>
                <w:sz w:val="15"/>
                <w:szCs w:val="15"/>
                <w:color w:val="auto"/>
              </w:rPr>
              <w:t>(1)</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6420" w:type="dxa"/>
            <w:vAlign w:val="bottom"/>
            <w:gridSpan w:val="2"/>
          </w:tcPr>
          <w:p>
            <w:pPr>
              <w:spacing w:after="0"/>
              <w:rPr>
                <w:sz w:val="20"/>
                <w:szCs w:val="20"/>
                <w:color w:val="auto"/>
              </w:rPr>
            </w:pPr>
            <w:r>
              <w:rPr>
                <w:rFonts w:ascii="Arial" w:cs="Arial" w:eastAsia="Arial" w:hAnsi="Arial"/>
                <w:sz w:val="17"/>
                <w:szCs w:val="17"/>
                <w:color w:val="auto"/>
              </w:rPr>
              <w:t>Operating loss</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9,792</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13,103</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expenses, net</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122</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1,761</w:t>
            </w:r>
          </w:p>
        </w:tc>
        <w:tc>
          <w:tcPr>
            <w:tcW w:w="60" w:type="dxa"/>
            <w:vAlign w:val="bottom"/>
            <w:shd w:val="clear" w:color="auto" w:fill="CCEEFF"/>
          </w:tcPr>
          <w:p>
            <w:pPr>
              <w:spacing w:after="0"/>
              <w:rPr>
                <w:sz w:val="16"/>
                <w:szCs w:val="16"/>
                <w:color w:val="auto"/>
              </w:rPr>
            </w:pPr>
          </w:p>
        </w:tc>
      </w:tr>
      <w:tr>
        <w:trPr>
          <w:trHeight w:val="196"/>
        </w:trPr>
        <w:tc>
          <w:tcPr>
            <w:tcW w:w="64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26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9,914</w:t>
            </w: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14,864</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4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344"/>
        </w:trPr>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4"/>
                <w:szCs w:val="14"/>
                <w:color w:val="auto"/>
              </w:rPr>
              <w:t xml:space="preserve">  Includes share-based compensation expense as follows: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9"/>
        </w:trPr>
        <w:tc>
          <w:tcPr>
            <w:tcW w:w="20" w:type="dxa"/>
            <w:vAlign w:val="bottom"/>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tcBorders>
            <w:gridSpan w:val="4"/>
          </w:tcPr>
          <w:p>
            <w:pPr>
              <w:spacing w:after="0"/>
              <w:rPr>
                <w:sz w:val="9"/>
                <w:szCs w:val="9"/>
                <w:color w:val="auto"/>
              </w:rPr>
            </w:pPr>
          </w:p>
        </w:tc>
      </w:tr>
      <w:tr>
        <w:trPr>
          <w:trHeight w:val="37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9"/>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7"/>
          </w:tcPr>
          <w:p>
            <w:pPr>
              <w:jc w:val="center"/>
              <w:ind w:right="49"/>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net</w:t>
            </w:r>
          </w:p>
        </w:tc>
        <w:tc>
          <w:tcPr>
            <w:tcW w:w="2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w w:val="98"/>
              </w:rPr>
              <w:t>2,513</w:t>
            </w: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760</w:t>
            </w:r>
          </w:p>
        </w:tc>
        <w:tc>
          <w:tcPr>
            <w:tcW w:w="6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4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2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160"/>
              <w:spacing w:after="0" w:line="189" w:lineRule="exact"/>
              <w:rPr>
                <w:sz w:val="20"/>
                <w:szCs w:val="20"/>
                <w:color w:val="auto"/>
              </w:rPr>
            </w:pPr>
            <w:r>
              <w:rPr>
                <w:rFonts w:ascii="Arial" w:cs="Arial" w:eastAsia="Arial" w:hAnsi="Arial"/>
                <w:sz w:val="17"/>
                <w:szCs w:val="17"/>
                <w:color w:val="auto"/>
                <w:w w:val="98"/>
              </w:rPr>
              <w:t>1,518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626</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2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w w:val="98"/>
              </w:rPr>
              <w:t>4,031</w:t>
            </w: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1,386</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Revenues</w:t>
      </w:r>
    </w:p>
    <w:p>
      <w:pPr>
        <w:spacing w:after="0" w:line="39"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Our total revenues increased by $7.8 million from $0 in the nine months ended September 30, 2016 to $7.8 million in the nine months ended September 30, 2017. The increase is mainly due to proceeds of $7.5 million received from Allergan upon the achievement of a milestone under the Allergan Agreement.</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Research and development expenses</w:t>
      </w:r>
    </w:p>
    <w:p>
      <w:pPr>
        <w:spacing w:after="0" w:line="39"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Research and development expenses increased by $4.0 million to $11.9 million in the nine months ended September 30, 2017 from $7.9 million in the nine months ended September 30, 2016. The increase was attributable mainly to an increase in direct costs associated with the MitoGel Phase 3 clinical trial of approximately $1.3 million, an increase of approximately $1.8 million of share-based compensation expenses, and an increase of approximately $672,000 in headcount and related costs to support increased clinical trial activities. Total research and development non-cash share-based expense compensation for the nine months ended September 30, 2017 was $2.5 million.</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General and administrative expenses increased by approximately $186,000 to $5.4 million in the nine months ended September 30, 2017 from $5.2 million in the nine months ended September 30, 2016. The increase in general and administrative expenses resulted primarily from an increase in share-based compensation expense of approximately $892,000, an increase of $937,000 in payroll and recruitment costs due to headcount and related costs to support our growing business, and an increase of $231,000 in professional service expenses, mostly for consultants we hired in preparation for our initial public offering, or the IPO, director and officer insurance premiums, and other costs associated with being a public company. These increases were offset by the recording of $1.8 million of IPO expenses in the statement of operations in 2016. Total general and administrative non-cash share-based expense compensation for the nine months ended September 30, 2017 was $1.5 million.</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Finance expenses, net</w:t>
      </w:r>
    </w:p>
    <w:p>
      <w:pPr>
        <w:spacing w:after="0" w:line="52" w:lineRule="exact"/>
        <w:rPr>
          <w:sz w:val="20"/>
          <w:szCs w:val="20"/>
          <w:color w:val="auto"/>
        </w:rPr>
      </w:pPr>
    </w:p>
    <w:p>
      <w:pPr>
        <w:ind w:left="200" w:right="180"/>
        <w:spacing w:after="0" w:line="238" w:lineRule="auto"/>
        <w:rPr>
          <w:sz w:val="20"/>
          <w:szCs w:val="20"/>
          <w:color w:val="auto"/>
        </w:rPr>
      </w:pPr>
      <w:r>
        <w:rPr>
          <w:rFonts w:ascii="Arial" w:cs="Arial" w:eastAsia="Arial" w:hAnsi="Arial"/>
          <w:sz w:val="17"/>
          <w:szCs w:val="17"/>
          <w:color w:val="auto"/>
        </w:rPr>
        <w:t>Finance expenses, net, decreased by approximately $1.6 million to $122,000 in the nine months ended September 30, 2017 from $1.8 million in the nine months ended September 30, 2016. The change in finance expenses was primarily due to the increased fair value of the warrants converted to Preferred A-1 shares, which were recorded in the statement of operations in 2016.</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Comparison of the years ended December 31, 2016 and 2015</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our results of operations for the 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7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374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$17,530</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280" w:type="dxa"/>
            <w:vAlign w:val="bottom"/>
          </w:tcPr>
          <w:p>
            <w:pPr>
              <w:spacing w:after="0" w:line="189" w:lineRule="exact"/>
              <w:rPr>
                <w:sz w:val="20"/>
                <w:szCs w:val="20"/>
                <w:color w:val="auto"/>
              </w:rPr>
            </w:pPr>
            <w:r>
              <w:rPr>
                <w:rFonts w:ascii="Arial" w:cs="Arial" w:eastAsia="Arial" w:hAnsi="Arial"/>
                <w:sz w:val="17"/>
                <w:szCs w:val="17"/>
                <w:color w:val="auto"/>
              </w:rPr>
              <w:t>Cost of revenues</w:t>
            </w:r>
          </w:p>
        </w:tc>
        <w:tc>
          <w:tcPr>
            <w:tcW w:w="3740" w:type="dxa"/>
            <w:vAlign w:val="bottom"/>
            <w:gridSpan w:val="2"/>
          </w:tcPr>
          <w:p>
            <w:pPr>
              <w:jc w:val="right"/>
              <w:ind w:right="168"/>
              <w:spacing w:after="0" w:line="189" w:lineRule="exact"/>
              <w:rPr>
                <w:sz w:val="20"/>
                <w:szCs w:val="20"/>
                <w:color w:val="auto"/>
              </w:rPr>
            </w:pPr>
            <w:r>
              <w:rPr>
                <w:rFonts w:ascii="Arial" w:cs="Arial" w:eastAsia="Arial" w:hAnsi="Arial"/>
                <w:sz w:val="17"/>
                <w:szCs w:val="17"/>
                <w:color w:val="auto"/>
              </w:rPr>
              <w:t>28</w:t>
            </w:r>
          </w:p>
        </w:tc>
        <w:tc>
          <w:tcPr>
            <w:tcW w:w="280" w:type="dxa"/>
            <w:vAlign w:val="bottom"/>
          </w:tcPr>
          <w:p>
            <w:pPr>
              <w:spacing w:after="0"/>
              <w:rPr>
                <w:sz w:val="16"/>
                <w:szCs w:val="16"/>
                <w:color w:val="auto"/>
              </w:rPr>
            </w:pPr>
          </w:p>
        </w:tc>
        <w:tc>
          <w:tcPr>
            <w:tcW w:w="7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profit</w:t>
            </w:r>
          </w:p>
        </w:tc>
        <w:tc>
          <w:tcPr>
            <w:tcW w:w="374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17,502</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280" w:type="dxa"/>
            <w:vAlign w:val="bottom"/>
          </w:tcPr>
          <w:p>
            <w:pPr>
              <w:spacing w:after="0" w:line="189" w:lineRule="exact"/>
              <w:rPr>
                <w:sz w:val="20"/>
                <w:szCs w:val="20"/>
                <w:color w:val="auto"/>
              </w:rPr>
            </w:pPr>
            <w:r>
              <w:rPr>
                <w:rFonts w:ascii="Arial" w:cs="Arial" w:eastAsia="Arial" w:hAnsi="Arial"/>
                <w:sz w:val="17"/>
                <w:szCs w:val="17"/>
                <w:color w:val="auto"/>
              </w:rPr>
              <w:t xml:space="preserve">Research and development expenses, net </w:t>
            </w:r>
            <w:r>
              <w:rPr>
                <w:rFonts w:ascii="Arial" w:cs="Arial" w:eastAsia="Arial" w:hAnsi="Arial"/>
                <w:sz w:val="14"/>
                <w:szCs w:val="14"/>
                <w:color w:val="auto"/>
              </w:rPr>
              <w:t>(1)</w:t>
            </w:r>
          </w:p>
        </w:tc>
        <w:tc>
          <w:tcPr>
            <w:tcW w:w="3740" w:type="dxa"/>
            <w:vAlign w:val="bottom"/>
            <w:gridSpan w:val="2"/>
          </w:tcPr>
          <w:p>
            <w:pPr>
              <w:jc w:val="right"/>
              <w:ind w:right="168"/>
              <w:spacing w:after="0" w:line="189" w:lineRule="exact"/>
              <w:rPr>
                <w:sz w:val="20"/>
                <w:szCs w:val="20"/>
                <w:color w:val="auto"/>
              </w:rPr>
            </w:pPr>
            <w:r>
              <w:rPr>
                <w:rFonts w:ascii="Arial" w:cs="Arial" w:eastAsia="Arial" w:hAnsi="Arial"/>
                <w:sz w:val="17"/>
                <w:szCs w:val="17"/>
                <w:color w:val="auto"/>
              </w:rPr>
              <w:t>10,287</w:t>
            </w:r>
          </w:p>
        </w:tc>
        <w:tc>
          <w:tcPr>
            <w:tcW w:w="2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10,515</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14"/>
                <w:szCs w:val="14"/>
                <w:color w:val="auto"/>
              </w:rPr>
              <w:t>(1)</w:t>
            </w:r>
          </w:p>
        </w:tc>
        <w:tc>
          <w:tcPr>
            <w:tcW w:w="374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6,417</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1,895</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80" w:type="dxa"/>
            <w:vAlign w:val="bottom"/>
          </w:tcPr>
          <w:p>
            <w:pPr>
              <w:spacing w:after="0" w:line="189" w:lineRule="exact"/>
              <w:rPr>
                <w:sz w:val="20"/>
                <w:szCs w:val="20"/>
                <w:color w:val="auto"/>
              </w:rPr>
            </w:pPr>
            <w:r>
              <w:rPr>
                <w:rFonts w:ascii="Arial" w:cs="Arial" w:eastAsia="Arial" w:hAnsi="Arial"/>
                <w:sz w:val="17"/>
                <w:szCs w:val="17"/>
                <w:color w:val="auto"/>
              </w:rPr>
              <w:t>Operating income (loss)</w:t>
            </w:r>
          </w:p>
        </w:tc>
        <w:tc>
          <w:tcPr>
            <w:tcW w:w="3740" w:type="dxa"/>
            <w:vAlign w:val="bottom"/>
            <w:gridSpan w:val="2"/>
          </w:tcPr>
          <w:p>
            <w:pPr>
              <w:jc w:val="right"/>
              <w:ind w:right="168"/>
              <w:spacing w:after="0" w:line="189" w:lineRule="exact"/>
              <w:rPr>
                <w:sz w:val="20"/>
                <w:szCs w:val="20"/>
                <w:color w:val="auto"/>
              </w:rPr>
            </w:pPr>
            <w:r>
              <w:rPr>
                <w:rFonts w:ascii="Arial" w:cs="Arial" w:eastAsia="Arial" w:hAnsi="Arial"/>
                <w:sz w:val="17"/>
                <w:szCs w:val="17"/>
                <w:color w:val="auto"/>
              </w:rPr>
              <w:t>798</w:t>
            </w:r>
          </w:p>
        </w:tc>
        <w:tc>
          <w:tcPr>
            <w:tcW w:w="28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(12,410)</w:t>
            </w:r>
          </w:p>
        </w:tc>
      </w:tr>
      <w:tr>
        <w:trPr>
          <w:trHeight w:val="189"/>
        </w:trPr>
        <w:tc>
          <w:tcPr>
            <w:tcW w:w="20" w:type="dxa"/>
            <w:vAlign w:val="bottom"/>
          </w:tcPr>
          <w:p>
            <w:pPr>
              <w:spacing w:after="0"/>
              <w:rPr>
                <w:sz w:val="16"/>
                <w:szCs w:val="16"/>
                <w:color w:val="auto"/>
              </w:rPr>
            </w:pPr>
          </w:p>
        </w:tc>
        <w:tc>
          <w:tcPr>
            <w:tcW w:w="6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expenses, net</w:t>
            </w:r>
          </w:p>
        </w:tc>
        <w:tc>
          <w:tcPr>
            <w:tcW w:w="374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2,739</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279</w:t>
            </w:r>
          </w:p>
        </w:tc>
        <w:tc>
          <w:tcPr>
            <w:tcW w:w="12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Net loss</w:t>
            </w:r>
          </w:p>
        </w:tc>
        <w:tc>
          <w:tcPr>
            <w:tcW w:w="3740" w:type="dxa"/>
            <w:vAlign w:val="bottom"/>
            <w:gridSpan w:val="2"/>
          </w:tcPr>
          <w:p>
            <w:pPr>
              <w:jc w:val="right"/>
              <w:ind w:right="108"/>
              <w:spacing w:after="0"/>
              <w:rPr>
                <w:sz w:val="20"/>
                <w:szCs w:val="20"/>
                <w:color w:val="auto"/>
              </w:rPr>
            </w:pPr>
            <w:r>
              <w:rPr>
                <w:rFonts w:ascii="Arial" w:cs="Arial" w:eastAsia="Arial" w:hAnsi="Arial"/>
                <w:sz w:val="17"/>
                <w:szCs w:val="17"/>
                <w:color w:val="auto"/>
              </w:rPr>
              <w:t>$ (1,941)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(12,689)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2" w:lineRule="exact"/>
        <w:rPr>
          <w:sz w:val="20"/>
          <w:szCs w:val="20"/>
          <w:color w:val="auto"/>
        </w:rPr>
      </w:pPr>
    </w:p>
    <w:p>
      <w:pPr>
        <w:ind w:left="520" w:hanging="289"/>
        <w:spacing w:after="0"/>
        <w:tabs>
          <w:tab w:leader="none" w:pos="52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Includes share-based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net</w:t>
            </w:r>
          </w:p>
        </w:tc>
        <w:tc>
          <w:tcPr>
            <w:tcW w:w="414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$1,167</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$ 170</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4140" w:type="dxa"/>
            <w:vAlign w:val="bottom"/>
            <w:gridSpan w:val="2"/>
          </w:tcPr>
          <w:p>
            <w:pPr>
              <w:jc w:val="right"/>
              <w:ind w:right="128"/>
              <w:spacing w:after="0" w:line="189" w:lineRule="exact"/>
              <w:rPr>
                <w:sz w:val="20"/>
                <w:szCs w:val="20"/>
                <w:color w:val="auto"/>
              </w:rPr>
            </w:pPr>
            <w:r>
              <w:rPr>
                <w:rFonts w:ascii="Arial" w:cs="Arial" w:eastAsia="Arial" w:hAnsi="Arial"/>
                <w:sz w:val="17"/>
                <w:szCs w:val="17"/>
                <w:color w:val="auto"/>
              </w:rPr>
              <w:t>800</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279</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414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$1,967</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$ 449</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Revenues</w:t>
      </w:r>
    </w:p>
    <w:p>
      <w:pPr>
        <w:spacing w:after="0" w:line="52" w:lineRule="exact"/>
        <w:rPr>
          <w:sz w:val="20"/>
          <w:szCs w:val="20"/>
          <w:color w:val="auto"/>
        </w:rPr>
      </w:pPr>
    </w:p>
    <w:p>
      <w:pPr>
        <w:ind w:left="200" w:right="380"/>
        <w:spacing w:after="0" w:line="243" w:lineRule="auto"/>
        <w:rPr>
          <w:sz w:val="20"/>
          <w:szCs w:val="20"/>
          <w:color w:val="auto"/>
        </w:rPr>
      </w:pPr>
      <w:r>
        <w:rPr>
          <w:rFonts w:ascii="Arial" w:cs="Arial" w:eastAsia="Arial" w:hAnsi="Arial"/>
          <w:sz w:val="17"/>
          <w:szCs w:val="17"/>
          <w:color w:val="auto"/>
        </w:rPr>
        <w:t>Our total revenues increased by $17.5 million from $0 in the year ended December 31, 2015 to $17.5 million in the year ended December 31, 2016, due to the nonrefundable upfront license fee received under the Allergan Agreement.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Research and development expenses decreased by $228,000, or 2%, to $10.3 million in the year ended December 31, 2016 from $10.5 million in the year ended December 31, 2015. Approximately $4.1 million of the decrease relates to in-process research and development costs in connection with intellectual property related to Vesimune that we purchased from Telormedix SA in 2015. This decrease is partly offset by an increase of $3.9 million primarily attributable to an increase in share-based compensation to consultants and employees of $997,000, an increase of $546,000 in payroll mainly due to increased headcount and a $1.2 million increase relating to research and development expense offsets in 2015 from IIA grants and from our prior preclinical collaboration with Allergan for BotuGel.</w:t>
      </w:r>
    </w:p>
    <w:p>
      <w:pPr>
        <w:spacing w:after="0" w:line="148"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We have assessed that, of our $10.3 million aggregate research and development expenditures in 2016 (after adjusting for an aggregate $49,000 of off-setting third-party contributions) approximately 34% were allocated to the development of MitoGel, approximately 8% were allocated to the development of VesiGel, and approximately 57% were allocated to other products and unallocated expenses.</w:t>
      </w:r>
    </w:p>
    <w:p>
      <w:pPr>
        <w:spacing w:after="0" w:line="148" w:lineRule="exact"/>
        <w:rPr>
          <w:sz w:val="20"/>
          <w:szCs w:val="20"/>
          <w:color w:val="auto"/>
        </w:rPr>
      </w:pPr>
    </w:p>
    <w:p>
      <w:pPr>
        <w:ind w:left="200" w:right="720"/>
        <w:spacing w:after="0" w:line="243" w:lineRule="auto"/>
        <w:rPr>
          <w:sz w:val="20"/>
          <w:szCs w:val="20"/>
          <w:color w:val="auto"/>
        </w:rPr>
      </w:pPr>
      <w:r>
        <w:rPr>
          <w:rFonts w:ascii="Arial" w:cs="Arial" w:eastAsia="Arial" w:hAnsi="Arial"/>
          <w:sz w:val="17"/>
          <w:szCs w:val="17"/>
          <w:color w:val="auto"/>
        </w:rPr>
        <w:t>We have assessed that, of our $10.5 million aggregate research and development expenditures in 2015 (after adjusting for an aggregate $1.2 million of off-setting third-party contributions) approximately 30% were allocated to</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40"/>
        <w:spacing w:after="0" w:line="243" w:lineRule="auto"/>
        <w:rPr>
          <w:sz w:val="20"/>
          <w:szCs w:val="20"/>
          <w:color w:val="auto"/>
        </w:rPr>
      </w:pPr>
      <w:r>
        <w:rPr>
          <w:rFonts w:ascii="Arial" w:cs="Arial" w:eastAsia="Arial" w:hAnsi="Arial"/>
          <w:sz w:val="17"/>
          <w:szCs w:val="17"/>
          <w:color w:val="auto"/>
        </w:rPr>
        <w:t>the development of MitoGel, approximately 5% were allocated to the development of VesiGel, approximately 35% were allocated to the development of Vesimune, and approximately 30% were allocated to other products and unallocated expenses.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General and administrative expenses increased by $4.5 million, or 237%, to $6.4 million in the year ended December 31, 2016 from $1.9 million in the year ended December 31, 2015. The increase in general and administrative expenses resulted primarily from an increase in share-based compensation expense to employees and directors of $521,000, an increase of $773,000 in payroll and an increase in professional services expenses of $2.8 million of which $1.7 million relates to this offering. The increase was primarily related to our strengthening of our senior management team and payments to professional services consultants hired by us in preparation for this offering.</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Finance expenses, net</w:t>
      </w:r>
    </w:p>
    <w:p>
      <w:pPr>
        <w:spacing w:after="0" w:line="39"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Finance expenses, net increased by $2.4 million, or 800%, to $2.7 million in the year ended December 31, 2016 from $279,000 in the year ended December 31, 2015. The change in finance expense was primarily due to the increased fair value of the warrants converted to Series A-1 preferred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Liquidity</w:t>
      </w:r>
    </w:p>
    <w:p>
      <w:pPr>
        <w:spacing w:after="0" w:line="41" w:lineRule="exact"/>
        <w:rPr>
          <w:sz w:val="20"/>
          <w:szCs w:val="20"/>
          <w:color w:val="auto"/>
        </w:rPr>
      </w:pPr>
    </w:p>
    <w:p>
      <w:pPr>
        <w:jc w:val="both"/>
        <w:ind w:left="200" w:right="40"/>
        <w:spacing w:after="0" w:line="236" w:lineRule="auto"/>
        <w:rPr>
          <w:sz w:val="20"/>
          <w:szCs w:val="20"/>
          <w:color w:val="auto"/>
        </w:rPr>
      </w:pPr>
      <w:r>
        <w:rPr>
          <w:rFonts w:ascii="Arial" w:cs="Arial" w:eastAsia="Arial" w:hAnsi="Arial"/>
          <w:sz w:val="17"/>
          <w:szCs w:val="17"/>
          <w:color w:val="auto"/>
        </w:rPr>
        <w:t>Since our inception, we have incurred losses and negative cash flows from our operations. For the year ended December 31, 2016, we incurred a net loss of $1.9 million while net cash of $4.2 million was provided from our operating activities. As of December 31, 2016, we had working capital of $18.9 million, and an accumulated deficit of $27.2 million. Our principal source of liquidity as of December 31, 2016 consisted of cash and cash equivalents of $21.4 million.</w:t>
      </w:r>
    </w:p>
    <w:p>
      <w:pPr>
        <w:spacing w:after="0" w:line="149"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For the nine months ended September 30, 2017, we incurred a net loss of $9.9 million and used net cash of $3.6 million in our operating activities. As of September 30, 2017, we had working capital of $75.5 million, and an accumulated deficit of $37.1 million. Our principal source of liquidity as of September 30, 2017 consisted of cash and cash equivalents of $79.2 million. We believe that our existing cash and cash equivalents will enable us to fund our operating and capital expenditure requirements for at least the next 18 months.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resources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Overview</w:t>
      </w:r>
    </w:p>
    <w:p>
      <w:pPr>
        <w:spacing w:after="0" w:line="41"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Through December 31, 2016, we have financed our operations primarily through private placements of equity securities and through the upfront payment received under the Allergan Agreement. In May 2017, we raised $60.8 million, net of issuance costs and underwriting discounts and commissions, in our IPO on the NASDAQ Stock Market. In August 2017, we received $7.5 million from Allergan upon the achievement of a milestone under the Allergan Agreement. In addition, during the year ended December 31, 2016, we recorded $1.7 million in general and administrative expenses related to IPO costs, in accordance with SEC staff Bulletin Topic 5A.</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our statement of cash flows for the nine months ended September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center"/>
              <w:ind w:right="37"/>
              <w:spacing w:after="0" w:line="155" w:lineRule="exact"/>
              <w:rPr>
                <w:sz w:val="20"/>
                <w:szCs w:val="20"/>
                <w:color w:val="auto"/>
              </w:rPr>
            </w:pPr>
            <w:r>
              <w:rPr>
                <w:rFonts w:ascii="Arial" w:cs="Arial" w:eastAsia="Arial" w:hAnsi="Arial"/>
                <w:sz w:val="14"/>
                <w:szCs w:val="14"/>
                <w:b w:val="1"/>
                <w:bCs w:val="1"/>
                <w:color w:val="auto"/>
              </w:rPr>
              <w:t>(unaudited, in thousands)</w:t>
            </w:r>
          </w:p>
        </w:tc>
        <w:tc>
          <w:tcPr>
            <w:tcW w:w="12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5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57"/>
        </w:trPr>
        <w:tc>
          <w:tcPr>
            <w:tcW w:w="3900" w:type="dxa"/>
            <w:vAlign w:val="bottom"/>
            <w:gridSpan w:val="2"/>
          </w:tcPr>
          <w:p>
            <w:pPr>
              <w:spacing w:after="0"/>
              <w:rPr>
                <w:sz w:val="20"/>
                <w:szCs w:val="20"/>
                <w:color w:val="auto"/>
              </w:rPr>
            </w:pPr>
            <w:r>
              <w:rPr>
                <w:rFonts w:ascii="Arial" w:cs="Arial" w:eastAsia="Arial" w:hAnsi="Arial"/>
                <w:sz w:val="17"/>
                <w:szCs w:val="17"/>
                <w:color w:val="auto"/>
              </w:rPr>
              <w:t>Operating activities</w:t>
            </w:r>
          </w:p>
        </w:tc>
        <w:tc>
          <w:tcPr>
            <w:tcW w:w="5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(3,609)</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(9,157)</w:t>
            </w: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Investing activities</w:t>
            </w:r>
          </w:p>
        </w:tc>
        <w:tc>
          <w:tcPr>
            <w:tcW w:w="5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(223)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(672)</w:t>
            </w:r>
          </w:p>
        </w:tc>
      </w:tr>
      <w:tr>
        <w:trPr>
          <w:trHeight w:val="196"/>
        </w:trPr>
        <w:tc>
          <w:tcPr>
            <w:tcW w:w="20" w:type="dxa"/>
            <w:vAlign w:val="bottom"/>
          </w:tcPr>
          <w:p>
            <w:pPr>
              <w:spacing w:after="0"/>
              <w:rPr>
                <w:sz w:val="17"/>
                <w:szCs w:val="17"/>
                <w:color w:val="auto"/>
              </w:rPr>
            </w:pPr>
          </w:p>
        </w:tc>
        <w:tc>
          <w:tcPr>
            <w:tcW w:w="3880" w:type="dxa"/>
            <w:vAlign w:val="bottom"/>
          </w:tcPr>
          <w:p>
            <w:pPr>
              <w:spacing w:after="0" w:line="189" w:lineRule="exact"/>
              <w:rPr>
                <w:sz w:val="20"/>
                <w:szCs w:val="20"/>
                <w:color w:val="auto"/>
              </w:rPr>
            </w:pPr>
            <w:r>
              <w:rPr>
                <w:rFonts w:ascii="Arial" w:cs="Arial" w:eastAsia="Arial" w:hAnsi="Arial"/>
                <w:sz w:val="17"/>
                <w:szCs w:val="17"/>
                <w:color w:val="auto"/>
              </w:rPr>
              <w:t>Financing activities</w:t>
            </w:r>
          </w:p>
        </w:tc>
        <w:tc>
          <w:tcPr>
            <w:tcW w:w="5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61,641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51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57,809</w:t>
            </w:r>
          </w:p>
        </w:tc>
        <w:tc>
          <w:tcPr>
            <w:tcW w:w="2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(9,769)</w:t>
            </w:r>
          </w:p>
        </w:tc>
      </w:tr>
      <w:tr>
        <w:trPr>
          <w:trHeight w:val="216"/>
        </w:trPr>
        <w:tc>
          <w:tcPr>
            <w:tcW w:w="2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7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020" w:type="dxa"/>
            <w:vAlign w:val="bottom"/>
          </w:tcPr>
          <w:p>
            <w:pPr>
              <w:jc w:val="right"/>
              <w:ind w:right="3236"/>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52" w:lineRule="exact"/>
        <w:rPr>
          <w:sz w:val="20"/>
          <w:szCs w:val="20"/>
          <w:color w:val="auto"/>
        </w:rPr>
      </w:pPr>
    </w:p>
    <w:p>
      <w:pPr>
        <w:ind w:left="200" w:right="180"/>
        <w:spacing w:after="0" w:line="238" w:lineRule="auto"/>
        <w:rPr>
          <w:sz w:val="20"/>
          <w:szCs w:val="20"/>
          <w:color w:val="auto"/>
        </w:rPr>
      </w:pPr>
      <w:r>
        <w:rPr>
          <w:rFonts w:ascii="Arial" w:cs="Arial" w:eastAsia="Arial" w:hAnsi="Arial"/>
          <w:sz w:val="17"/>
          <w:szCs w:val="17"/>
          <w:color w:val="auto"/>
        </w:rPr>
        <w:t>The cash used in operating activities during the aforementioned periods resulted primarily from our net losses incurred during such periods, as adjusted for non-cash charges and measurements and changes in components of working capital. Adjustments to net losses for non-cash items mainly included depreciation and amortization, fair value adjustment of the Preferred A-1 warrants and share-based compensation.</w:t>
      </w:r>
    </w:p>
    <w:p>
      <w:pPr>
        <w:spacing w:after="0" w:line="148"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Net cash used in operating activities was $3.6 million during the nine months ended September 30, 2017, compared to $9.2 million used in operating activities during the nine months ended September 30, 2016. The $5.6 million decrease in cash used was attributable primarily to the receipt of the milestone payment from Allergan of $7.5 million, which was partially offset by an increase in expenditures related to the MitoGel Phase 3 clinical trial of approximately $1.3 million, as well as an increase in personnel related costs to support our growing business and service provider costs related to becoming a public company. These increases were offset by the recording of $1.8 million of IPO expenses in 2016.</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use of cash in investing activities relates primarily to the purchase of property and equipment and changes in restricted deposits.</w:t>
      </w:r>
    </w:p>
    <w:p>
      <w:pPr>
        <w:spacing w:after="0" w:line="102" w:lineRule="exact"/>
        <w:rPr>
          <w:sz w:val="20"/>
          <w:szCs w:val="20"/>
          <w:color w:val="auto"/>
        </w:rPr>
      </w:pPr>
    </w:p>
    <w:p>
      <w:pPr>
        <w:ind w:left="200" w:right="340"/>
        <w:spacing w:after="0" w:line="238" w:lineRule="auto"/>
        <w:rPr>
          <w:sz w:val="20"/>
          <w:szCs w:val="20"/>
          <w:color w:val="auto"/>
        </w:rPr>
      </w:pPr>
      <w:r>
        <w:rPr>
          <w:rFonts w:ascii="Arial" w:cs="Arial" w:eastAsia="Arial" w:hAnsi="Arial"/>
          <w:sz w:val="17"/>
          <w:szCs w:val="17"/>
          <w:color w:val="auto"/>
        </w:rPr>
        <w:t>Net cash used in investing activities was $223,000 during the nine months ended September 30, 2017, compared to $672,000 during the nine months ended September 30, 2016. The decrease of $449,000 is primarily related to leasehold improvements in our Israel and U.S. offices performed during the nine months ended September 30, 2016, which costs did not recur in the nine months ended September 30, 2017.</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cash provided by (used in) financing activities</w:t>
      </w:r>
    </w:p>
    <w:p>
      <w:pPr>
        <w:spacing w:after="0" w:line="52"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Net cash provided by financing activities was $61.6 million during the nine months ended September 30, 2017, compared to $60,000 during the nine months ended September 30, 2016. The difference is primarily related to the net proceeds received from our IPO in May 2017.</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summarizes our statement of cash flows for the 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38"/>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5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3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820" w:type="dxa"/>
            <w:vAlign w:val="bottom"/>
          </w:tcPr>
          <w:p>
            <w:pPr>
              <w:spacing w:after="0" w:line="189" w:lineRule="exact"/>
              <w:rPr>
                <w:sz w:val="20"/>
                <w:szCs w:val="20"/>
                <w:color w:val="auto"/>
              </w:rPr>
            </w:pPr>
            <w:r>
              <w:rPr>
                <w:rFonts w:ascii="Arial" w:cs="Arial" w:eastAsia="Arial" w:hAnsi="Arial"/>
                <w:sz w:val="17"/>
                <w:szCs w:val="17"/>
                <w:color w:val="auto"/>
              </w:rPr>
              <w:t>Operating activities</w:t>
            </w:r>
          </w:p>
        </w:tc>
        <w:tc>
          <w:tcPr>
            <w:tcW w:w="3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182"/>
              <w:spacing w:after="0" w:line="189" w:lineRule="exact"/>
              <w:rPr>
                <w:sz w:val="20"/>
                <w:szCs w:val="20"/>
                <w:color w:val="auto"/>
              </w:rPr>
            </w:pPr>
            <w:r>
              <w:rPr>
                <w:rFonts w:ascii="Arial" w:cs="Arial" w:eastAsia="Arial" w:hAnsi="Arial"/>
                <w:sz w:val="17"/>
                <w:szCs w:val="17"/>
                <w:color w:val="auto"/>
                <w:w w:val="93"/>
              </w:rPr>
              <w:t>4,189</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(7,175)</w:t>
            </w:r>
          </w:p>
        </w:tc>
      </w:tr>
      <w:tr>
        <w:trPr>
          <w:trHeight w:val="189"/>
        </w:trPr>
        <w:tc>
          <w:tcPr>
            <w:tcW w:w="20" w:type="dxa"/>
            <w:vAlign w:val="bottom"/>
          </w:tcPr>
          <w:p>
            <w:pPr>
              <w:spacing w:after="0"/>
              <w:rPr>
                <w:sz w:val="16"/>
                <w:szCs w:val="16"/>
                <w:color w:val="auto"/>
              </w:rPr>
            </w:pPr>
          </w:p>
        </w:tc>
        <w:tc>
          <w:tcPr>
            <w:tcW w:w="5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Investing activities</w:t>
            </w:r>
          </w:p>
        </w:tc>
        <w:tc>
          <w:tcPr>
            <w:tcW w:w="3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22"/>
              <w:spacing w:after="0" w:line="189" w:lineRule="exact"/>
              <w:rPr>
                <w:sz w:val="20"/>
                <w:szCs w:val="20"/>
                <w:color w:val="auto"/>
              </w:rPr>
            </w:pPr>
            <w:r>
              <w:rPr>
                <w:rFonts w:ascii="Arial" w:cs="Arial" w:eastAsia="Arial" w:hAnsi="Arial"/>
                <w:sz w:val="17"/>
                <w:szCs w:val="17"/>
                <w:color w:val="auto"/>
              </w:rPr>
              <w:t>(793)</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205"/>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Financing activities</w:t>
            </w:r>
          </w:p>
        </w:tc>
        <w:tc>
          <w:tcPr>
            <w:tcW w:w="3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22"/>
              <w:spacing w:after="0"/>
              <w:rPr>
                <w:sz w:val="20"/>
                <w:szCs w:val="20"/>
                <w:color w:val="auto"/>
              </w:rPr>
            </w:pPr>
            <w:r>
              <w:rPr>
                <w:rFonts w:ascii="Arial" w:cs="Arial" w:eastAsia="Arial" w:hAnsi="Arial"/>
                <w:sz w:val="17"/>
                <w:szCs w:val="17"/>
                <w:color w:val="auto"/>
              </w:rPr>
              <w:t>(9)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21,581</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52"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The use of cash in 2015 and the cash provided in 2016 resulted primarily from our net losses adjusted for non-cash charges and measurements and changes in components of working capital. Adjustments to net loss for non-cash items mainly include depreciation and amortization, fair value adjustment of the preferred A-1 warrants, share-based compensation and in-process R&amp;D.</w:t>
      </w:r>
    </w:p>
    <w:p>
      <w:pPr>
        <w:spacing w:after="0" w:line="148"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Net cash provided by operating activities was $4.2 million in the year ended December 31, 2016, compared to $7.2 million used in operating activities in the year ended December 31, 2015. The $11.4 million increase was attributable primarily to the decrease of $10.8 million in losses for the year which mainly related to the $17.5 million revenue from Allergan, partly offset by an increase of $4.5 million in general and administrative expenses as a result of strengthening our senior management team and payments to professional services consultants hired by us in preparation for this offering.</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use of cash in investing activities relates primarily to the purchase of property and equipment and changes in restricted deposits.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right="1080"/>
        <w:spacing w:after="0" w:line="243" w:lineRule="auto"/>
        <w:rPr>
          <w:sz w:val="20"/>
          <w:szCs w:val="20"/>
          <w:color w:val="auto"/>
        </w:rPr>
      </w:pPr>
      <w:r>
        <w:rPr>
          <w:rFonts w:ascii="Arial" w:cs="Arial" w:eastAsia="Arial" w:hAnsi="Arial"/>
          <w:sz w:val="17"/>
          <w:szCs w:val="17"/>
          <w:color w:val="auto"/>
        </w:rPr>
        <w:t>Net cash used in investing activities was $793,000 in the year ended December 31, 2016, compared to $301,000 in the year ended December 31, 2015. The use of cash in investing activities mainly related to leasehold improvements in the Israeli and U.S. offices.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cash provided by (used in) financing activities</w:t>
      </w:r>
    </w:p>
    <w:p>
      <w:pPr>
        <w:spacing w:after="0" w:line="39" w:lineRule="exact"/>
        <w:rPr>
          <w:sz w:val="20"/>
          <w:szCs w:val="20"/>
          <w:color w:val="auto"/>
        </w:rPr>
      </w:pPr>
    </w:p>
    <w:p>
      <w:pPr>
        <w:ind w:left="200" w:right="180"/>
        <w:spacing w:after="0" w:line="232" w:lineRule="auto"/>
        <w:rPr>
          <w:sz w:val="20"/>
          <w:szCs w:val="20"/>
          <w:color w:val="auto"/>
        </w:rPr>
      </w:pPr>
      <w:r>
        <w:rPr>
          <w:rFonts w:ascii="Arial" w:cs="Arial" w:eastAsia="Arial" w:hAnsi="Arial"/>
          <w:sz w:val="17"/>
          <w:szCs w:val="17"/>
          <w:color w:val="auto"/>
        </w:rPr>
        <w:t>In October 2015, we entered into a share purchase agreement, or the 2015 Share Purchase Agreement. In September 2014, we entered into a share purchase agreement, or the 2014 Share Purchase Agreement. During 2015, we raised $18.1 million from the 2015 Share Purchase Agreement and $3.6 million from the 2014 Share Purchase Agreement.</w:t>
      </w:r>
    </w:p>
    <w:p>
      <w:pPr>
        <w:ind w:left="200" w:right="20"/>
        <w:spacing w:after="0" w:line="238" w:lineRule="auto"/>
        <w:rPr>
          <w:sz w:val="20"/>
          <w:szCs w:val="20"/>
          <w:color w:val="auto"/>
        </w:rPr>
      </w:pPr>
      <w:r>
        <w:rPr>
          <w:rFonts w:ascii="Arial" w:cs="Arial" w:eastAsia="Arial" w:hAnsi="Arial"/>
          <w:sz w:val="17"/>
          <w:szCs w:val="17"/>
          <w:color w:val="auto"/>
        </w:rPr>
        <w:t>Net cash used in financing activities was $9,000 in the year ended December 31, 2016, compared to $21.6 million provided by financing activities in the year ended December 31, 2015, the difference of which mainly related to funds raised pursuant to the 2015 and 2014 Share Purchase Agreements.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Funding Requirements</w:t>
      </w:r>
    </w:p>
    <w:p>
      <w:pPr>
        <w:spacing w:after="0" w:line="39"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We believe that our existing cash and cash equivalents will enable us to fund our operating expenses and capital expenditure requirements for at least the next 18 months. We have based this estimate on assumptions that may prove to be wrong, and we could use our capital resources sooner than we currently expect.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present and future funding requirements will depend on many factors, including, among other things:</w:t>
      </w:r>
    </w:p>
    <w:p>
      <w:pPr>
        <w:spacing w:after="0" w:line="196" w:lineRule="exact"/>
        <w:rPr>
          <w:sz w:val="20"/>
          <w:szCs w:val="20"/>
          <w:color w:val="auto"/>
        </w:rPr>
      </w:pPr>
    </w:p>
    <w:p>
      <w:pPr>
        <w:ind w:left="960" w:hanging="432"/>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progress, timing and completion of clinical trials for MitoGel and VesiGel;</w:t>
      </w:r>
    </w:p>
    <w:p>
      <w:pPr>
        <w:spacing w:after="0" w:line="61" w:lineRule="exact"/>
        <w:rPr>
          <w:rFonts w:ascii="MS PGothic" w:cs="MS PGothic" w:eastAsia="MS PGothic" w:hAnsi="MS PGothic"/>
          <w:sz w:val="13"/>
          <w:szCs w:val="13"/>
          <w:color w:val="auto"/>
        </w:rPr>
      </w:pPr>
    </w:p>
    <w:p>
      <w:pPr>
        <w:ind w:left="960" w:hanging="432"/>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preclinical studies and clinical trials for Vesimune or any of our other product candidates;</w:t>
      </w:r>
    </w:p>
    <w:p>
      <w:pPr>
        <w:spacing w:after="0" w:line="61" w:lineRule="exact"/>
        <w:rPr>
          <w:rFonts w:ascii="MS PGothic" w:cs="MS PGothic" w:eastAsia="MS PGothic" w:hAnsi="MS PGothic"/>
          <w:sz w:val="13"/>
          <w:szCs w:val="13"/>
          <w:color w:val="auto"/>
        </w:rPr>
      </w:pPr>
    </w:p>
    <w:p>
      <w:pPr>
        <w:ind w:left="960" w:right="60" w:hanging="432"/>
        <w:spacing w:after="0" w:line="238"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costs related to obtaining regulatory approval for MitoGel, VesiGel and Vesimune and any of our other product candidates, and any delays we may encounter as a result of regulatory requirements or adverse clinical trial results with respect to any of these product candidates;</w:t>
      </w:r>
    </w:p>
    <w:p>
      <w:pPr>
        <w:spacing w:after="0" w:line="53" w:lineRule="exact"/>
        <w:rPr>
          <w:rFonts w:ascii="MS PGothic" w:cs="MS PGothic" w:eastAsia="MS PGothic" w:hAnsi="MS PGothic"/>
          <w:sz w:val="13"/>
          <w:szCs w:val="13"/>
          <w:color w:val="auto"/>
        </w:rPr>
      </w:pPr>
    </w:p>
    <w:p>
      <w:pPr>
        <w:ind w:left="960" w:right="100" w:hanging="432"/>
        <w:spacing w:after="0" w:line="243"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selling, marketing and patent-related activities undertaken in connection with the commercialization of MitoGel and VesiGel and any of our other product candidates, and costs involved in the development of an effective sales and marketing organization;</w:t>
      </w:r>
    </w:p>
    <w:p>
      <w:pPr>
        <w:spacing w:after="0" w:line="49" w:lineRule="exact"/>
        <w:rPr>
          <w:rFonts w:ascii="MS PGothic" w:cs="MS PGothic" w:eastAsia="MS PGothic" w:hAnsi="MS PGothic"/>
          <w:sz w:val="13"/>
          <w:szCs w:val="13"/>
          <w:color w:val="auto"/>
        </w:rPr>
      </w:pPr>
    </w:p>
    <w:p>
      <w:pPr>
        <w:ind w:left="960" w:hanging="432"/>
        <w:spacing w:after="0" w:line="238"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spacing w:after="0" w:line="53" w:lineRule="exact"/>
        <w:rPr>
          <w:rFonts w:ascii="MS PGothic" w:cs="MS PGothic" w:eastAsia="MS PGothic" w:hAnsi="MS PGothic"/>
          <w:sz w:val="13"/>
          <w:szCs w:val="13"/>
          <w:color w:val="auto"/>
        </w:rPr>
      </w:pPr>
    </w:p>
    <w:p>
      <w:pPr>
        <w:ind w:left="960" w:hanging="432"/>
        <w:spacing w:after="0"/>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potential new product candidates we identify and attempt to develop; and</w:t>
      </w:r>
    </w:p>
    <w:p>
      <w:pPr>
        <w:spacing w:after="0" w:line="61" w:lineRule="exact"/>
        <w:rPr>
          <w:rFonts w:ascii="MS PGothic" w:cs="MS PGothic" w:eastAsia="MS PGothic" w:hAnsi="MS PGothic"/>
          <w:sz w:val="13"/>
          <w:szCs w:val="13"/>
          <w:color w:val="auto"/>
        </w:rPr>
      </w:pPr>
    </w:p>
    <w:p>
      <w:pPr>
        <w:ind w:left="960" w:hanging="432"/>
        <w:spacing w:after="0" w:line="243" w:lineRule="auto"/>
        <w:tabs>
          <w:tab w:leader="none" w:pos="96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revenues we may derive either directly or in the form of royalty payments from future sales of MitoGel, VesiGel, Vesimune, BotuGel and any other product candidates.</w:t>
      </w:r>
    </w:p>
    <w:p>
      <w:pPr>
        <w:spacing w:after="0" w:line="14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7"/>
          <w:szCs w:val="17"/>
          <w:color w:val="auto"/>
        </w:rPr>
        <w:t>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r>
        <w:rPr>
          <w:rFonts w:ascii="Arial" w:cs="Arial" w:eastAsia="Arial" w:hAnsi="Arial"/>
          <w:sz w:val="17"/>
          <w:szCs w:val="17"/>
          <w:b w:val="1"/>
          <w:bCs w:val="1"/>
          <w:color w:val="auto"/>
        </w:rPr>
        <w:t>.</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Until such time, if ever, as we can generate substantial product revenue, 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For more information as to the risks associated with our future funding needs, see “Risk Factors—We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41"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Our known contractual obligations as of December 31, 2016 are summarized in the following table. The obligations detailed below do not include grants received from the IIA pursuant to which we will owe royalties or reimbursement upon commercialization of our product candidates. As of December 31, 2016, the maximum royalty amount payable by us under these funding arrangements is $2.1 million, excluding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8890</wp:posOffset>
            </wp:positionV>
            <wp:extent cx="37649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9" w:lineRule="exact"/>
        <w:rPr>
          <w:sz w:val="20"/>
          <w:szCs w:val="20"/>
          <w:color w:val="auto"/>
        </w:rPr>
      </w:pPr>
    </w:p>
    <w:p>
      <w:pPr>
        <w:ind w:left="5240"/>
        <w:spacing w:after="0"/>
        <w:tabs>
          <w:tab w:leader="none" w:pos="7280" w:val="left"/>
          <w:tab w:leader="none" w:pos="8940" w:val="left"/>
          <w:tab w:leader="none" w:pos="10640" w:val="left"/>
        </w:tabs>
        <w:rPr>
          <w:sz w:val="20"/>
          <w:szCs w:val="20"/>
          <w:color w:val="auto"/>
        </w:rPr>
      </w:pPr>
      <w:r>
        <w:rPr>
          <w:rFonts w:ascii="Arial" w:cs="Arial" w:eastAsia="Arial" w:hAnsi="Arial"/>
          <w:sz w:val="14"/>
          <w:szCs w:val="14"/>
          <w:b w:val="1"/>
          <w:bCs w:val="1"/>
          <w:color w:val="auto"/>
        </w:rPr>
        <w:t>LESS THAN 1 YEAR</w:t>
      </w:r>
      <w:r>
        <w:rPr>
          <w:sz w:val="20"/>
          <w:szCs w:val="20"/>
          <w:color w:val="auto"/>
        </w:rPr>
        <w:tab/>
      </w:r>
      <w:r>
        <w:rPr>
          <w:rFonts w:ascii="Arial" w:cs="Arial" w:eastAsia="Arial" w:hAnsi="Arial"/>
          <w:sz w:val="14"/>
          <w:szCs w:val="14"/>
          <w:b w:val="1"/>
          <w:bCs w:val="1"/>
          <w:color w:val="auto"/>
        </w:rPr>
        <w:t>1 TO 3 YEARS</w:t>
      </w:r>
      <w:r>
        <w:rPr>
          <w:sz w:val="20"/>
          <w:szCs w:val="20"/>
          <w:color w:val="auto"/>
        </w:rPr>
        <w:tab/>
      </w:r>
      <w:r>
        <w:rPr>
          <w:rFonts w:ascii="Arial" w:cs="Arial" w:eastAsia="Arial" w:hAnsi="Arial"/>
          <w:sz w:val="14"/>
          <w:szCs w:val="14"/>
          <w:b w:val="1"/>
          <w:bCs w:val="1"/>
          <w:color w:val="auto"/>
        </w:rPr>
        <w:t>3 TO 7 YEARS</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0</wp:posOffset>
            </wp:positionV>
            <wp:extent cx="37649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4"/>
          <w:szCs w:val="14"/>
          <w:b w:val="1"/>
          <w:bCs w:val="1"/>
          <w:color w:val="auto"/>
        </w:rPr>
        <w:t>(in thousands)</w:t>
      </w:r>
    </w:p>
    <w:p>
      <w:pPr>
        <w:ind w:left="200"/>
        <w:spacing w:after="0"/>
        <w:tabs>
          <w:tab w:leader="none" w:pos="5220" w:val="left"/>
          <w:tab w:leader="none" w:pos="6320" w:val="left"/>
          <w:tab w:leader="none" w:pos="7280" w:val="left"/>
          <w:tab w:leader="none" w:pos="7980" w:val="left"/>
          <w:tab w:leader="none" w:pos="8940" w:val="left"/>
          <w:tab w:leader="none" w:pos="9640" w:val="left"/>
          <w:tab w:leader="none" w:pos="10620" w:val="left"/>
        </w:tabs>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400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756</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656</w:t>
      </w:r>
      <w:r>
        <w:rPr>
          <w:sz w:val="20"/>
          <w:szCs w:val="20"/>
          <w:color w:val="auto"/>
        </w:rPr>
        <w:tab/>
      </w:r>
      <w:r>
        <w:rPr>
          <w:rFonts w:ascii="Arial" w:cs="Arial" w:eastAsia="Arial" w:hAnsi="Arial"/>
          <w:sz w:val="17"/>
          <w:szCs w:val="17"/>
          <w:color w:val="auto"/>
        </w:rPr>
        <w:t>$1,812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7700" cy="12001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jc w:val="both"/>
        <w:ind w:left="520" w:right="20" w:hanging="289"/>
        <w:spacing w:after="0" w:line="208" w:lineRule="auto"/>
        <w:tabs>
          <w:tab w:leader="none" w:pos="52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Operating lease obligations consist of payments pursuant to lease agreements for our Israeli offices and laboratory facility and our New York offices. In November 2014, we entered into a lease agreement for our Israeli offices effective from February 1, 2015 for a period of three years, with an option to extend the lease agreement by an additional three years. In April 2016, we signed an addendum to the November 2014 lease agreement in order to increase the office space rented and extend the rental period. In November 2017, we signed an additional addendum to the November 2014 lease agreement in order to increase the office space rented.</w:t>
      </w:r>
    </w:p>
    <w:p>
      <w:pPr>
        <w:spacing w:after="0" w:line="71" w:lineRule="exact"/>
        <w:rPr>
          <w:rFonts w:ascii="Arial" w:cs="Arial" w:eastAsia="Arial" w:hAnsi="Arial"/>
          <w:sz w:val="24"/>
          <w:szCs w:val="24"/>
          <w:color w:val="auto"/>
          <w:vertAlign w:val="superscript"/>
        </w:rPr>
      </w:pPr>
    </w:p>
    <w:p>
      <w:pPr>
        <w:ind w:left="520" w:right="320"/>
        <w:spacing w:after="0" w:line="250" w:lineRule="auto"/>
        <w:rPr>
          <w:rFonts w:ascii="Arial" w:cs="Arial" w:eastAsia="Arial" w:hAnsi="Arial"/>
          <w:sz w:val="24"/>
          <w:szCs w:val="24"/>
          <w:color w:val="auto"/>
          <w:vertAlign w:val="superscript"/>
        </w:rPr>
      </w:pPr>
      <w:r>
        <w:rPr>
          <w:rFonts w:ascii="Arial" w:cs="Arial" w:eastAsia="Arial" w:hAnsi="Arial"/>
          <w:sz w:val="14"/>
          <w:szCs w:val="14"/>
          <w:color w:val="auto"/>
        </w:rPr>
        <w:t>In November 2015, Urogen Pharma, Inc. entered into a lease agreement for its previous New York office for a period of seven years, which period commenced on May 1, 2016. In September 2017, Urogen Pharma, Inc. entered into a new lease agreement for its current New York office for a period of approximately 41 months, which period commenced in October 2017. The new lease agreement will terminate on February 1, 2021, unless earlier terminated in accordance with its terms.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the date of this prospectus and during the periods presented, we do not and did not, respectively, have any off-balance sheet arrangements.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80"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color w:val="auto"/>
        </w:rPr>
        <w:t>Market risk is the risk of loss related to changes in market prices, including interest rates and foreign exchange rates, of financial instruments that may adversely impact our financial position, results of operations or cash flows.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4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although the dollar appreciated against the NIS in 2015 by 0.3%, the level of devaluation of the dollar against the NIS in 2016 was 1.5%. If the dollar cost of our operations in Israel increases, our dollar-measured results of operations will be adversely affected. Our operations also could be adversely affected if we are unable to effectively hedge against currency fluctuations in the future.</w:t>
      </w:r>
    </w:p>
    <w:p>
      <w:pPr>
        <w:spacing w:after="0" w:line="96"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Liquidity risk</w:t>
      </w:r>
    </w:p>
    <w:p>
      <w:pPr>
        <w:spacing w:after="0" w:line="41" w:lineRule="exact"/>
        <w:rPr>
          <w:sz w:val="20"/>
          <w:szCs w:val="20"/>
          <w:color w:val="auto"/>
        </w:rPr>
      </w:pPr>
    </w:p>
    <w:p>
      <w:pPr>
        <w:ind w:left="200" w:right="220"/>
        <w:spacing w:after="0" w:line="238" w:lineRule="auto"/>
        <w:rPr>
          <w:sz w:val="20"/>
          <w:szCs w:val="20"/>
          <w:color w:val="auto"/>
        </w:rPr>
      </w:pPr>
      <w:r>
        <w:rPr>
          <w:rFonts w:ascii="Arial" w:cs="Arial" w:eastAsia="Arial" w:hAnsi="Arial"/>
          <w:sz w:val="17"/>
          <w:szCs w:val="17"/>
          <w:color w:val="auto"/>
        </w:rPr>
        <w:t>We monitor forecasts of our liquidity reserve (comprising cash and cash equivalents and deposits). We generally carry this out based on our expected cash flows in accordance with practice and limits set by our management. We are in the research and development stage and we are therefore exposed to liquidity risk. However, we believe that our</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300"/>
        <w:spacing w:after="0" w:line="243" w:lineRule="auto"/>
        <w:rPr>
          <w:sz w:val="20"/>
          <w:szCs w:val="20"/>
          <w:color w:val="auto"/>
        </w:rPr>
      </w:pPr>
      <w:r>
        <w:rPr>
          <w:rFonts w:ascii="Arial" w:cs="Arial" w:eastAsia="Arial" w:hAnsi="Arial"/>
          <w:sz w:val="17"/>
          <w:szCs w:val="17"/>
          <w:color w:val="auto"/>
        </w:rPr>
        <w:t>existing cash and cash equivalents will enable us to fund our operating expenses and capital expenditure requirements for at least the next 18 months.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3"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GAAP, as issued by the FASB. The preparation of our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50"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elsewhere in this prospectus,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(i) it requires us to make assumptions because information was not available at the time or it included matters that were highly uncertain at the time we were making our estimate and (ii) changes in the estimate could have a material impact on our financial condition or results of operations.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5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7"/>
          <w:szCs w:val="17"/>
          <w:color w:val="auto"/>
        </w:rPr>
        <w:t>We account for our share-based compensation for employees and directors in accordance with the provisions of ASC 718, Compensation—Stock Compensation, U.S. GAAP “Stock-based Payment,” which requires us to measure the cost of share-based compensation based on the fair value of the award on the grant date.</w:t>
      </w:r>
    </w:p>
    <w:p>
      <w:pPr>
        <w:spacing w:after="0" w:line="148" w:lineRule="exact"/>
        <w:rPr>
          <w:sz w:val="20"/>
          <w:szCs w:val="20"/>
          <w:color w:val="auto"/>
        </w:rPr>
      </w:pPr>
    </w:p>
    <w:p>
      <w:pPr>
        <w:ind w:left="200" w:right="400"/>
        <w:spacing w:after="0" w:line="243" w:lineRule="auto"/>
        <w:rPr>
          <w:sz w:val="20"/>
          <w:szCs w:val="20"/>
          <w:color w:val="auto"/>
        </w:rPr>
      </w:pPr>
      <w:r>
        <w:rPr>
          <w:rFonts w:ascii="Arial" w:cs="Arial" w:eastAsia="Arial" w:hAnsi="Arial"/>
          <w:sz w:val="17"/>
          <w:szCs w:val="17"/>
          <w:color w:val="auto"/>
        </w:rPr>
        <w:t>We re-measure equity awards granted to non-employees at each reporting period at fair value until they have vested. The fair value of equity awards is charged to the statement of operations over the service period using the straight- line method.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Option Valuations</w:t>
      </w:r>
    </w:p>
    <w:p>
      <w:pPr>
        <w:spacing w:after="0" w:line="54"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We selected the Black-Scholes option pricing model as the most appropriate method for determining the estimated fair value of our share-based awards. The resulting cost of a share incentive award is recognized as an expense over the requisite service period of the award, which is usually the vesting period. We recognize compensation expense over the vesting period using the straight-line method, and classify these amounts in the financial statements based on the department to which the related employee reports.</w:t>
      </w:r>
    </w:p>
    <w:p>
      <w:pPr>
        <w:spacing w:after="0" w:line="149" w:lineRule="exact"/>
        <w:rPr>
          <w:sz w:val="20"/>
          <w:szCs w:val="20"/>
          <w:color w:val="auto"/>
        </w:rPr>
      </w:pPr>
    </w:p>
    <w:p>
      <w:pPr>
        <w:jc w:val="both"/>
        <w:ind w:left="200" w:right="460"/>
        <w:spacing w:after="0" w:line="238" w:lineRule="auto"/>
        <w:rPr>
          <w:sz w:val="20"/>
          <w:szCs w:val="20"/>
          <w:color w:val="auto"/>
        </w:rPr>
      </w:pPr>
      <w:r>
        <w:rPr>
          <w:rFonts w:ascii="Arial" w:cs="Arial" w:eastAsia="Arial" w:hAnsi="Arial"/>
          <w:sz w:val="17"/>
          <w:szCs w:val="17"/>
          <w:color w:val="auto"/>
        </w:rPr>
        <w:t>The determination of the grant date fair value of options using an option pricing model is affected by estimates and assumptions regarding a number of complex and subjective variables. These variables include the expected volatility of our share price over the expected term of the options, share option exercise and cancellation behaviors, risk-free interest rates and expected dividends, which are estimated as follows:</w:t>
      </w:r>
    </w:p>
    <w:p>
      <w:pPr>
        <w:spacing w:after="0" w:line="170" w:lineRule="exact"/>
        <w:rPr>
          <w:sz w:val="20"/>
          <w:szCs w:val="20"/>
          <w:color w:val="auto"/>
        </w:rPr>
      </w:pPr>
    </w:p>
    <w:p>
      <w:pPr>
        <w:ind w:left="960" w:right="320" w:hanging="432"/>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Fair value of our ordinary shares</w:t>
      </w:r>
      <w:r>
        <w:rPr>
          <w:rFonts w:ascii="Arial" w:cs="Arial" w:eastAsia="Arial" w:hAnsi="Arial"/>
          <w:sz w:val="17"/>
          <w:szCs w:val="17"/>
          <w:color w:val="auto"/>
        </w:rPr>
        <w:t>. Because our shares are not publicly traded, we must estimate the fair value of ordinary shares,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below in “—Valuation of our ordinary shares.”</w:t>
      </w:r>
    </w:p>
    <w:p>
      <w:pPr>
        <w:spacing w:after="0" w:line="1" w:lineRule="exact"/>
        <w:rPr>
          <w:rFonts w:ascii="MS PGothic" w:cs="MS PGothic" w:eastAsia="MS PGothic" w:hAnsi="MS PGothic"/>
          <w:sz w:val="13"/>
          <w:szCs w:val="13"/>
          <w:color w:val="auto"/>
        </w:rPr>
      </w:pPr>
    </w:p>
    <w:p>
      <w:pPr>
        <w:ind w:left="960" w:right="140" w:hanging="432"/>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volatility of the ordinary shares of comparable companies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publicly traded.</w:t>
      </w:r>
    </w:p>
    <w:p>
      <w:pPr>
        <w:spacing w:after="0" w:line="1" w:lineRule="exact"/>
        <w:rPr>
          <w:rFonts w:ascii="MS PGothic" w:cs="MS PGothic" w:eastAsia="MS PGothic" w:hAnsi="MS PGothic"/>
          <w:sz w:val="13"/>
          <w:szCs w:val="13"/>
          <w:color w:val="auto"/>
        </w:rPr>
      </w:pPr>
    </w:p>
    <w:p>
      <w:pPr>
        <w:ind w:left="960" w:hanging="432"/>
        <w:spacing w:after="0" w:line="239"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options granted represents the period of time that options granted are expected to be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Since adequate historical experience is not available to provide a reasonable estimate, the expected term for grants to employees for at the money options (except senior management) is determined based on the midpoint between the available exercise dates (the end of the vesting periods) and the last available exercise date (the contracted expiry date). The expected term for grants to non-employees, senior management, directors, and out of the money options granted to employees, is determined based on the contractual life of the options.</w:t>
      </w:r>
    </w:p>
    <w:p>
      <w:pPr>
        <w:spacing w:after="0" w:line="7" w:lineRule="exact"/>
        <w:rPr>
          <w:rFonts w:ascii="MS PGothic" w:cs="MS PGothic" w:eastAsia="MS PGothic" w:hAnsi="MS PGothic"/>
          <w:sz w:val="13"/>
          <w:szCs w:val="13"/>
          <w:color w:val="auto"/>
        </w:rPr>
      </w:pPr>
    </w:p>
    <w:p>
      <w:pPr>
        <w:ind w:left="960" w:right="440" w:hanging="432"/>
        <w:spacing w:after="0" w:line="256"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Risk-free rate</w:t>
      </w:r>
      <w:r>
        <w:rPr>
          <w:rFonts w:ascii="Arial" w:cs="Arial" w:eastAsia="Arial" w:hAnsi="Arial"/>
          <w:sz w:val="17"/>
          <w:szCs w:val="17"/>
          <w:color w:val="auto"/>
        </w:rPr>
        <w:t>. The risk-free interest rate is based on the yield from U.S. Treasury zero-coupon bonds with a term equivalent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term of the options.</w:t>
      </w:r>
    </w:p>
    <w:p>
      <w:pPr>
        <w:spacing w:after="0" w:line="1" w:lineRule="exact"/>
        <w:rPr>
          <w:rFonts w:ascii="MS PGothic" w:cs="MS PGothic" w:eastAsia="MS PGothic" w:hAnsi="MS PGothic"/>
          <w:sz w:val="13"/>
          <w:szCs w:val="13"/>
          <w:color w:val="auto"/>
        </w:rPr>
      </w:pPr>
    </w:p>
    <w:p>
      <w:pPr>
        <w:ind w:left="960" w:right="320" w:hanging="432"/>
        <w:spacing w:after="0" w:line="265" w:lineRule="auto"/>
        <w:tabs>
          <w:tab w:leader="none" w:pos="96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have never declared or paid any cash dividends and do not presently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Consequently, we used an expected dividend yield of zero.</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60"/>
        <w:spacing w:after="0" w:line="243" w:lineRule="auto"/>
        <w:rPr>
          <w:sz w:val="20"/>
          <w:szCs w:val="20"/>
          <w:color w:val="auto"/>
        </w:rPr>
      </w:pPr>
      <w:r>
        <w:rPr>
          <w:rFonts w:ascii="Arial" w:cs="Arial" w:eastAsia="Arial" w:hAnsi="Arial"/>
          <w:sz w:val="17"/>
          <w:szCs w:val="17"/>
          <w:color w:val="auto"/>
        </w:rPr>
        <w:t>If any of the assumptions used in the Black-Scholes option pricing model change significantly, share-based compensation for future awards may differ materially compared with the awards granted previously.</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presents the weighted-average assumptions used to estimate the fair value of options granted on the dates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20" w:type="dxa"/>
            <w:vAlign w:val="bottom"/>
          </w:tcPr>
          <w:p>
            <w:pPr>
              <w:jc w:val="right"/>
              <w:ind w:right="15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2016</w:t>
            </w:r>
          </w:p>
        </w:tc>
        <w:tc>
          <w:tcPr>
            <w:tcW w:w="20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rPr>
              <w:t>DECEMBER 31, 2015</w:t>
            </w:r>
          </w:p>
        </w:tc>
      </w:tr>
      <w:tr>
        <w:trPr>
          <w:trHeight w:val="183"/>
        </w:trPr>
        <w:tc>
          <w:tcPr>
            <w:tcW w:w="20" w:type="dxa"/>
            <w:vAlign w:val="bottom"/>
          </w:tcPr>
          <w:p>
            <w:pPr>
              <w:spacing w:after="0"/>
              <w:rPr>
                <w:sz w:val="15"/>
                <w:szCs w:val="15"/>
                <w:color w:val="auto"/>
              </w:rPr>
            </w:pPr>
          </w:p>
        </w:tc>
        <w:tc>
          <w:tcPr>
            <w:tcW w:w="4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Expected volatility (%)</w:t>
            </w:r>
          </w:p>
        </w:tc>
        <w:tc>
          <w:tcPr>
            <w:tcW w:w="27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72.72 - 80.00</w:t>
            </w:r>
          </w:p>
        </w:tc>
        <w:tc>
          <w:tcPr>
            <w:tcW w:w="5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69.78 - 76.68</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00" w:type="dxa"/>
            <w:vAlign w:val="bottom"/>
          </w:tcPr>
          <w:p>
            <w:pPr>
              <w:spacing w:after="0" w:line="189" w:lineRule="exact"/>
              <w:rPr>
                <w:sz w:val="20"/>
                <w:szCs w:val="20"/>
                <w:color w:val="auto"/>
              </w:rPr>
            </w:pPr>
            <w:r>
              <w:rPr>
                <w:rFonts w:ascii="Arial" w:cs="Arial" w:eastAsia="Arial" w:hAnsi="Arial"/>
                <w:sz w:val="17"/>
                <w:szCs w:val="17"/>
                <w:color w:val="auto"/>
              </w:rPr>
              <w:t>Expected term (years)</w:t>
            </w:r>
          </w:p>
        </w:tc>
        <w:tc>
          <w:tcPr>
            <w:tcW w:w="41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5.8 - 8.5</w:t>
            </w:r>
          </w:p>
        </w:tc>
        <w:tc>
          <w:tcPr>
            <w:tcW w:w="2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1 - 7</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rate (%)</w:t>
            </w:r>
          </w:p>
        </w:tc>
        <w:tc>
          <w:tcPr>
            <w:tcW w:w="4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1.4 - 2.27</w:t>
            </w:r>
          </w:p>
        </w:tc>
        <w:tc>
          <w:tcPr>
            <w:tcW w:w="2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0.38 - 2.08</w:t>
            </w:r>
          </w:p>
        </w:tc>
        <w:tc>
          <w:tcPr>
            <w:tcW w:w="6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Expected dividend yield (%)</w:t>
            </w:r>
          </w:p>
        </w:tc>
        <w:tc>
          <w:tcPr>
            <w:tcW w:w="272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153035</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0" w:lineRule="exact"/>
        <w:rPr>
          <w:sz w:val="20"/>
          <w:szCs w:val="20"/>
          <w:color w:val="auto"/>
        </w:rPr>
      </w:pPr>
    </w:p>
    <w:p>
      <w:pPr>
        <w:ind w:left="200" w:right="260"/>
        <w:spacing w:after="0" w:line="238" w:lineRule="auto"/>
        <w:rPr>
          <w:sz w:val="20"/>
          <w:szCs w:val="20"/>
          <w:color w:val="auto"/>
        </w:rPr>
      </w:pPr>
      <w:r>
        <w:rPr>
          <w:rFonts w:ascii="Arial" w:cs="Arial" w:eastAsia="Arial" w:hAnsi="Arial"/>
          <w:sz w:val="17"/>
          <w:szCs w:val="17"/>
          <w:color w:val="auto"/>
        </w:rPr>
        <w:t>The following table presents the grant dates, number of underlying shares and related exercise prices of options granted to employees and non-employees since January 1, 2015 through December 31, 2016, as well as the estimated fair value of the underlying ordinary shares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157480</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60" w:type="dxa"/>
            <w:vAlign w:val="bottom"/>
            <w:gridSpan w:val="3"/>
          </w:tcPr>
          <w:p>
            <w:pPr>
              <w:jc w:val="center"/>
              <w:ind w:left="617"/>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CLASS OF</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jc w:val="center"/>
              <w:ind w:right="26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jc w:val="center"/>
              <w:ind w:right="267"/>
              <w:spacing w:after="0"/>
              <w:rPr>
                <w:sz w:val="20"/>
                <w:szCs w:val="20"/>
                <w:color w:val="auto"/>
              </w:rPr>
            </w:pPr>
            <w:r>
              <w:rPr>
                <w:rFonts w:ascii="Arial" w:cs="Arial" w:eastAsia="Arial" w:hAnsi="Arial"/>
                <w:sz w:val="14"/>
                <w:szCs w:val="14"/>
                <w:b w:val="1"/>
                <w:bCs w:val="1"/>
                <w:color w:val="auto"/>
              </w:rPr>
              <w:t>SUBJECT</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SUBJECT TO</w:t>
            </w:r>
          </w:p>
        </w:tc>
        <w:tc>
          <w:tcPr>
            <w:tcW w:w="3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TYPE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FAIR VALUE</w:t>
            </w:r>
          </w:p>
        </w:tc>
        <w:tc>
          <w:tcPr>
            <w:tcW w:w="0" w:type="dxa"/>
            <w:vAlign w:val="bottom"/>
          </w:tcPr>
          <w:p>
            <w:pPr>
              <w:spacing w:after="0"/>
              <w:rPr>
                <w:sz w:val="1"/>
                <w:szCs w:val="1"/>
                <w:color w:val="auto"/>
              </w:rPr>
            </w:pPr>
          </w:p>
        </w:tc>
      </w:tr>
      <w:tr>
        <w:trPr>
          <w:trHeight w:val="162"/>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w:t>
            </w:r>
          </w:p>
        </w:tc>
        <w:tc>
          <w:tcPr>
            <w:tcW w:w="1040" w:type="dxa"/>
            <w:vAlign w:val="bottom"/>
          </w:tcPr>
          <w:p>
            <w:pPr>
              <w:spacing w:after="0"/>
              <w:rPr>
                <w:sz w:val="14"/>
                <w:szCs w:val="14"/>
                <w:color w:val="auto"/>
              </w:rPr>
            </w:pPr>
          </w:p>
        </w:tc>
        <w:tc>
          <w:tcPr>
            <w:tcW w:w="1220" w:type="dxa"/>
            <w:vAlign w:val="bottom"/>
            <w:gridSpan w:val="2"/>
          </w:tcPr>
          <w:p>
            <w:pPr>
              <w:jc w:val="center"/>
              <w:ind w:right="267"/>
              <w:spacing w:after="0"/>
              <w:rPr>
                <w:sz w:val="20"/>
                <w:szCs w:val="20"/>
                <w:color w:val="auto"/>
              </w:rPr>
            </w:pPr>
            <w:r>
              <w:rPr>
                <w:rFonts w:ascii="Arial" w:cs="Arial" w:eastAsia="Arial" w:hAnsi="Arial"/>
                <w:sz w:val="14"/>
                <w:szCs w:val="14"/>
                <w:b w:val="1"/>
                <w:bCs w:val="1"/>
                <w:color w:val="auto"/>
              </w:rPr>
              <w:t>TO</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THE</w:t>
            </w:r>
          </w:p>
        </w:tc>
        <w:tc>
          <w:tcPr>
            <w:tcW w:w="3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EQUITY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rPr>
              <w:t>EXERCISE</w:t>
            </w:r>
          </w:p>
        </w:tc>
        <w:tc>
          <w:tcPr>
            <w:tcW w:w="1540" w:type="dxa"/>
            <w:vAlign w:val="bottom"/>
            <w:gridSpan w:val="4"/>
          </w:tcPr>
          <w:p>
            <w:pPr>
              <w:ind w:left="360"/>
              <w:spacing w:after="0"/>
              <w:rPr>
                <w:sz w:val="20"/>
                <w:szCs w:val="20"/>
                <w:color w:val="auto"/>
              </w:rPr>
            </w:pPr>
            <w:r>
              <w:rPr>
                <w:rFonts w:ascii="Arial" w:cs="Arial" w:eastAsia="Arial" w:hAnsi="Arial"/>
                <w:sz w:val="14"/>
                <w:szCs w:val="14"/>
                <w:b w:val="1"/>
                <w:bCs w:val="1"/>
                <w:color w:val="auto"/>
              </w:rPr>
              <w:t>PER ORDINARY</w:t>
            </w:r>
          </w:p>
        </w:tc>
        <w:tc>
          <w:tcPr>
            <w:tcW w:w="0" w:type="dxa"/>
            <w:vAlign w:val="bottom"/>
          </w:tcPr>
          <w:p>
            <w:pPr>
              <w:spacing w:after="0"/>
              <w:rPr>
                <w:sz w:val="1"/>
                <w:szCs w:val="1"/>
                <w:color w:val="auto"/>
              </w:rPr>
            </w:pPr>
          </w:p>
        </w:tc>
      </w:tr>
      <w:tr>
        <w:trPr>
          <w:trHeight w:val="149"/>
        </w:trPr>
        <w:tc>
          <w:tcPr>
            <w:tcW w:w="30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tcPr>
          <w:p>
            <w:pPr>
              <w:jc w:val="center"/>
              <w:ind w:right="267"/>
              <w:spacing w:after="0" w:line="149" w:lineRule="exact"/>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AWARDS</w:t>
            </w:r>
          </w:p>
        </w:tc>
        <w:tc>
          <w:tcPr>
            <w:tcW w:w="3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INSTRUMENT</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PRICE PER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SHARE AT</w:t>
            </w:r>
          </w:p>
        </w:tc>
        <w:tc>
          <w:tcPr>
            <w:tcW w:w="0" w:type="dxa"/>
            <w:vAlign w:val="bottom"/>
          </w:tcPr>
          <w:p>
            <w:pPr>
              <w:spacing w:after="0"/>
              <w:rPr>
                <w:sz w:val="1"/>
                <w:szCs w:val="1"/>
                <w:color w:val="auto"/>
              </w:rPr>
            </w:pPr>
          </w:p>
        </w:tc>
      </w:tr>
      <w:tr>
        <w:trPr>
          <w:trHeight w:val="175"/>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GRANT</w:t>
            </w:r>
          </w:p>
        </w:tc>
        <w:tc>
          <w:tcPr>
            <w:tcW w:w="1040" w:type="dxa"/>
            <w:vAlign w:val="bottom"/>
          </w:tcPr>
          <w:p>
            <w:pPr>
              <w:spacing w:after="0"/>
              <w:rPr>
                <w:sz w:val="15"/>
                <w:szCs w:val="15"/>
                <w:color w:val="auto"/>
              </w:rPr>
            </w:pPr>
          </w:p>
        </w:tc>
        <w:tc>
          <w:tcPr>
            <w:tcW w:w="1220" w:type="dxa"/>
            <w:vAlign w:val="bottom"/>
            <w:gridSpan w:val="2"/>
          </w:tcPr>
          <w:p>
            <w:pPr>
              <w:jc w:val="center"/>
              <w:ind w:right="267"/>
              <w:spacing w:after="0"/>
              <w:rPr>
                <w:sz w:val="20"/>
                <w:szCs w:val="20"/>
                <w:color w:val="auto"/>
              </w:rPr>
            </w:pPr>
            <w:r>
              <w:rPr>
                <w:rFonts w:ascii="Arial" w:cs="Arial" w:eastAsia="Arial" w:hAnsi="Arial"/>
                <w:sz w:val="14"/>
                <w:szCs w:val="14"/>
                <w:b w:val="1"/>
                <w:bCs w:val="1"/>
                <w:color w:val="auto"/>
              </w:rPr>
              <w:t>GRANTED</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3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AWARDED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rPr>
              <w:t>SHARE</w:t>
            </w:r>
          </w:p>
        </w:tc>
        <w:tc>
          <w:tcPr>
            <w:tcW w:w="360" w:type="dxa"/>
            <w:vAlign w:val="bottom"/>
          </w:tcPr>
          <w:p>
            <w:pPr>
              <w:spacing w:after="0"/>
              <w:rPr>
                <w:sz w:val="15"/>
                <w:szCs w:val="15"/>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August – September 2015</w:t>
            </w:r>
          </w:p>
        </w:tc>
        <w:tc>
          <w:tcPr>
            <w:tcW w:w="10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291,405</w:t>
            </w:r>
          </w:p>
        </w:tc>
        <w:tc>
          <w:tcPr>
            <w:tcW w:w="3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87"/>
              </w:rPr>
              <w:t>(1)</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ordinary</w:t>
            </w: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99"/>
              </w:rPr>
              <w:t>Options and RSUs</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0 - 5</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3.01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17"/>
                <w:szCs w:val="17"/>
                <w:color w:val="auto"/>
              </w:rPr>
              <w:t>October – December 2015</w:t>
            </w:r>
          </w:p>
        </w:tc>
        <w:tc>
          <w:tcPr>
            <w:tcW w:w="2260" w:type="dxa"/>
            <w:vAlign w:val="bottom"/>
            <w:gridSpan w:val="3"/>
          </w:tcPr>
          <w:p>
            <w:pPr>
              <w:jc w:val="right"/>
              <w:ind w:right="87"/>
              <w:spacing w:after="0" w:line="189" w:lineRule="exact"/>
              <w:rPr>
                <w:sz w:val="20"/>
                <w:szCs w:val="20"/>
                <w:color w:val="auto"/>
              </w:rPr>
            </w:pPr>
            <w:r>
              <w:rPr>
                <w:rFonts w:ascii="Arial" w:cs="Arial" w:eastAsia="Arial" w:hAnsi="Arial"/>
                <w:sz w:val="17"/>
                <w:szCs w:val="17"/>
                <w:color w:val="auto"/>
              </w:rPr>
              <w:t>1,011,192</w:t>
            </w: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ordinary</w:t>
            </w:r>
          </w:p>
        </w:tc>
        <w:tc>
          <w:tcPr>
            <w:tcW w:w="38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color w:val="auto"/>
              </w:rPr>
              <w:t>Options</w:t>
            </w: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w w:val="98"/>
              </w:rPr>
              <w:t>1.78 - 5.94</w:t>
            </w:r>
          </w:p>
        </w:tc>
        <w:tc>
          <w:tcPr>
            <w:tcW w:w="48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2.98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January 2016</w:t>
            </w:r>
          </w:p>
        </w:tc>
        <w:tc>
          <w:tcPr>
            <w:tcW w:w="1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195,545</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ordinary</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Options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48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17"/>
                <w:szCs w:val="17"/>
                <w:color w:val="auto"/>
              </w:rPr>
              <w:t>April – June 2016</w:t>
            </w:r>
          </w:p>
        </w:tc>
        <w:tc>
          <w:tcPr>
            <w:tcW w:w="1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270,900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ordinary</w:t>
            </w:r>
          </w:p>
        </w:tc>
        <w:tc>
          <w:tcPr>
            <w:tcW w:w="38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color w:val="auto"/>
              </w:rPr>
              <w:t>Options</w:t>
            </w: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0 - 5.94</w:t>
            </w:r>
          </w:p>
        </w:tc>
        <w:tc>
          <w:tcPr>
            <w:tcW w:w="48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3.19 - 3.28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November 2016</w:t>
            </w:r>
          </w:p>
        </w:tc>
        <w:tc>
          <w:tcPr>
            <w:tcW w:w="1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70,400</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ordinary</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Options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5.94</w:t>
            </w:r>
          </w:p>
        </w:tc>
        <w:tc>
          <w:tcPr>
            <w:tcW w:w="48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520" w:right="120" w:hanging="316"/>
        <w:spacing w:after="0" w:line="195" w:lineRule="auto"/>
        <w:tabs>
          <w:tab w:leader="none" w:pos="52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Includes 28,800 ordinary shares issuable upon the vesting of restricted share units, which were granted contingent upon the consummation of the completed purchase of intellectual property from Telormedix SA, and excludes 28,800 ordinary shares issuable upon the vesting of restricted share units, the grant of which was contingent upon the closing of our IPO.</w:t>
      </w:r>
    </w:p>
    <w:p>
      <w:pPr>
        <w:ind w:left="520" w:hanging="316"/>
        <w:spacing w:after="0" w:line="189" w:lineRule="auto"/>
        <w:tabs>
          <w:tab w:leader="none" w:pos="520" w:val="left"/>
        </w:tabs>
        <w:numPr>
          <w:ilvl w:val="0"/>
          <w:numId w:val="52"/>
        </w:numPr>
        <w:rPr>
          <w:rFonts w:ascii="Arial" w:cs="Arial" w:eastAsia="Arial" w:hAnsi="Arial"/>
          <w:sz w:val="19"/>
          <w:szCs w:val="19"/>
          <w:color w:val="auto"/>
          <w:vertAlign w:val="superscript"/>
        </w:rPr>
      </w:pPr>
      <w:r>
        <w:rPr>
          <w:rFonts w:ascii="Arial" w:cs="Arial" w:eastAsia="Arial" w:hAnsi="Arial"/>
          <w:sz w:val="12"/>
          <w:szCs w:val="12"/>
          <w:color w:val="auto"/>
        </w:rPr>
        <w:t>Excludes 9,600 ordinary shares issuable upon the vesting of options, the grant of which was contingent upon the closing of our IPO.</w:t>
      </w:r>
    </w:p>
    <w:p>
      <w:pPr>
        <w:spacing w:after="0" w:line="141" w:lineRule="exact"/>
        <w:rPr>
          <w:sz w:val="20"/>
          <w:szCs w:val="20"/>
          <w:color w:val="auto"/>
        </w:rPr>
      </w:pPr>
    </w:p>
    <w:p>
      <w:pPr>
        <w:ind w:left="200" w:right="780"/>
        <w:spacing w:after="0" w:line="243" w:lineRule="auto"/>
        <w:rPr>
          <w:sz w:val="20"/>
          <w:szCs w:val="20"/>
          <w:color w:val="auto"/>
        </w:rPr>
      </w:pPr>
      <w:r>
        <w:rPr>
          <w:rFonts w:ascii="Arial" w:cs="Arial" w:eastAsia="Arial" w:hAnsi="Arial"/>
          <w:sz w:val="17"/>
          <w:szCs w:val="17"/>
          <w:color w:val="auto"/>
        </w:rPr>
        <w:t>Based on our initial public offering price of $13.00 per share, the intrinsic value of the awards outstanding as of December 31, 2016 was $23.3 million, of which $12.7 million related to vested options and $10.6 million related to unvested options.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Valuation of our ordinary shares</w:t>
      </w:r>
    </w:p>
    <w:p>
      <w:pPr>
        <w:spacing w:after="0" w:line="93" w:lineRule="exact"/>
        <w:rPr>
          <w:sz w:val="20"/>
          <w:szCs w:val="20"/>
          <w:color w:val="auto"/>
        </w:rPr>
      </w:pPr>
    </w:p>
    <w:p>
      <w:pPr>
        <w:ind w:left="200" w:right="420"/>
        <w:spacing w:after="0" w:line="235" w:lineRule="auto"/>
        <w:rPr>
          <w:sz w:val="20"/>
          <w:szCs w:val="20"/>
          <w:color w:val="auto"/>
        </w:rPr>
      </w:pPr>
      <w:r>
        <w:rPr>
          <w:rFonts w:ascii="Arial" w:cs="Arial" w:eastAsia="Arial" w:hAnsi="Arial"/>
          <w:sz w:val="17"/>
          <w:szCs w:val="17"/>
          <w:color w:val="auto"/>
        </w:rPr>
        <w:t>Due to the absence of an active market for our ordinary shares, the fair value of our ordinary shares for purposes of determining the exercise price for award grants was determined in good faith by our management during the fourth quarter of 2015 in relation to grants up to September 30, 2015 and during the first, second, third and fourth quarters of 2016. In connection with preparing our financial statements, our management considered the fair value of our ordinary shares based on a number of objective and subjective factors, consistent with the methodologies outlined in the American Institute of Certified Public Accountants Practice Aid, Valuation of Privately-Held- Company Equity Securities Issued as Compensation, referred to as the AICPA Practice Aid.</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2010-2013 Awards</w:t>
      </w:r>
    </w:p>
    <w:p>
      <w:pPr>
        <w:spacing w:after="0" w:line="79"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The ordinary share price was estimated based on the price at which the most recent financing (from external investors) took place, based on our assumption that no significant changes have occurred between the financing closing date and the grant date.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2014 Awards</w:t>
      </w:r>
    </w:p>
    <w:p>
      <w:pPr>
        <w:spacing w:after="0" w:line="93"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The ordinary share price was derived from the price used in the financing round on October 20, 2014, based on our assumption that no significant changes have occurred between grant date and the financing round closing date. The derivation of ordinary share price was performed under the option pricing method, or OPM, valuation framework, as described below.</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2015 and 2016 Awards</w:t>
      </w:r>
    </w:p>
    <w:p>
      <w:pPr>
        <w:spacing w:after="0" w:line="79" w:lineRule="exact"/>
        <w:rPr>
          <w:sz w:val="20"/>
          <w:szCs w:val="20"/>
          <w:color w:val="auto"/>
        </w:rPr>
      </w:pPr>
    </w:p>
    <w:p>
      <w:pPr>
        <w:ind w:left="200" w:right="360"/>
        <w:spacing w:after="0" w:line="238" w:lineRule="auto"/>
        <w:rPr>
          <w:sz w:val="20"/>
          <w:szCs w:val="20"/>
          <w:color w:val="auto"/>
        </w:rPr>
      </w:pPr>
      <w:r>
        <w:rPr>
          <w:rFonts w:ascii="Arial" w:cs="Arial" w:eastAsia="Arial" w:hAnsi="Arial"/>
          <w:sz w:val="17"/>
          <w:szCs w:val="17"/>
          <w:color w:val="auto"/>
        </w:rPr>
        <w:t>The ordinary share price was estimated based on valuations performed as of September 30, 2015, November 15, 2015, December 31, 2015, March 31, 2016, June 30, 2016, September 30, 2016 and December 31, 2016, as described below, and based on our assumption that no significant changes have occurred between grant date and the valuation date.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Fair value of our ordinary shares for 2014 Awards—Methodology</w:t>
      </w:r>
    </w:p>
    <w:p>
      <w:pPr>
        <w:spacing w:after="0" w:line="79"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The valuation of the ordinary shares as of October 20, 2014 was performed under the OPM framework and using the Backsolve method, which infers the equity value consistent with the financing round on October 20, 2014. The OPM method is regarded as a common framework for allocating the equity value between the different share classes and other securities. Under this approach, the financial instruments issued by the company (preferred shares, warrants, employee options and ordinary shares) are deemed as contingent claims whose future payoffs depends on our (future) equity value. The OPM was implemented by using the Monte Carlo simulation technique, which generates different scenarios of the equity value and the resulting payoff to the holders of our financial instruments.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underlying asset, or the equity value, was estimated by implementing the Backsolve method.</w:t>
      </w:r>
    </w:p>
    <w:p>
      <w:pPr>
        <w:spacing w:after="0" w:line="156"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Following the above allocation process, we applied a discount of lack of marketability, or DLOM, to the price of an ordinary share. Specifically, we applied the average strike put option in order to estimate the DLOM.</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Fair value of our ordinary shares for 2015 and 2016 Awards—Methodology</w:t>
      </w:r>
    </w:p>
    <w:p>
      <w:pPr>
        <w:spacing w:after="0" w:line="93"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7"/>
          <w:szCs w:val="17"/>
          <w:color w:val="auto"/>
        </w:rPr>
        <w:t>The probability of an IPO event in the near future was estimated to be 20% as of December 31, 2016, September 30, 2016, June 30, 2016 and March 31, 2016, and 15% as of December 31, 2015. The valuation was conducted through the use of the Hybrid model. The Hybrid approach combines two probability-weighted scenarios:</w:t>
      </w:r>
    </w:p>
    <w:p>
      <w:pPr>
        <w:spacing w:after="0" w:line="188" w:lineRule="exact"/>
        <w:rPr>
          <w:sz w:val="20"/>
          <w:szCs w:val="20"/>
          <w:color w:val="auto"/>
        </w:rPr>
      </w:pPr>
    </w:p>
    <w:p>
      <w:pPr>
        <w:ind w:left="960" w:hanging="432"/>
        <w:spacing w:after="0"/>
        <w:tabs>
          <w:tab w:leader="none" w:pos="96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Scenario I—IPO Event. The probability of this scenario was estimated at 20% and 15% as of the valuation dates described above.</w:t>
      </w:r>
    </w:p>
    <w:p>
      <w:pPr>
        <w:spacing w:after="0" w:line="61" w:lineRule="exact"/>
        <w:rPr>
          <w:sz w:val="20"/>
          <w:szCs w:val="20"/>
          <w:color w:val="auto"/>
        </w:rPr>
      </w:pPr>
    </w:p>
    <w:p>
      <w:pPr>
        <w:ind w:left="200" w:right="520"/>
        <w:spacing w:after="0" w:line="243" w:lineRule="auto"/>
        <w:rPr>
          <w:sz w:val="20"/>
          <w:szCs w:val="20"/>
          <w:color w:val="auto"/>
        </w:rPr>
      </w:pPr>
      <w:r>
        <w:rPr>
          <w:rFonts w:ascii="Arial" w:cs="Arial" w:eastAsia="Arial" w:hAnsi="Arial"/>
          <w:sz w:val="17"/>
          <w:szCs w:val="17"/>
          <w:color w:val="auto"/>
        </w:rPr>
        <w:t>The valuation of our financial instruments was based on the estimated range of equity value upon an IPO and the resulting payoff per each financial instrument.</w:t>
      </w:r>
    </w:p>
    <w:p>
      <w:pPr>
        <w:spacing w:after="0" w:line="63" w:lineRule="exact"/>
        <w:rPr>
          <w:sz w:val="20"/>
          <w:szCs w:val="20"/>
          <w:color w:val="auto"/>
        </w:rPr>
      </w:pPr>
    </w:p>
    <w:p>
      <w:pPr>
        <w:ind w:left="960" w:right="400" w:hanging="432"/>
        <w:spacing w:after="0" w:line="243" w:lineRule="auto"/>
        <w:tabs>
          <w:tab w:leader="none" w:pos="96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Scenario II—Liquidation Event. The probability of this scenario was estimated at 80% and 85% as of the valuation dates described above.</w:t>
      </w:r>
    </w:p>
    <w:p>
      <w:pPr>
        <w:spacing w:after="0" w:line="50" w:lineRule="exact"/>
        <w:rPr>
          <w:sz w:val="20"/>
          <w:szCs w:val="20"/>
          <w:color w:val="auto"/>
        </w:rPr>
      </w:pPr>
    </w:p>
    <w:p>
      <w:pPr>
        <w:ind w:left="200" w:right="680"/>
        <w:spacing w:after="0" w:line="243" w:lineRule="auto"/>
        <w:rPr>
          <w:sz w:val="20"/>
          <w:szCs w:val="20"/>
          <w:color w:val="auto"/>
        </w:rPr>
      </w:pPr>
      <w:r>
        <w:rPr>
          <w:rFonts w:ascii="Arial" w:cs="Arial" w:eastAsia="Arial" w:hAnsi="Arial"/>
          <w:sz w:val="17"/>
          <w:szCs w:val="17"/>
          <w:color w:val="auto"/>
        </w:rPr>
        <w:t>The valuation of the ordinary share price under this scenario was performed under the OPM framework using the Monte Carlo simulation technique, in similar fashion to the approach used for the 2014 valuation, as described above.</w:t>
      </w:r>
    </w:p>
    <w:p>
      <w:pPr>
        <w:spacing w:after="0" w:line="63" w:lineRule="exact"/>
        <w:rPr>
          <w:sz w:val="20"/>
          <w:szCs w:val="20"/>
          <w:color w:val="auto"/>
        </w:rPr>
      </w:pPr>
    </w:p>
    <w:p>
      <w:pPr>
        <w:ind w:left="200" w:right="380"/>
        <w:spacing w:after="0" w:line="243" w:lineRule="auto"/>
        <w:rPr>
          <w:sz w:val="20"/>
          <w:szCs w:val="20"/>
          <w:color w:val="auto"/>
        </w:rPr>
      </w:pPr>
      <w:r>
        <w:rPr>
          <w:rFonts w:ascii="Arial" w:cs="Arial" w:eastAsia="Arial" w:hAnsi="Arial"/>
          <w:sz w:val="17"/>
          <w:szCs w:val="17"/>
          <w:color w:val="auto"/>
        </w:rPr>
        <w:t>As of September 30, 2015, the financing round in October 2015 was highly expected to be closed. As such the equity value used in the OPM method was derived from this financing round (the Backsolve method). The closing date of this round was November 15, 2015.</w:t>
      </w:r>
    </w:p>
    <w:p>
      <w:pPr>
        <w:spacing w:after="0" w:line="144" w:lineRule="exact"/>
        <w:rPr>
          <w:sz w:val="20"/>
          <w:szCs w:val="20"/>
          <w:color w:val="auto"/>
        </w:rPr>
      </w:pPr>
    </w:p>
    <w:p>
      <w:pPr>
        <w:ind w:left="200" w:right="120"/>
        <w:spacing w:after="0" w:line="243" w:lineRule="auto"/>
        <w:rPr>
          <w:sz w:val="20"/>
          <w:szCs w:val="20"/>
          <w:color w:val="auto"/>
        </w:rPr>
      </w:pPr>
      <w:r>
        <w:rPr>
          <w:rFonts w:ascii="Arial" w:cs="Arial" w:eastAsia="Arial" w:hAnsi="Arial"/>
          <w:sz w:val="17"/>
          <w:szCs w:val="17"/>
          <w:color w:val="auto"/>
        </w:rPr>
        <w:t>As of September 30, 2016, the equity value used in the OPM method was derived from the financing round in October 2015 and the incremental value derived from the Allergan Agreement.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2016, the equity value used in the OPM method was derived from a DCF calculation.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applied a DLOM to the ordinary share price, using the average strike put option.</w:t>
      </w:r>
    </w:p>
    <w:p>
      <w:pPr>
        <w:spacing w:after="0" w:line="156" w:lineRule="exact"/>
        <w:rPr>
          <w:sz w:val="20"/>
          <w:szCs w:val="20"/>
          <w:color w:val="auto"/>
        </w:rPr>
      </w:pPr>
    </w:p>
    <w:p>
      <w:pPr>
        <w:ind w:left="200" w:right="440"/>
        <w:spacing w:after="0" w:line="243" w:lineRule="auto"/>
        <w:rPr>
          <w:sz w:val="20"/>
          <w:szCs w:val="20"/>
          <w:color w:val="auto"/>
        </w:rPr>
      </w:pPr>
      <w:r>
        <w:rPr>
          <w:rFonts w:ascii="Arial" w:cs="Arial" w:eastAsia="Arial" w:hAnsi="Arial"/>
          <w:sz w:val="17"/>
          <w:szCs w:val="17"/>
          <w:color w:val="auto"/>
        </w:rPr>
        <w:t>The fair value of an ordinary share was calculated as the weighted average of the ordinary share prices, derived from the calculations made under the two scenarios described above.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Future option awards</w:t>
      </w:r>
    </w:p>
    <w:p>
      <w:pPr>
        <w:spacing w:after="0" w:line="93" w:lineRule="exact"/>
        <w:rPr>
          <w:sz w:val="20"/>
          <w:szCs w:val="20"/>
          <w:color w:val="auto"/>
        </w:rPr>
      </w:pPr>
    </w:p>
    <w:p>
      <w:pPr>
        <w:ind w:left="200" w:right="220"/>
        <w:spacing w:after="0" w:line="236" w:lineRule="auto"/>
        <w:rPr>
          <w:sz w:val="20"/>
          <w:szCs w:val="20"/>
          <w:color w:val="auto"/>
        </w:rPr>
      </w:pPr>
      <w:r>
        <w:rPr>
          <w:rFonts w:ascii="Arial" w:cs="Arial" w:eastAsia="Arial" w:hAnsi="Arial"/>
          <w:sz w:val="17"/>
          <w:szCs w:val="17"/>
          <w:color w:val="auto"/>
        </w:rPr>
        <w:t>Following the completion of our initial public offering and the listing of our shares on the NASDAQ Global Market, the determination of the fair market value of our ordinary shares for purposes of setting the exercise price of future option awards or other share-based compensation to employees and other grantees is based on the market price of our shares and no longer requires good faith estimates by our board of directors based on various comparisons or benchmarks.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Accounting treatment of the warrants to purchase preferred shares</w:t>
      </w:r>
    </w:p>
    <w:p>
      <w:pPr>
        <w:spacing w:after="0" w:line="81"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Our warrants to purchase preferred shares were exercisable into Series A-1 preferred shares of the company, nominal value NIS 0.01 per share, for an exercise price of $7.81 per share commencing on the date of the issuance and expiring at the earlier of a qualified IPO, certain M&amp;A events, or four years from the date of issuance.</w:t>
      </w:r>
    </w:p>
    <w:p>
      <w:pPr>
        <w:spacing w:after="0" w:line="148" w:lineRule="exact"/>
        <w:rPr>
          <w:sz w:val="20"/>
          <w:szCs w:val="20"/>
          <w:color w:val="auto"/>
        </w:rPr>
      </w:pPr>
    </w:p>
    <w:p>
      <w:pPr>
        <w:ind w:left="200" w:right="500"/>
        <w:spacing w:after="0" w:line="243" w:lineRule="auto"/>
        <w:rPr>
          <w:sz w:val="20"/>
          <w:szCs w:val="20"/>
          <w:color w:val="auto"/>
        </w:rPr>
      </w:pPr>
      <w:r>
        <w:rPr>
          <w:rFonts w:ascii="Arial" w:cs="Arial" w:eastAsia="Arial" w:hAnsi="Arial"/>
          <w:sz w:val="17"/>
          <w:szCs w:val="17"/>
          <w:color w:val="auto"/>
        </w:rPr>
        <w:t>In the event that the warrants were exercised in connection with a qualified IPO or certain M&amp;A events, the holder had the option to elect to convert the warrants on a net share basis.</w:t>
      </w:r>
    </w:p>
    <w:p>
      <w:pPr>
        <w:spacing w:after="0" w:line="144" w:lineRule="exact"/>
        <w:rPr>
          <w:sz w:val="20"/>
          <w:szCs w:val="20"/>
          <w:color w:val="auto"/>
        </w:rPr>
      </w:pPr>
    </w:p>
    <w:p>
      <w:pPr>
        <w:jc w:val="both"/>
        <w:ind w:left="200" w:right="540"/>
        <w:spacing w:after="0" w:line="238" w:lineRule="auto"/>
        <w:rPr>
          <w:sz w:val="20"/>
          <w:szCs w:val="20"/>
          <w:color w:val="auto"/>
        </w:rPr>
      </w:pPr>
      <w:r>
        <w:rPr>
          <w:rFonts w:ascii="Arial" w:cs="Arial" w:eastAsia="Arial" w:hAnsi="Arial"/>
          <w:sz w:val="17"/>
          <w:szCs w:val="17"/>
          <w:color w:val="auto"/>
        </w:rPr>
        <w:t>The warrants were classified as liabilities in accordance with ASC 480, as they were freestanding instruments, exercisable into Series A-1 preferred shares, which were redeemable upon certain events that represent “Deemed Liquidation” events. Accordingly, the warrants were measured at fair value at the end of every reporting period, and changes in their fair value were recognized in earnings.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Accounting treatment of the Series A Preferred Shares</w:t>
      </w:r>
    </w:p>
    <w:p>
      <w:pPr>
        <w:spacing w:after="0" w:line="81"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The Series A preferred shares were classified within permanent equity because they were not subject to liability classification under the scope of ASC 480, and because they met all of the requirements for equity classification under ASC 480-10S99.</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Accounting treatment of intellectual property assets purchased from Telormedix SA</w:t>
      </w:r>
    </w:p>
    <w:p>
      <w:pPr>
        <w:spacing w:after="0" w:line="54"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In October 2015, we entered into an asset purchase agreement with Telormedix SA pursuant to which we purchased all of the intellectual property assets of Telormedix in consideration of 691,200 shares of our Series A preferred shares at a price per share of $5.94. Upon the occurrence of each of three specified regulatory milestones, we are required to issue an additional 92,800 ordinary shares to Telormedix, for an aggregate potential maximum amount of 278,400 ordinary shares. In April 2017, Telormedix transferred 135,200 Series A preferred shares and the right to receive an additional aggregate of 54,462 Series A preferred shares upon the occurrence of the milestones to ProQuest, and 80,800 Series A preferred shares and the right to receive an additional 32,538 Series A preferred shares upon the occurrence of the milestones to Aravis Venture I L.P.</w:t>
      </w:r>
    </w:p>
    <w:p>
      <w:pPr>
        <w:spacing w:after="0" w:line="151"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7"/>
          <w:szCs w:val="17"/>
          <w:color w:val="auto"/>
        </w:rPr>
        <w:t>The acquired intellectual property costs totaling $4.1 million were expensed as incurred to research and development costs in accordance with ASC 730, as the intellectual property is purchased from others for a particular research and development project and has no alternative future uses and therefore no separate economic value.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54"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7"/>
          <w:szCs w:val="17"/>
          <w:color w:val="auto"/>
        </w:rPr>
        <w:t>Virtually all the Company’s revenues are derived from the license agreement with Allergan, to license worldwide rights to some of its products. Revenue is recognized only when all of the following conditions have been met: (i) there is persuasive evidence of an arrangement; (ii) delivery has occurred: (iii) the fee is fixed or determinable: and (iv) collectability of the fee is reasonably assured.</w:t>
      </w:r>
    </w:p>
    <w:p>
      <w:pPr>
        <w:spacing w:after="0" w:line="94"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The license agreement contains two deliverables: (a) the license component and (b) Allergan’s right to require supply services of RTGel vials from the Company.</w:t>
      </w:r>
    </w:p>
    <w:p>
      <w:pPr>
        <w:spacing w:after="0" w:line="90"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In an arrangement with multiple deliverables, the delivered item or items shall be considered a separate unit of accounting if all of the following criteria are met:</w:t>
      </w:r>
    </w:p>
    <w:p>
      <w:pPr>
        <w:spacing w:after="0" w:line="90" w:lineRule="exact"/>
        <w:rPr>
          <w:sz w:val="20"/>
          <w:szCs w:val="20"/>
          <w:color w:val="auto"/>
        </w:rPr>
      </w:pPr>
    </w:p>
    <w:p>
      <w:pPr>
        <w:jc w:val="both"/>
        <w:ind w:left="200" w:right="160" w:firstLine="4"/>
        <w:spacing w:after="0" w:line="238" w:lineRule="auto"/>
        <w:tabs>
          <w:tab w:leader="none" w:pos="4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delivered item or items have value to the customer on a standalone basis. The item or items have value on a standalone if they are sold separately by any vendor or the customer could resell the delivered item(s) on a standalone basis. In the context of a customer’s ability to resell the delivered item(s), this criterion does not require the existence of an observable market for the deliverable(s), and</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40" w:firstLine="4"/>
        <w:spacing w:after="0" w:line="243" w:lineRule="auto"/>
        <w:tabs>
          <w:tab w:leader="none" w:pos="456"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arrangement includes a general right of return relative to the delivered item(s), delivery or performance of the undelivered item or items is considered probable and substantially in the control of the vendor.</w:t>
      </w:r>
    </w:p>
    <w:p>
      <w:pPr>
        <w:spacing w:after="0" w:line="90"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7"/>
          <w:szCs w:val="17"/>
          <w:color w:val="auto"/>
        </w:rPr>
        <w:t>When deliverables are separable, arrangement consideration is allocated to the separate units of accounting based on the relative selling price of each deliverable (where the amount allocable to the delivered element is limited to the amount not contingent on the delivery of future products or services) and the appropriate revenue recognition principles are applied to each unit.</w:t>
      </w:r>
    </w:p>
    <w:p>
      <w:pPr>
        <w:spacing w:after="0" w:line="94" w:lineRule="exact"/>
        <w:rPr>
          <w:sz w:val="20"/>
          <w:szCs w:val="20"/>
          <w:color w:val="auto"/>
        </w:rPr>
      </w:pPr>
    </w:p>
    <w:p>
      <w:pPr>
        <w:jc w:val="both"/>
        <w:ind w:left="200" w:right="320"/>
        <w:spacing w:after="0" w:line="232" w:lineRule="auto"/>
        <w:rPr>
          <w:sz w:val="20"/>
          <w:szCs w:val="20"/>
          <w:color w:val="auto"/>
        </w:rPr>
      </w:pPr>
      <w:r>
        <w:rPr>
          <w:rFonts w:ascii="Arial" w:cs="Arial" w:eastAsia="Arial" w:hAnsi="Arial"/>
          <w:sz w:val="17"/>
          <w:szCs w:val="17"/>
          <w:color w:val="auto"/>
        </w:rPr>
        <w:t>The license component has standalone value (and therefore is accounted for separately from the supply services) since Allergan can use the license for its intended purposes without the Company’s supply services. The four conditions of ASC 605 were met as of December 31, 2016:</w:t>
      </w:r>
    </w:p>
    <w:p>
      <w:pPr>
        <w:jc w:val="both"/>
        <w:ind w:left="200" w:right="80" w:firstLine="4"/>
        <w:spacing w:after="0" w:line="236" w:lineRule="auto"/>
        <w:tabs>
          <w:tab w:leader="none" w:pos="456"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persuasive evidence of an arrangement exists since the Company and Allergan engaged with a binding agreement; (2) delivery has occurred or services have been rendered since all documents and data Allergan has requested relating to the Company’s know-how were provided before December 31, 2016 and Allergan can use the license for its intended purposes without the supply services (except for immaterial support services); (3) the fee is fixed or determinable, as indicated in the license agreement; and (4) collectability is reasonably assured.</w:t>
      </w:r>
    </w:p>
    <w:p>
      <w:pPr>
        <w:spacing w:after="0" w:line="95"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Therefore, as of December 31, 2016, the consideration received in an amount of $17.5 million represents arrangement consideration for both the license of the intellectual property as well as Allergan’s right to future supply services (which would be provided in consideration for future payments to the Company according to the pricing stipulated in the supply agreement). The Company determined that the pricing of the supply services represents their standalone selling price. Accordingly, the Company allocated the entire upfront fee of $17.5 million to the license component. In addition, revenue from the supply services would be recorded in an amount equal to the consideration stipulated in the agreement for these services, when these services are provided.</w:t>
      </w:r>
    </w:p>
    <w:p>
      <w:pPr>
        <w:spacing w:after="0" w:line="148"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As described in Note 1, the Company is also entitled to milestone payments and royalties based on Allergan’s revenue from its product, which are not considered fixed or determinable until their occurrence. Therefore, these amounts would only be recognized when the conditions for payment are met, and they become due and payable.</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Deferred taxes</w:t>
      </w:r>
    </w:p>
    <w:p>
      <w:pPr>
        <w:spacing w:after="0" w:line="41" w:lineRule="exact"/>
        <w:rPr>
          <w:sz w:val="20"/>
          <w:szCs w:val="20"/>
          <w:color w:val="auto"/>
        </w:rPr>
      </w:pPr>
    </w:p>
    <w:p>
      <w:pPr>
        <w:ind w:left="200" w:right="200"/>
        <w:spacing w:after="0" w:line="236" w:lineRule="auto"/>
        <w:rPr>
          <w:sz w:val="20"/>
          <w:szCs w:val="20"/>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 We have provided a full valuation allowance with respect to its deferred tax assets.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See note 2r of the accompanying audited financial statements and note 3 of the accompanying unaudited financial statements.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0"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Failure to achieve and maintain effective internal controls in accordance with Section 404 of the Sarbanes-Oxley Act of 2002, or the Sarbanes-Oxley Act, could have a material adverse effect on our business, results of operation or financial condition. In addition, current and potential shareholders could lose confidence in our financial reporting, which could have a material adverse effect on the price of our ordinary shares. Pursuant to Section 404 of the Sarbanes-Oxley Act and the related rules adopted by the SEC and the Public Company Accounting Oversight Board, starting with the second annual report that we file with the SEC following the consummation of our initial public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93" w:lineRule="exact"/>
        <w:rPr>
          <w:sz w:val="20"/>
          <w:szCs w:val="20"/>
          <w:color w:val="auto"/>
        </w:rPr>
      </w:pPr>
    </w:p>
    <w:p>
      <w:pPr>
        <w:jc w:val="both"/>
        <w:ind w:left="200"/>
        <w:spacing w:after="0" w:line="235" w:lineRule="auto"/>
        <w:rPr>
          <w:sz w:val="20"/>
          <w:szCs w:val="20"/>
          <w:color w:val="auto"/>
        </w:rPr>
      </w:pPr>
      <w:r>
        <w:rPr>
          <w:rFonts w:ascii="Arial" w:cs="Arial" w:eastAsia="Arial" w:hAnsi="Arial"/>
          <w:sz w:val="17"/>
          <w:szCs w:val="17"/>
          <w:color w:val="auto"/>
        </w:rPr>
        <w:t>As an “emerging growth company,” as defined in the JOBS Act, we may take advantage of certain temporary exemptions from various reporting requirements, including, but not limited to, not being required to comply with the auditor attestation requirements of Section 404 of the Sarbanes 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56"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The JOBS Act additionally permits emerging growth companies such as us to take advantage of an extended transition period to comply with new or revised accounting standards applicable to public companies. We have irrevocably elected not to avail ourselves of this provision and, as a result, we will comply with new or revised accounting standards as other public companies that are not emerging growth companies.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and upper urinary tract surgeries, including removal of the upper urinary tract, which are major surgical procedures typically performed when local endoscopic tumor resection fails to control the disease progression. Additionally, we believe that our product candidates, which are based on novel formulations of previously approved drugs, may qualify for streamlined regulatory pathways to market approval.</w:t>
      </w:r>
    </w:p>
    <w:p>
      <w:pPr>
        <w:spacing w:after="0" w:line="154"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of the active drug throughout the organ. Consequently, we believe that RTGel-based drug formulations may enable us to overcome the anatomical and physiological challenges that have historically contributed to the lack of drug development for the treatment of urothelial cancer. No drugs have been approved by the U.S. Food and Drug Administration, or the FDA, for the treatment of non-muscle invasive bladder cancer, or NMIBC, in more than 15 years.</w:t>
      </w:r>
    </w:p>
    <w:p>
      <w:pPr>
        <w:spacing w:after="0" w:line="150"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We are currently evaluating the safety and efficacy of MitoGel, our novel sustained-release formulation of MMC, in patients with low-grade UTUC in a Phase 3 pivotal, single-arm, open label clinical trial, which follows a recently completed “Compassionate Use” program for MitoGel for the treatment of the same indication. “Compassionate Use” is the use outside of a clinical trial of an investigational, or not approved, medical product when patient enrollment in a clinical trial is not possible, typically due to patient ineligibility or a lack of ongoing clinical trials. In the Compassionate Use Program, 22 patients were enrolled, 18 of which had confirmed low-grade UTUC. Of the 18 patients, 13 patients had completed the six-weekly treatment regimen and were evaluated for tumor response. These 13 patients were evaluated for tumor response at the primary evaluation time either endoscopically or through the use of a nonsurgical viewing instrument. Complete response was confirmed by a cytology (urine) confirmation in most cases. Of these 13 patients, eight, or approximately 62%, achieved a complete response, with a median durability of response without recurrence of greater than nine months to date, based on investigator reports. Our analysis of the median recurrence-free durability of those patients who achieved a complete response is still ongoing, with, to our knowledge, only three of the eight patients recurring to date. To date, of the five patients still ongoing without recurrence, to our knowledge, three have durability of response of 12 months or greater. Recurrences were generally of small tumors, presenting with diameters of several millimeters in size that were consequently managed by endoscopic tumor resection. Importantly, of the eight patients that achieved a complete response, or a complete response following an initial partial response, four had a solitary kidney. As all the patients in the Compassionate Use program were candidates for a nephroureterectomy, these four patients otherwise may have had their solitary kidney removed and become dialysis patients.</w:t>
      </w:r>
    </w:p>
    <w:p>
      <w:pPr>
        <w:spacing w:after="0" w:line="152"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Five out of the 13 evaluated patients achieved a partial response at the primary evaluation time. One patient who achieved a partial response received three additional monthly courses of MitoGel, and thereafter achieved a complete response. In this Compassionate Use program, MitoGel had been observed to be well-tolerated. We have</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obtained Orphan Drug Designation for MitoGel for the treatment of UTUC as well as Fast Track Designation for the treatment of patients with low-grade UTUC not amenable to endoscopic resection or contraindicated for nephroureterectomy, which is the removal of the kidney and upper tract, including impaired renal function. We believe that MitoGel has the potential to become the first FDA-approved drug for the treatment of low-grade UTUC serving as a first-line chemoablation agent, sparing patients from repeated tumor resection surgeries and potentially reducing the need for bladder and upper urinary tract surgeries, including upper urinary tract removals.</w:t>
      </w:r>
    </w:p>
    <w:p>
      <w:pPr>
        <w:spacing w:after="0" w:line="150"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In addition, we completed evaluating the safety and efficacy of VesiGel, our novel sustained-release high dose formulation of MMC, for the treatment of low-grade NMIBC in a Phase 2a study that was conducted in Europe and Israel. Of the 22 patients treated in the VesiGel high dose group (80mg MMC), 19, or approximately 86%, of the patients achieved a complete response at the primary evaluation time. Moreover, approximately 79% of the patients who achieved a complete response at the primary evaluation time with VesiGel in the study and who have been followed for 12 months thereafter, without receiving additional treatments, remained recurrence free. This compares to approximately 40% to 60% of patients who historically achieve a 12-month durable complete response with TURBT as first-line treatment, followed by adjuvant treatments of MMC instillations into the bladder. We plan to file an IND for VesiGel in the first half of 2018; and, if accepted, we expect to commence a U.S.-based Phase 2b clinical trial for VesiGel shortly thereafter. We also intend to pursue a 505(b)(2) regulatory pathway for VesiGel. We believe that VesiGel has the potential to replace tumor resection surgery and become the new first-line standard of care for the treatment of low-grade NMIBC.</w:t>
      </w:r>
    </w:p>
    <w:p>
      <w:pPr>
        <w:spacing w:after="0" w:line="147"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We believe that urothelial cancer, which is comprised of bladder cancer and UTUC, affects a large and underserved patient population. Annual expenditures for Medicare alone in the United States for the treatment of urothelial cancer were estimated to have been at least $4.0 billion in 2010 and are projected to be at least $5.0 billion in 2020. The majority of the expenditures is spent on tumor resection surgeries such as TURBT and upper urinary tract removals. In 2012, the estimated prevalence of urothelial cancer in the United States was 625,000 with an annual incidence of approximately 80,000. The 2012 prevalence of each of low-grade NMIBC and low-grade UTUC in the United States was approximately 325,000 and 14,500, respectively.</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which may include Carcinoma in Situ, or CIS. Vesimune is a novel, liquid formulation of Imiquimod, a generic toll-like receptor 7, or TLR7, agonist. Toll-like receptor agonists play a key role in initiating the innate immune response system. We believe that the combination of Vesimune with additional immunotherapy drugs, such as immune checkpoint inhibitors or chemotherapy drugs like VesiGel, could represent a valid alternative to the current standard of care for the post-TURBT adjuvant treatment of high-grade NMIBC.</w:t>
      </w:r>
    </w:p>
    <w:p>
      <w:pPr>
        <w:spacing w:after="0" w:line="150"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BotuGel is our proprietary novel RTGel-based formulation of BOTOX, a branded drug, that we believe can potentially serve as an effective treatment option for patients suffering from overactive bladder. In October 2016, we announced the licensing of the worldwide rights to RTGel in combination with neurotoxins, including BOTOX, to Allergan Pharmaceuticals International Limited, or Allergan, a wholly owned subsidiary of Allergan plc, or the Allergan Agreement. In August 2017, we announced that Allergan had submitted an IND to the FDA in order to be able to commence clinical trials in the United States using the RTGel in combination with BOTOX. In October 2017, Allergan commenced a Phase 2 clinical trial of BotuGel for the treatment of overactive bladder.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 Pipeline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chart summarizes the current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51435</wp:posOffset>
            </wp:positionV>
            <wp:extent cx="4982845" cy="2435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8284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Uro-Oncological Indications Targeted by Our Product Candidates</w:t>
      </w:r>
    </w:p>
    <w:p>
      <w:pPr>
        <w:spacing w:after="0" w:line="41"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Our product candidates are administered locally using the standard practice of intravesical instillation directly into the bladder or upper urinary tract via a catheter. The instillation into the bladder is expected to take place in a physician’s office as a same-day treatment, in comparison with TURBT or similar tumor surgical procedures, which are operations conducted under general anesthesia in a hospital setting and may require at least an overnight stay. Tumor surgical procedures often have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24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Bladder Cancer</w:t>
      </w:r>
    </w:p>
    <w:p>
      <w:pPr>
        <w:spacing w:after="0" w:line="52"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bladder is a hollow organ in the pelvis with flexible muscular walls. Its main function is to store urine before it leaves the body. Urine is produced by the kidneys and is then carried to the bladder through the upper urinary tract tubes, called ureters. The bladder wall has four main layers. The innermost lining is comprised of cells called urothelial or transitional cells, and this inner layer is called the urothelium or transitional epithelium. Beneath the urothelium, there is a layer called the lamina propria. Next is a thick layer of muscle called the muscularis propria followed by a layer of perivesical fat.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107950</wp:posOffset>
            </wp:positionV>
            <wp:extent cx="3799205" cy="32416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99205"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NMIBC tumor types are circled</w:t>
      </w:r>
    </w:p>
    <w:p>
      <w:pPr>
        <w:spacing w:after="0" w:line="156"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Bladder cancer accounts for approximately 90% to 95% of all new cases of urothelial cancer in the United States, with a prevalence of approximately 580,000. Bladder cancer is nearly three to four times more common in men than women, and, with an average age at diagnosis of 73, mostly affects the elderly. Bladder cancers are described as non-muscle invasive or muscle-invasive based on how far into the wall of the bladder they have invaded. The magnitude and rate of the spreading of the cancer is called “staging,” which ranges from Ta to T1 for NMIBC, and T2 to T4 for muscle-invasive bladder cancers, as defined by the American Joint Committee on Cancer TNM System. In addition, Carcinoma in Situ, or CIS, a form of NMIBC, has a staging designation of Tis. Muscle-invasive bladder cancer, or MIBC, has an average five-year survival rate of 15% to 63%, depending on severity. MIBC represents a worse prognosis than NMIBC, which has a five-year survival rate of approximately 90%. NMIBC accounts for approximately 80% of all new cases of bladder cancer diagnosed in the United States each year, which corresponds to an estimated annual incidence and prevalence of approximately 60,000 and 465,000 cases, respectively.</w:t>
      </w:r>
    </w:p>
    <w:p>
      <w:pPr>
        <w:spacing w:after="0" w:line="148" w:lineRule="exact"/>
        <w:rPr>
          <w:sz w:val="20"/>
          <w:szCs w:val="20"/>
          <w:color w:val="auto"/>
        </w:rPr>
      </w:pPr>
    </w:p>
    <w:p>
      <w:pPr>
        <w:jc w:val="both"/>
        <w:ind w:left="200" w:right="340"/>
        <w:spacing w:after="0" w:line="238" w:lineRule="auto"/>
        <w:rPr>
          <w:sz w:val="20"/>
          <w:szCs w:val="20"/>
          <w:color w:val="auto"/>
        </w:rPr>
      </w:pPr>
      <w:r>
        <w:rPr>
          <w:rFonts w:ascii="Arial" w:cs="Arial" w:eastAsia="Arial" w:hAnsi="Arial"/>
          <w:sz w:val="17"/>
          <w:szCs w:val="17"/>
          <w:color w:val="auto"/>
        </w:rPr>
        <w:t>Non-muscle invasive bladder cancers are divided into two grades, low and high, with high-grade tumors more likely to recur and progress into muscle-invasive tumors. CIS tumors are all high-grade. Overall, approximately 70% of patients with NMIBC present with low-grade disease at diagnosis.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chart below indicates the prevalence of stage and grade of bladder cancer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128270</wp:posOffset>
            </wp:positionV>
            <wp:extent cx="3284855" cy="2778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848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Upper Tract Urothelial Carcinoma</w:t>
      </w:r>
    </w:p>
    <w:p>
      <w:pPr>
        <w:spacing w:after="0" w:line="5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UTUC refers to malignant changes of the transitional urothelial cells lining the upper urinary tract of the renal pelvis and ureter. UTUC typically exhibits high local recurrence and development of metastases. Similar to NMIBC, the prognosis of patients with UTUC correlates with the stage and grade of disease at the time of initial diagnosis. 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 Non-muscle invasive UTUC is also divided into two grades, low and high. In two studies conducted in 1997 and 2003 of 30 and 20 patients with non-muscle invasive UTUC, 87% and 75% of patients were diagnosed with low-grade non-muscle invasive UTUC, respectively.</w:t>
      </w:r>
    </w:p>
    <w:p>
      <w:pPr>
        <w:spacing w:after="0" w:line="14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60"/>
          </w:cols>
          <w:pgMar w:left="24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chart below indicates the prevalence of stage and grade of UTUC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111125</wp:posOffset>
            </wp:positionV>
            <wp:extent cx="3284855" cy="27787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848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UTUC accounts for approximately 5% to 10% of all new cases of urothelial cancer, which corresponds to an estimated annual incidence in the United States of up to 7,500 cases. In 2012, the estimated prevalence of UTUC in the United States was approximately 45,000, of which approximately 14,500 had low-grade disease. UTUC is nearly three times more common in men than women and affects mostly the elderly.</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Moreover, the anatomical complexity of the upper urinary tract, particularly the renal pelvis, presents significant challenges to the proper identification and ability to reach and resect all tumors in tumor resection surgical procedures. Consequently, patients with high-grade disease or patients with low-grade disease that present with a large number of tumors typically undergo nephroureterectomy, which is kidney and upper urinary tract removal. In addition, the stage and grade of UTUC are often misdiagnosed, which we believe is due to the structural complexity of the upper urinary tract. Due to these factors, the current standard of care for the treatment of UTUC is nephroureterectomy.</w:t>
      </w:r>
    </w:p>
    <w:p>
      <w:pPr>
        <w:spacing w:after="0" w:line="148"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Tumor resection, which aims to be a kidney sparing surgical procedure, is conducted only in patients with low-grade disease that present with a limited number of tumors. Such procedures are followed by adjuvant chemotherapy treatment, typically with MMC. However, the upper urinary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low-grade UTUC who underwent tumor resections, 89.5% of patients recurred with a mean of 5.5 recurrences per patient over a four-year period. Moreover, approximately 20% of the patients in this study progressed and ultimately underwent kidney and upper urinary tract removal.</w:t>
      </w:r>
    </w:p>
    <w:p>
      <w:pPr>
        <w:spacing w:after="0" w:line="148" w:lineRule="exact"/>
        <w:rPr>
          <w:sz w:val="20"/>
          <w:szCs w:val="20"/>
          <w:color w:val="auto"/>
        </w:rPr>
      </w:pPr>
    </w:p>
    <w:p>
      <w:pPr>
        <w:ind w:left="200" w:right="160"/>
        <w:spacing w:after="0" w:line="243" w:lineRule="auto"/>
        <w:rPr>
          <w:sz w:val="20"/>
          <w:szCs w:val="20"/>
          <w:color w:val="auto"/>
        </w:rPr>
      </w:pPr>
      <w:r>
        <w:rPr>
          <w:rFonts w:ascii="Arial" w:cs="Arial" w:eastAsia="Arial" w:hAnsi="Arial"/>
          <w:sz w:val="17"/>
          <w:szCs w:val="17"/>
          <w:color w:val="auto"/>
        </w:rPr>
        <w:t>We believe that because tumor resection procedures followed by adjuvant chemotherapy therapy are sub-optimal, nephroureterectomy is often used even in patients that may be otherwise candidates for organ-sparing treatments.</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Non-Muscle Invasive Bladder Cancer</w:t>
      </w:r>
    </w:p>
    <w:p>
      <w:pPr>
        <w:spacing w:after="0" w:line="39"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7"/>
          <w:szCs w:val="17"/>
          <w:color w:val="auto"/>
        </w:rPr>
        <w:t>Patients treated with the current standard of care have up to an approximately 60% rate of recurrence of NMIBC within one year, and the rate of progression of NMIBC to MIBC is between 20% and 30%. As a consequence, NMIBC patients often undergo multiple repeat TURBT procedures and adjuvant chemotherapy and immunotherapy treatments.</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60"/>
          </w:cols>
          <w:pgMar w:left="24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standard of care for treating NMIBC patients is TURBT followed by adjuvant chemotherapy or immunotherapy treatment. TURBT is a surgical operation for tumor removal conducted under general anesthesia in a hospital setting and may require at least an overnight stay. Moreover, TURBT’s success is tied to the physician’s ability to overcome challenges in properly identifying, reaching and resecting all tumors. 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3"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We believe our lead product candidates for uro-oncology, which are being developed by leveraging our expertise in drug development and our proprietary formulation technology, have the ability to replace the costly, sub-optimal and burdensome tumor resection procedures that represent the current first-line standard of care. Furthermore, we believe our proprietary formulation technology has broad applications and may allow us to develop additional product candidates for indications within and beyond the urinary tract.</w:t>
      </w:r>
    </w:p>
    <w:p>
      <w:pPr>
        <w:spacing w:after="0" w:line="3" w:lineRule="exact"/>
        <w:rPr>
          <w:sz w:val="20"/>
          <w:szCs w:val="20"/>
          <w:color w:val="auto"/>
        </w:rPr>
      </w:pPr>
    </w:p>
    <w:p>
      <w:pPr>
        <w:ind w:left="540"/>
        <w:spacing w:after="0" w:line="235" w:lineRule="auto"/>
        <w:rPr>
          <w:sz w:val="20"/>
          <w:szCs w:val="20"/>
          <w:color w:val="auto"/>
        </w:rPr>
      </w:pPr>
      <w:r>
        <w:rPr>
          <w:rFonts w:ascii="Arial" w:cs="Arial" w:eastAsia="Arial" w:hAnsi="Arial"/>
          <w:sz w:val="17"/>
          <w:szCs w:val="17"/>
          <w:b w:val="1"/>
          <w:bCs w:val="1"/>
          <w:i w:val="1"/>
          <w:iCs w:val="1"/>
          <w:color w:val="auto"/>
        </w:rPr>
        <w:t xml:space="preserve">Potential ability to develop non-surgical, first-line drug therapies for uro-oncology. </w:t>
      </w:r>
      <w:r>
        <w:rPr>
          <w:rFonts w:ascii="Arial" w:cs="Arial" w:eastAsia="Arial" w:hAnsi="Arial"/>
          <w:sz w:val="17"/>
          <w:szCs w:val="17"/>
          <w:color w:val="auto"/>
        </w:rPr>
        <w:t>Leveraging our innovative formulation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developing two lead product candidates, MitoGel and VesiGel, as potential replacements to first-line treatment for low-grade UTUC and NMIBC, respectively. Both MitoGel and VesiGel are chemoablation agents designed to overcome the challenges posed by the anatomy of the urinary tract by increasing the dwell time and enhancing the tissue coverage of MMC. Clinical data generated to date supports our belief that our lead product candidates may be able to replace the current first-line tumor surgical procedures, providing a chemoablation treatment that has the potential to better eradicate tumors irrespective of their detectability and location within the urinary tract. Of the 13 low-grade UTUC patients treated with MitoGel in a recently-completed Compassionate Use program and evaluated endoscopically or through the use of a nonsurgical viewing instrument for efficacy, eight achieved a complete response and the remaining five achieved a partial response at the primary evaluation time. In the case of VesiGel, 19 of 22, or approximately 86%, of the patients treated with the high dose of VesiGel in a recently-completed Phase 2a trial conducted in Europe and Israel, evaluating the efficacy and safety of VesiGel’s chemoablation properties, achieved a complete response at the primary evaluation time.</w:t>
      </w:r>
    </w:p>
    <w:p>
      <w:pPr>
        <w:spacing w:after="0" w:line="6" w:lineRule="exact"/>
        <w:rPr>
          <w:sz w:val="20"/>
          <w:szCs w:val="20"/>
          <w:color w:val="auto"/>
        </w:rPr>
      </w:pPr>
    </w:p>
    <w:p>
      <w:pPr>
        <w:ind w:left="540"/>
        <w:spacing w:after="0" w:line="238" w:lineRule="auto"/>
        <w:rPr>
          <w:sz w:val="20"/>
          <w:szCs w:val="20"/>
          <w:color w:val="auto"/>
        </w:rPr>
      </w:pPr>
      <w:r>
        <w:rPr>
          <w:rFonts w:ascii="Arial" w:cs="Arial" w:eastAsia="Arial" w:hAnsi="Arial"/>
          <w:sz w:val="17"/>
          <w:szCs w:val="17"/>
          <w:b w:val="1"/>
          <w:bCs w:val="1"/>
          <w:i w:val="1"/>
          <w:iCs w:val="1"/>
          <w:color w:val="auto"/>
        </w:rPr>
        <w:t xml:space="preserve">Expertise in developing proprietary formulations of drugs for clinical benefit. </w:t>
      </w:r>
      <w:r>
        <w:rPr>
          <w:rFonts w:ascii="Arial" w:cs="Arial" w:eastAsia="Arial" w:hAnsi="Arial"/>
          <w:sz w:val="17"/>
          <w:szCs w:val="17"/>
          <w:color w:val="auto"/>
        </w:rPr>
        <w:t>We focus on developing proprietary RTGel formulations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MMC and botulinum toxin. Our formulations are designed to significantly increase the dwell time and exposure of the drugs to the target sites and limit the need for urine retention, potentially providing enhanced clinical activity, reduced patient burden and increased patient compliance over existing formulations and modes of administration. With 13 Ph.Ds. and medical doctors on our staff, we have a strong research and development team to advance our product candidates.</w:t>
      </w:r>
    </w:p>
    <w:p>
      <w:pPr>
        <w:spacing w:after="0" w:line="7" w:lineRule="exact"/>
        <w:rPr>
          <w:sz w:val="20"/>
          <w:szCs w:val="20"/>
          <w:color w:val="auto"/>
        </w:rPr>
      </w:pPr>
    </w:p>
    <w:p>
      <w:pPr>
        <w:ind w:left="540" w:right="80"/>
        <w:spacing w:after="0" w:line="237" w:lineRule="auto"/>
        <w:rPr>
          <w:sz w:val="20"/>
          <w:szCs w:val="20"/>
          <w:color w:val="auto"/>
        </w:rPr>
      </w:pPr>
      <w:r>
        <w:rPr>
          <w:rFonts w:ascii="Arial" w:cs="Arial" w:eastAsia="Arial" w:hAnsi="Arial"/>
          <w:sz w:val="17"/>
          <w:szCs w:val="17"/>
          <w:b w:val="1"/>
          <w:bCs w:val="1"/>
          <w:i w:val="1"/>
          <w:iCs w:val="1"/>
          <w:color w:val="auto"/>
        </w:rPr>
        <w:t xml:space="preserve">Lower development risks and costs for our pipeline product candidates. </w:t>
      </w:r>
      <w:r>
        <w:rPr>
          <w:rFonts w:ascii="Arial" w:cs="Arial" w:eastAsia="Arial" w:hAnsi="Arial"/>
          <w:sz w:val="17"/>
          <w:szCs w:val="17"/>
          <w:color w:val="auto"/>
        </w:rPr>
        <w:t>We expect the approval process for each of our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uro-oncology product candidates to be conducted according to the FDA’s 505(b)(2) regulatory pathway, a streamlined, lower-cost and more well-defined pathway to drug approval when compared to traditional drug development. Furthermore, two of our product candidates, MitoGel and Vesimune, have received Orphan Drug Designation from the FDA for the treatment of UTUC and CIS, respectively, which we expect will provide seven years of marketing exclusivity following FDA approval, if received. We submitted an IND for MitoGel in November 2016, which was accepted by the FDA in December 2016. We commenced a single pivotal, open-label, single-arm Phase 3 clinical trial for the treatment of low-grade UTUC in the first quarter of 2017. The clinical trial is being conducted in the United States and Europe with anticipated enrollment of approximately 74 patients. Additionally, we expect that our product candidates are more likely to be safe and well-tolerated because they are novel formulations of previously approved drugs.</w:t>
      </w:r>
    </w:p>
    <w:p>
      <w:pPr>
        <w:ind w:left="540" w:right="60"/>
        <w:spacing w:after="0" w:line="244" w:lineRule="auto"/>
        <w:rPr>
          <w:sz w:val="20"/>
          <w:szCs w:val="20"/>
          <w:color w:val="auto"/>
        </w:rPr>
      </w:pPr>
      <w:r>
        <w:rPr>
          <w:rFonts w:ascii="Arial" w:cs="Arial" w:eastAsia="Arial" w:hAnsi="Arial"/>
          <w:sz w:val="17"/>
          <w:szCs w:val="17"/>
          <w:b w:val="1"/>
          <w:bCs w:val="1"/>
          <w:i w:val="1"/>
          <w:iCs w:val="1"/>
          <w:color w:val="auto"/>
        </w:rPr>
        <w:t>Leverageable proprietary formulation technology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RTGel has multiple potential applications beyond urology.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formulation know-how may enable us to develop different drug formulations to facilitate the delivery, retention and sustained release of active drugs to a variety of targeted body cavities. We believe that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right="60"/>
        <w:spacing w:after="0" w:line="236" w:lineRule="auto"/>
        <w:rPr>
          <w:sz w:val="20"/>
          <w:szCs w:val="20"/>
          <w:color w:val="auto"/>
        </w:rPr>
      </w:pPr>
      <w:r>
        <w:rPr>
          <w:rFonts w:ascii="Arial" w:cs="Arial" w:eastAsia="Arial" w:hAnsi="Arial"/>
          <w:sz w:val="17"/>
          <w:szCs w:val="17"/>
          <w:color w:val="auto"/>
        </w:rPr>
        <w:t>our proprietary formulation technology can improve the efficacy of locally administered drugs in body cavities such as the stomach, uterus and rectum that present anatomical and physiological challenges related to frequent wash out, rapid excretion and bodily secretions. In October 2016, we announced that we licensed worldwide rights to a proprietary RTGel formulation with BOTOX to Allergan for the treatment of overactive bladder and related indications pursuant to the Allergan Agreement.</w:t>
      </w:r>
    </w:p>
    <w:p>
      <w:pPr>
        <w:spacing w:after="0" w:line="8" w:lineRule="exact"/>
        <w:rPr>
          <w:sz w:val="20"/>
          <w:szCs w:val="20"/>
          <w:color w:val="auto"/>
        </w:rPr>
      </w:pPr>
    </w:p>
    <w:p>
      <w:pPr>
        <w:ind w:left="540"/>
        <w:spacing w:after="0" w:line="238"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28 issued patents worldwide and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45 pending patent applications filed worldwide. In the United States, we have 13 granted patents that are directed to protect our lead product candidates MitoGel, VesiGel and Botugel as well as our RTGel technology and our other potential product candidates that are under preclinical review. These patents claim methods, systems, and novel compositions for treating cancer in internal cavities, in particular treating a urinary tract cancer. These issued patents are expected to expire between 2024 and 2035. Additionally, the FDA has granted Orphan Drug Designation to MitoGel for the treatment of UTUC and Vesimune for the treatment of CIS bladder cancer, which potentially entitles us to marketing exclusivity for MitoGel and Vesimune for seven years following approval, if granted, by the FDA.</w:t>
      </w:r>
    </w:p>
    <w:p>
      <w:pPr>
        <w:spacing w:after="0" w:line="7" w:lineRule="exact"/>
        <w:rPr>
          <w:sz w:val="20"/>
          <w:szCs w:val="20"/>
          <w:color w:val="auto"/>
        </w:rPr>
      </w:pPr>
    </w:p>
    <w:p>
      <w:pPr>
        <w:ind w:left="540" w:right="120"/>
        <w:spacing w:after="0" w:line="238" w:lineRule="auto"/>
        <w:rPr>
          <w:sz w:val="20"/>
          <w:szCs w:val="20"/>
          <w:color w:val="auto"/>
        </w:rPr>
      </w:pPr>
      <w:r>
        <w:rPr>
          <w:rFonts w:ascii="Arial" w:cs="Arial" w:eastAsia="Arial" w:hAnsi="Arial"/>
          <w:sz w:val="17"/>
          <w:szCs w:val="17"/>
          <w:b w:val="1"/>
          <w:bCs w:val="1"/>
          <w:i w:val="1"/>
          <w:iCs w:val="1"/>
          <w:color w:val="auto"/>
        </w:rPr>
        <w:t>Experienced and accomplished leadership team with proven track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experienced management team, with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possessing more than 15 years of biopharmaceutical and related industry experience. Our Chief Executive Officer, Ron Bentsur, successfully navigated Auryxia (ferric citrate) through the 505(b)(2) streamlined regulatory pathway to FDA approval. In addition, our Chairman, Arie Belldegrun, M.D., is a seasoned biotech executive and was the founder, Chairman, Chief Executive Officer and President of Kite Pharma, which was recently sold to Gilead Sciences, Inc. for $11.8 billion. Dr. Belldegrun is also a urologist by training. We believe that our leadership team is well-positioned to lead us through clinical development, regulatory approval and commercialization for our product candidates.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80" w:lineRule="exact"/>
        <w:rPr>
          <w:sz w:val="20"/>
          <w:szCs w:val="20"/>
          <w:color w:val="auto"/>
        </w:rPr>
      </w:pPr>
    </w:p>
    <w:p>
      <w:pPr>
        <w:ind w:left="200" w:right="320"/>
        <w:spacing w:after="0" w:line="243" w:lineRule="auto"/>
        <w:rPr>
          <w:sz w:val="20"/>
          <w:szCs w:val="20"/>
          <w:color w:val="auto"/>
        </w:rPr>
      </w:pPr>
      <w:r>
        <w:rPr>
          <w:rFonts w:ascii="Arial" w:cs="Arial" w:eastAsia="Arial" w:hAnsi="Arial"/>
          <w:sz w:val="17"/>
          <w:szCs w:val="17"/>
          <w:color w:val="auto"/>
        </w:rPr>
        <w:t>We intend to become the leading biopharmaceutical company focused on the development of novel therapies for local treatment of urological pathologies. The key elements of our strategy are as follows:</w:t>
      </w:r>
    </w:p>
    <w:p>
      <w:pPr>
        <w:spacing w:after="0" w:line="3" w:lineRule="exact"/>
        <w:rPr>
          <w:sz w:val="20"/>
          <w:szCs w:val="20"/>
          <w:color w:val="auto"/>
        </w:rPr>
      </w:pPr>
    </w:p>
    <w:p>
      <w:pPr>
        <w:ind w:left="540" w:right="60"/>
        <w:spacing w:after="0" w:line="237"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MitoGel and VesiGel, as the first-line treatment in its target indication. </w:t>
      </w:r>
      <w:r>
        <w:rPr>
          <w:rFonts w:ascii="Arial" w:cs="Arial" w:eastAsia="Arial" w:hAnsi="Arial"/>
          <w:sz w:val="17"/>
          <w:szCs w:val="17"/>
          <w:color w:val="auto"/>
        </w:rPr>
        <w:t>We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data from treatments in our Compassionate Use program conducted in the United States, Europe and Israel provide preliminary evidence of the potential safety and efficacy of MitoGel for the treatment of low-grade UTUC. We submitted an IND for MitoGel with the FDA in November 2016, which was accepted by the FDA in December 2016, and we commenced a single pivotal Phase 3 clinical trial in the first quarter of 2017 pursuant to the FDA’s 505(b)(2) regulatory pathway. We recently completed a Phase 2a randomized, open-label, single-arm, active-controlled clinical trial of VesiGel for the treatment of low-grade NMIBC, conducted in Europe and Israel. We expect to file an IND for VesiGel in the first half of 2018, and, if accepted, to commence a Phase 2b U.S.-based clinical trial shortly thereafter. We also expect to pursue a 505(b)(2) regulatory pathway for VesiGel. We believe that these local drug treatments have the potential to replace costly, sub-optimal and burdensome tumor resection and kidney removal surgeries to become the first-line standard of care.</w:t>
      </w:r>
    </w:p>
    <w:p>
      <w:pPr>
        <w:ind w:left="540" w:right="80"/>
        <w:spacing w:after="0" w:line="237" w:lineRule="auto"/>
        <w:rPr>
          <w:sz w:val="20"/>
          <w:szCs w:val="20"/>
          <w:color w:val="auto"/>
        </w:rPr>
      </w:pPr>
      <w:r>
        <w:rPr>
          <w:rFonts w:ascii="Arial" w:cs="Arial" w:eastAsia="Arial" w:hAnsi="Arial"/>
          <w:sz w:val="17"/>
          <w:szCs w:val="17"/>
          <w:b w:val="1"/>
          <w:bCs w:val="1"/>
          <w:i w:val="1"/>
          <w:iCs w:val="1"/>
          <w:color w:val="auto"/>
        </w:rPr>
        <w:t xml:space="preserve">Expand our uro-oncology product pipeline. </w:t>
      </w:r>
      <w:r>
        <w:rPr>
          <w:rFonts w:ascii="Arial" w:cs="Arial" w:eastAsia="Arial" w:hAnsi="Arial"/>
          <w:sz w:val="17"/>
          <w:szCs w:val="17"/>
          <w:color w:val="auto"/>
        </w:rPr>
        <w:t>A Phase 1 clinical trial of Vesimune was completed under an IND in 12 patients with CIS,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aggressive form of high-grade urinary bladder cancer. In the trial, 10 patients were evaluated for response, of which 40% achieved a complete response rate with Vesimune as a single-agent treatment. We believe that combining Vesimune with immune checkpoint inhibitors or chemotherapy has the potential to serve as a treatment option for high-grade urothelial tumors. We are also pursuing preclinical oncology programs that take advantage of our RTGel technology. We are conducting preclinical programs for high-grade bladder cancer and high-grade UTUC. We may also evaluate in-licensing or acquiring additional product candidates for the treatment of urological cancers.</w:t>
      </w:r>
    </w:p>
    <w:p>
      <w:pPr>
        <w:spacing w:after="0" w:line="8" w:lineRule="exact"/>
        <w:rPr>
          <w:sz w:val="20"/>
          <w:szCs w:val="20"/>
          <w:color w:val="auto"/>
        </w:rPr>
      </w:pPr>
    </w:p>
    <w:p>
      <w:pPr>
        <w:ind w:left="540" w:right="20"/>
        <w:spacing w:after="0" w:line="241" w:lineRule="auto"/>
        <w:rPr>
          <w:sz w:val="20"/>
          <w:szCs w:val="20"/>
          <w:color w:val="auto"/>
        </w:rPr>
      </w:pPr>
      <w:r>
        <w:rPr>
          <w:rFonts w:ascii="Arial" w:cs="Arial" w:eastAsia="Arial" w:hAnsi="Arial"/>
          <w:sz w:val="17"/>
          <w:szCs w:val="17"/>
          <w:b w:val="1"/>
          <w:bCs w:val="1"/>
          <w:i w:val="1"/>
          <w:iCs w:val="1"/>
          <w:color w:val="auto"/>
        </w:rPr>
        <w:t xml:space="preserve">Utilize our proprietary technology to expand our pipeline to other body cavities and indications. </w:t>
      </w:r>
      <w:r>
        <w:rPr>
          <w:rFonts w:ascii="Arial" w:cs="Arial" w:eastAsia="Arial" w:hAnsi="Arial"/>
          <w:sz w:val="17"/>
          <w:szCs w:val="17"/>
          <w:color w:val="auto"/>
        </w:rPr>
        <w:t>We believe that RTGel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suitable for multiple additional applications. Our know-how may enable us to develop different drug formulations to facilitate the delivery, retention and sustained release of active drugs to a variety of targeted body cavities. Beyond the urinary tract, we may target the gastrointestinal tract and the female reproductive system. In the future, we may also choose to develop our RTGel technology in combination with other drugs to treat cancer and other indications endemic to such body cavities.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right="80"/>
        <w:spacing w:after="0" w:line="237" w:lineRule="auto"/>
        <w:rPr>
          <w:sz w:val="20"/>
          <w:szCs w:val="20"/>
          <w:color w:val="auto"/>
        </w:rPr>
      </w:pPr>
      <w:r>
        <w:rPr>
          <w:rFonts w:ascii="Arial" w:cs="Arial" w:eastAsia="Arial" w:hAnsi="Arial"/>
          <w:sz w:val="17"/>
          <w:szCs w:val="17"/>
          <w:b w:val="1"/>
          <w:bCs w:val="1"/>
          <w:i w:val="1"/>
          <w:iCs w:val="1"/>
          <w:color w:val="auto"/>
        </w:rPr>
        <w:t xml:space="preserve">Evaluate and selectively pursue potential collaborations to develop improved formulations and product life-cycle management strategies. </w:t>
      </w:r>
      <w:r>
        <w:rPr>
          <w:rFonts w:ascii="Arial" w:cs="Arial" w:eastAsia="Arial" w:hAnsi="Arial"/>
          <w:sz w:val="17"/>
          <w:szCs w:val="17"/>
          <w:color w:val="auto"/>
        </w:rPr>
        <w:t>We entered into the Allergan Agreement to research, develop, manufacture and commercialize pharmaceutical products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 RTGel and clostridial toxins (including BOTOX), alone or in combination with certain other active ingredients. This collaboration provides us with funding for our research and development efforts, and may accelerate the development and commercialization of our approved products, if any. In addition, we may in-license or acquire additional product candidates for urological indications. Such collaborations would allow us to obtain financial support and to capitalize on the expertise and resources of our potential partners, which could allow for new and improved versions of approved or clinical stage drugs, and could accelerate the development and commercialization of additional product candidates.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RTGel: Our Reverse Thermally Triggered Hydrogel Platform Technology</w:t>
      </w:r>
    </w:p>
    <w:p>
      <w:pPr>
        <w:spacing w:after="0" w:line="93" w:lineRule="exact"/>
        <w:rPr>
          <w:sz w:val="20"/>
          <w:szCs w:val="20"/>
          <w:color w:val="auto"/>
        </w:rPr>
      </w:pPr>
    </w:p>
    <w:p>
      <w:pPr>
        <w:ind w:left="200" w:right="360"/>
        <w:spacing w:after="0" w:line="235"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urinary tract, by conforming to the anatomy of the target organ while preventing rapid excretion of the drug. The following images show the progression of five stages of RTGel at different temperatures.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5171440" cy="8661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7144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LT: Liquid at low temperature</w:t>
      </w:r>
    </w:p>
    <w:p>
      <w:pPr>
        <w:ind w:left="540"/>
        <w:spacing w:after="0"/>
        <w:rPr>
          <w:sz w:val="20"/>
          <w:szCs w:val="20"/>
          <w:color w:val="auto"/>
        </w:rPr>
      </w:pPr>
      <w:r>
        <w:rPr>
          <w:rFonts w:ascii="Arial" w:cs="Arial" w:eastAsia="Arial" w:hAnsi="Arial"/>
          <w:sz w:val="17"/>
          <w:szCs w:val="17"/>
          <w:color w:val="auto"/>
        </w:rPr>
        <w:t>BT: Converts into gel form at body temperature</w:t>
      </w:r>
    </w:p>
    <w:p>
      <w:pPr>
        <w:spacing w:after="0" w:line="156"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RTGel’s components are polymer-based and are inactive ingredients that have been approved by the FDA for use in other products such as Oraqix, a periodontal gel, Namenda, an oral solution for Alzheimer’s disease, and Xeloda, an oral chemotherapy. We formulate RTGel with an active drug: MMC in the case of MitoGel and VesiGel, and botulinum toxin in the case of BotuGel. The resulting formulations are instilled intravesically in liquid form directly into the bladder or upper urinary tract using standard instillation methodologies via catheters and thereafter convert into gel form at body temperature. Subsequently, upon contact with urine, RTGel gradually dissolves and releases the active drug over a period of several hours, and is less affected by urine creation and voiding cycles as compared to water formulations.</w:t>
      </w:r>
    </w:p>
    <w:p>
      <w:pPr>
        <w:spacing w:after="0" w:line="148"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from the urinary tract to the bladder. RTGel achieves this by:</w:t>
      </w:r>
    </w:p>
    <w:p>
      <w:pPr>
        <w:spacing w:after="0" w:line="188" w:lineRule="exact"/>
        <w:rPr>
          <w:sz w:val="20"/>
          <w:szCs w:val="20"/>
          <w:color w:val="auto"/>
        </w:rPr>
      </w:pPr>
    </w:p>
    <w:p>
      <w:pPr>
        <w:ind w:left="960" w:hanging="432"/>
        <w:spacing w:after="0" w:line="236" w:lineRule="auto"/>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MMC water formulation, currently used as adjuvant treatment, in the upper urinary tract is approximately five minutes, compared to approximately six hours when MMC is formulated with RTGel;</w:t>
      </w:r>
    </w:p>
    <w:p>
      <w:pPr>
        <w:spacing w:after="0" w:line="27" w:lineRule="exact"/>
        <w:rPr>
          <w:rFonts w:ascii="MS PGothic" w:cs="MS PGothic" w:eastAsia="MS PGothic" w:hAnsi="MS PGothic"/>
          <w:sz w:val="13"/>
          <w:szCs w:val="13"/>
          <w:color w:val="auto"/>
        </w:rPr>
      </w:pPr>
    </w:p>
    <w:p>
      <w:pPr>
        <w:ind w:left="960" w:right="120" w:hanging="432"/>
        <w:spacing w:after="0" w:line="238" w:lineRule="auto"/>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administering higher doses of an active drug than would otherwise be possible using standard water-based formulations. For instance, it is only possible to dissolve 0.5 mg of MMC in 1 ml of water while it is possible to formulate up to 8 mg of MMC with 1 ml of RTGel; and</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maintaining the active drug’s molecular structure and mode of action.</w:t>
      </w:r>
    </w:p>
    <w:p>
      <w:pPr>
        <w:spacing w:after="0" w:line="156" w:lineRule="exact"/>
        <w:rPr>
          <w:sz w:val="20"/>
          <w:szCs w:val="20"/>
          <w:color w:val="auto"/>
        </w:rPr>
      </w:pPr>
    </w:p>
    <w:p>
      <w:pPr>
        <w:ind w:left="200" w:right="200"/>
        <w:spacing w:after="0" w:line="236" w:lineRule="auto"/>
        <w:rPr>
          <w:sz w:val="20"/>
          <w:szCs w:val="20"/>
          <w:color w:val="auto"/>
        </w:rPr>
      </w:pPr>
      <w:r>
        <w:rPr>
          <w:rFonts w:ascii="Arial" w:cs="Arial" w:eastAsia="Arial" w:hAnsi="Arial"/>
          <w:sz w:val="17"/>
          <w:szCs w:val="17"/>
          <w:color w:val="auto"/>
        </w:rPr>
        <w:t>These characteristics of RTGel enable sustained release of MMC in the urinary tract for both MitoGel and VesiGel, and of botulinum toxin in the case of BotuGel. Further, RTGel may be particularly effective in the bladder and upper urinary tract where tumor visibility and access are challenging, and where there exists a significant amount of urine flow and voiding. We believe that these characteristics of RTGel may prove useful for the local delivery of active drugs to other bodily cavities in addition to the bladder and upper urinary tract.</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MMC—Our Target Active Drug for the Treatment of UTUC and NMIBC</w:t>
      </w:r>
    </w:p>
    <w:p>
      <w:pPr>
        <w:spacing w:after="0" w:line="93"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 xml:space="preserve">MMC is a generic drug currently utilized off-label as the standard adjuvant chemotherapy for the treatment of low-grade UTUC and NMIBC after tumor resection, such as TURBT. MMC, a chemotherapy agent, is typically administered using a water-based formulation, which has a relatively short dwell time in the bladder limited to first voiding. MMC often causes temporary irritation of the bladder, including the need to urinate frequently and urgently. This often results in first voiding occurring shortly after instillation. In the upper urinary tract, the dwell time is limited to approximately five minutes as urine flows continuously and no active retention by the patient is feasible. Numerous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and computer simulations have shown that increased dwell time of MMC in the bladder results in more efficacious treatment of bladder cancer. In one such study, it was shown that MMC activity increased with exposure time. Specifically, the MIC90, or mean inhibitory concentration that causes 90% inhibition in cell growth, was 11-fold lower when exposure time was increased from 30 minutes to eight hours.</w:t>
      </w:r>
    </w:p>
    <w:p>
      <w:pPr>
        <w:spacing w:after="0" w:line="150"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MMC’s main effect is on the cancer cell’s DNA, and has been demonstrated to be most effective when the cancer cell is in its S-phase, or synthesis phase, during which the DNA is replicated. Each cancer cell goes through various phases during the cell cycle. However, the cell cycle is not synchronized in all cancer cells, which means that at any given point in time only a portion of the cancer cells are at their S-phase, or susceptible to the instilled MMC in the bladder. Thus, because our RTGel-based MMC sustained-release formulations, MitoGel and VesiGel, provide for a significantly longer dwell time of MMC in the upper urinary tract and in the bladder as compared to standard MMC water formulations, there is a greater chance that tumor cells will go through their S-phase while the instilled MMC is still present using MitoGel or VesiGel, potentially resulting in a higher percentage of tumor cells being affected by the instilled MMC.</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MitoGel: Our Product Candidate for the Treatment of Low-Grade Upper Tract Urothelial Carcinoma</w:t>
      </w:r>
    </w:p>
    <w:p>
      <w:pPr>
        <w:spacing w:after="0" w:line="80"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We are developing MitoGel, our novel sustained-release formulation of MMC, for the treatment of low-grade UTUC. We have observed preliminary evidence of the efficacy of MitoGel in an investigator-initiated Compassionate Use program for the treatment of unresectable UTUC. Additionally, the FDA granted MitoGel Orphan Drug Designation for the treatment of UTUC and Fast Track Designation. We plan to develop MitoGel through the FDA’s 505(b)(2) regulatory pathway. We commenced a pivotal, open-label, single-arm Phase 3 clinical trial for MitoGel in the first quarter of 2017.</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of Current Therapies for Upper Tract Urothelial Carcinoma</w:t>
      </w:r>
    </w:p>
    <w:p>
      <w:pPr>
        <w:spacing w:after="0" w:line="54"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The current standard-of-care for the treatment of UTUC is nephroureterectomy, which is complete kidney and ureter removal. Recent advances in resection instrument technology have allowed physicians in some cases to treat patients with low-grade UTUC using endoscopic tumor resection, a kidney-sparing treatment, rather than nephroureterectomy followed by adjuvant chemotherapy, typically MMC, treatment. However, the specific anatomy and physiology of the upper urinary tract make the performance of organ-sparing endoscopic tumor resection and instillation of adjuvant chemotherapy challenging, leading to high recurrence rates. Patients often undergo multiple endoscopic resection procedures, which increases the probability of potential complications of resection, including perforation and ureteral stricture, or a narrowing of the ureter. A recent study published in 2009 in the Journal of Endourology, evaluating 57 patients with low-grade UTUC who underwent tumor resections showed that recurrence occurred in 89.5% of patients, with a mean of 5.5 recurrences per patient, over a four-year period. Moreover, approximately 20% of the patients in this study progressed and ultimately underwent kidney and upper tract removal.</w:t>
      </w:r>
    </w:p>
    <w:p>
      <w:pPr>
        <w:spacing w:after="0" w:line="147"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MMC is currently administered using a water-based formulation, which limits the dwell time in the bladder until first voiding. In the upper urinary tract, the dwell time of MMC is approximately five minutes as urine flows continuously and no active retention by the patient is feasible.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Solution: MitoGel</w:t>
      </w:r>
    </w:p>
    <w:p>
      <w:pPr>
        <w:spacing w:after="0" w:line="54"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MitoGel is our novel sustained-release RTGel-based formulation of MMC that we are developing for the treatment of low-grade UTUC. RTGel is liquid at lower temperatures and converts into gel form at body temperature. This temperature-dependent viscosity characteristic allows for simple and convenient instillation of the cooled MitoGel in its liquid form to the upper urinary tract via standard catheters. Once instilled, MitoGel converts into gel form in less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200"/>
        <w:spacing w:after="0" w:line="236" w:lineRule="auto"/>
        <w:rPr>
          <w:sz w:val="20"/>
          <w:szCs w:val="20"/>
          <w:color w:val="auto"/>
        </w:rPr>
      </w:pPr>
      <w:r>
        <w:rPr>
          <w:rFonts w:ascii="Arial" w:cs="Arial" w:eastAsia="Arial" w:hAnsi="Arial"/>
          <w:sz w:val="17"/>
          <w:szCs w:val="17"/>
          <w:color w:val="auto"/>
        </w:rPr>
        <w:t>than 10 minutes at body temperature. Subsequently, upon contact with urine, MitoGel gradually dissolves and releases the active drug, MMC, over a period of several hours versus several minutes for MMC in its water-based formulation. We believe that this substantial increase in dwell time of MMC positions MitoGel as a potential first-line chemoablation treatment for low-grade UTUC, potentially sparing patients from repeated tumor resection surgeries and potentially reducing the need for bladder and upper urinary tract surgeries, including upper urinary tract removal.</w:t>
      </w:r>
    </w:p>
    <w:p>
      <w:pPr>
        <w:spacing w:after="0" w:line="149"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The Orphan Drug Designation granted to MitoGel for the treatment of UTUC potentially entitles us to marketing exclusivity for MitoGel for seven years following approval by the FDA, if granted, as well as priority review of our New Drug Application, or NDA. We believe Fast Track Designation may allow us to obtain priority or expedited review of our NDA filing as well as the possibility for a rolling NDA submission.</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Initial Clinical Results for MitoGel</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MitoGel was evaluated in an investigator-initiated Compassionate Use program for the treatment of severe, non-resectable UTUC, which commenced in September 2014. The Compassionate Use program, which was conducted in the United States, Europe and Israel, included patients diagnosed with unilateral and bilateral low- and high-grade UTUC, as well as patients with a solitary kidney. Patients in the Compassionate Use program received six weekly instillations of MitoGel administered directly to the upper urinary tract. Consistent with the nature of Compassionate Use programs, which are investigator-initiated programs, a statistical plan or primary endpoint was not used as in a regular clinical trial. Approximately four weeks following the completion of the treatment course, the patients were evaluated for response. Patients were visually evaluated endoscopically or through the use of a nonsurgical viewing instrument, with additional confirmation through urine cytology, or examination of cells collected from a urine specimen. At the evaluation time, which was approximately four weeks following the completion of the treatment course, patients were deemed to have achieved a complete response if, in the judgment of the physician, no tumors initially diagnosed by the physician were detected and a partial response if, in the judgment of the physician, the size or number of tumors had decreased or if, following an initial complete response, there is tumor recurrence within three months after the evaluation time. Safety and feasibility of treatment with MitoGel were also evaluated. Twenty-two patients were treated in the study, with more than 130 instillations of MitoGel performed. Of the 22 patients treated, 18 were assessed as having low-grade UTUC. Of the 18 patients assessed as having low-grade disease, 14 completed six instillations of MitoGel. Of these 14 patients, 13 were evaluated for response and one could not be evaluated to confirm response. Of the 13 patients who were evaluated for response, eight, or approximately 62%, achieved a complete response and five, or approximately 38%, achieved a partial response at the primary evaluation time. One of the patients who received a partial response subsequently received an additional three courses of MitoGel and thereafter achieved a complete response.</w:t>
      </w:r>
    </w:p>
    <w:p>
      <w:pPr>
        <w:spacing w:after="0" w:line="150"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Of the eight patients who have achieved a complete response at the primary evaluation time, we are aware of three patients who have subsequently experienced recurrences to date. Recurrences were generally of small tumors, a few millimeters in diameter, and were manageable by endoscopic tumor resection. To our knowledge, five of the eight patients have not recurred to date, with three of the five patients having achieved durability of 12 months or greater to date. The median durability for these eight patients is still ongoing and is now greater than nine months, based on investigator reports. The follow-up evaluation plan for patients in our Compassionate Use program is determined by each individual investigator and varies from patient to patient, and some patients have not undergone follow-up evaluation or have been lost to follow-up. As part of the ongoing single pivotal Phase 3 clinical trial, in order to potentially further extend durability, patients who achieve a complete response at the primary disease evaluation visit will be followed for durability of response and will receive monthly MitoGel maintenance instillations for up to 12 months.</w:t>
      </w:r>
    </w:p>
    <w:p>
      <w:pPr>
        <w:spacing w:after="0" w:line="148"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MitoGel was observed to be well-tolerated in the Compassionate Use Program. The main observed adverse events, or AEs, related to MitoGel have been fatigue, allergic reaction, nausea, fever, and dysuria, which is pain or difficulty while urinating. All of the AEs that have been observed to date are known side effects associated with the use of MMC and appear on the MMC label as potential side effects. Various serious adverse events, or SAEs, were also reported most of which were determined to be unrelated to treatment with MitoGel. These SAEs include acute pyelonephritis, a kidney infection caused by bacteria; hydronephrosis, which is the swelling of the upper urinary tract due to a build-up of urine caused by some degree of obstruction; severe arrhythmia, which is a severe abnormal heart rhythm; cardiac asthma, which is a medical diagnosis of wheezing, coughing or shortness of breath due to</w:t>
      </w:r>
    </w:p>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congestive heart failure; aggravation of renal function; hyperkalemia, which is a condition of elevated levels of potassium in the blood; pancytopenia, which is a deficiency of red cells, white cells and platelets in the blood; scarring and narrowing of the calyceal infundibulum, which was most probably present at baseline; asymptomatic extravasation from the upper tract, which is leakage of fluids from the upper tract to the surrounding tissue; and death.</w:t>
      </w:r>
    </w:p>
    <w:p>
      <w:pPr>
        <w:spacing w:after="0" w:line="149"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This Compassionate Use program was allowed by the FDA to accumulate safety and efficacy data. In the first quarter of 2017, we commenced a pivotal, open-label, single-arm Phase 3 clinical trial of MitoGel for the treatment of low-grade UTUC.</w:t>
      </w:r>
    </w:p>
    <w:p>
      <w:pPr>
        <w:spacing w:after="0" w:line="144" w:lineRule="exact"/>
        <w:rPr>
          <w:sz w:val="20"/>
          <w:szCs w:val="20"/>
          <w:color w:val="auto"/>
        </w:rPr>
      </w:pPr>
    </w:p>
    <w:p>
      <w:pPr>
        <w:ind w:left="200" w:right="560"/>
        <w:spacing w:after="0" w:line="243" w:lineRule="auto"/>
        <w:rPr>
          <w:sz w:val="20"/>
          <w:szCs w:val="20"/>
          <w:color w:val="auto"/>
        </w:rPr>
      </w:pPr>
      <w:r>
        <w:rPr>
          <w:rFonts w:ascii="Arial" w:cs="Arial" w:eastAsia="Arial" w:hAnsi="Arial"/>
          <w:sz w:val="17"/>
          <w:szCs w:val="17"/>
          <w:color w:val="auto"/>
        </w:rPr>
        <w:t>The following images show pre-treatment and post-MitoGel treatment results from one low-grade UTUC patient in the Compassionate Use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147320</wp:posOffset>
            </wp:positionV>
            <wp:extent cx="2066925" cy="32931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6692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(Courtesy of Dr. J. Gregory Wirth, Geneva Hospital, Switzerland)</w:t>
      </w:r>
    </w:p>
    <w:p>
      <w:pPr>
        <w:spacing w:after="0" w:line="152"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The top left image is a pre-treatment ureteroscopic view of a tumor located in the ureter. The bottom left image is a pre-treatment x-ray revealing an obstruction within the ureter in which no contrast (black) can be visualized in the distal ureter (denoted by arrow). The top right image is a post-treatment ureteroscopic view of the same location following MitoGel chemoablation treatment. The bottom right image is a post-treatment x-ray of the ureter which reveals no obstruction within the ureter.</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IND-Enabling Studies for MitoGel</w:t>
      </w:r>
    </w:p>
    <w:p>
      <w:pPr>
        <w:spacing w:after="0" w:line="41" w:lineRule="exact"/>
        <w:rPr>
          <w:sz w:val="20"/>
          <w:szCs w:val="20"/>
          <w:color w:val="auto"/>
        </w:rPr>
      </w:pPr>
    </w:p>
    <w:p>
      <w:pPr>
        <w:ind w:left="200" w:right="240"/>
        <w:spacing w:after="0" w:line="235" w:lineRule="auto"/>
        <w:rPr>
          <w:sz w:val="20"/>
          <w:szCs w:val="20"/>
          <w:color w:val="auto"/>
        </w:rPr>
      </w:pPr>
      <w:r>
        <w:rPr>
          <w:rFonts w:ascii="Arial" w:cs="Arial" w:eastAsia="Arial" w:hAnsi="Arial"/>
          <w:sz w:val="17"/>
          <w:szCs w:val="17"/>
          <w:color w:val="auto"/>
        </w:rPr>
        <w:t>As part of our IND-enabling work for MitoGel, we have completed a large-scale Good Laboratory Practices, or GLP, toxicity study in an upper urinary tract swine model in which more than 250 instillations of MitoGel were performed. This study evaluated the safety of the procedure and MitoGel administration, also utilizing higher dosage levels than those used in the clinical settings. In this GLP toxicology study, the instillation of MitoGel was found to be safe. We are also currently conducting chemistry, manufacturing and controls, or CMC, studies as part of our IND-enabling efforts.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Next Steps in the Clinical Development of MitoGel</w:t>
      </w:r>
    </w:p>
    <w:p>
      <w:pPr>
        <w:spacing w:after="0" w:line="41" w:lineRule="exact"/>
        <w:rPr>
          <w:sz w:val="20"/>
          <w:szCs w:val="20"/>
          <w:color w:val="auto"/>
        </w:rPr>
      </w:pPr>
    </w:p>
    <w:p>
      <w:pPr>
        <w:ind w:left="200" w:right="440"/>
        <w:spacing w:after="0" w:line="243" w:lineRule="auto"/>
        <w:rPr>
          <w:sz w:val="20"/>
          <w:szCs w:val="20"/>
          <w:color w:val="auto"/>
        </w:rPr>
      </w:pPr>
      <w:r>
        <w:rPr>
          <w:rFonts w:ascii="Arial" w:cs="Arial" w:eastAsia="Arial" w:hAnsi="Arial"/>
          <w:sz w:val="17"/>
          <w:szCs w:val="17"/>
          <w:color w:val="auto"/>
        </w:rPr>
        <w:t>Based on discussions with the FDA, we intend to develop MitoGel through the FDA’s 505(b)(2) regulatory pathway. We submitted an IND for MitoGel in November 2016, which was accepted by the FDA in December 2016. We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commenced a pivotal, open-label, single-arm Phase 3 clinical trial of MitoGel for the treatment of low-grade UTUC in the first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128270</wp:posOffset>
            </wp:positionV>
            <wp:extent cx="4965700" cy="10636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6570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360" w:hanging="175"/>
        <w:spacing w:after="0"/>
        <w:tabs>
          <w:tab w:leader="none" w:pos="236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Only if clinical trial is successfully completed</w:t>
      </w:r>
    </w:p>
    <w:p>
      <w:pPr>
        <w:spacing w:after="0" w:line="141"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This Phase 3 clinical trial is being conducted in the United States and Europe with anticipated enrollment of approximately 74 patients. We expect this clinical trial, if successfully completed, to support an NDA for low-grade UTUC for MitoGel. The patients will initially receive six weekly instillations of MitoGel. The primary efficacy endpoint is expected to be the complete response rate, defined as the percentage of patients with a complete response at the primary disease evaluation visit, which occurs approximately four weeks following the sixth weekly instillation. In addition, patients who achieve a complete response at the primary disease evaluation visit will be followed for durability of response. Such patients will also receive monthly MitoGel maintenance instillations for up to 12 months. If this clinical trial is successfully completed, we currently anticipate submitting an NDA for MitoGel in the first quarter of 2019. In the Phase 3 trial, to date, MitoGel therapy has been well tolerated. Adverse events encountered in treated subjects include the expected effects of Mitomycin C administration to the urinary tract (pain and urinary tract irritation). In addition, transient perturbation of laboratory measures of renal and hematopoietic function has been observed. No study participants have required medical intervention to address these changes.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VesiGel: Our Product Candidate for the Treatment of Low-Grade Non-Muscle Invasive Bladder Cancer</w:t>
      </w:r>
    </w:p>
    <w:p>
      <w:pPr>
        <w:spacing w:after="0" w:line="93"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VesiGel is our novel sustained-release formulation of high dose MMC that we are developing for the treatment of low-grade NMIBC as a first-line non-surgical chemoablation alternative to TURBT. We recently completed a Phase 2a randomized, open-label, single-arm active-controlled clinical trial in Europe and Israel that evaluated the safety and efficacy of VesiGel (40mg and 80mg MMC) in low-grade NMIBC. We commenced the trial in September 2013 and the last patient was enrolled in March 2016. 19 of 22, or approximately 86%, of the patients with confirmed low-grade NMIBC treated in this trial achieved complete responses in the 80mg MMC dose group of VesiGel at the primary evaluation time, and therefore did not require surgical intervention. Approximately 79% of the patients who achieved a complete response at the primary evaluation time with VesiGel treatment and who had been followed for 12 months thereafter remained recurrence free, and were able to sustain this durable complete response without receiving any additional treatment during this period. This compares to approximately 40% to 60% of patients who historically have been able to sustain a 12-month durable complete response following TURBT as first-line treatment followed by additional adjuvant treatments of MMC instillations into the bladder.</w:t>
      </w:r>
    </w:p>
    <w:p>
      <w:pPr>
        <w:spacing w:after="0" w:line="147" w:lineRule="exact"/>
        <w:rPr>
          <w:sz w:val="20"/>
          <w:szCs w:val="20"/>
          <w:color w:val="auto"/>
        </w:rPr>
      </w:pPr>
    </w:p>
    <w:p>
      <w:pPr>
        <w:ind w:left="200" w:right="60"/>
        <w:spacing w:after="0" w:line="298" w:lineRule="auto"/>
        <w:rPr>
          <w:sz w:val="20"/>
          <w:szCs w:val="20"/>
          <w:color w:val="auto"/>
        </w:rPr>
      </w:pPr>
      <w:r>
        <w:rPr>
          <w:rFonts w:ascii="Arial" w:cs="Arial" w:eastAsia="Arial" w:hAnsi="Arial"/>
          <w:sz w:val="17"/>
          <w:szCs w:val="17"/>
          <w:color w:val="auto"/>
        </w:rPr>
        <w:t xml:space="preserve">We expect to file an IND for VesiGel in the first half of 2018, and, if accepted, to commence a Phase 2b U.S. based clinical trial shortly thereafter. </w:t>
      </w:r>
      <w:r>
        <w:rPr>
          <w:rFonts w:ascii="Arial" w:cs="Arial" w:eastAsia="Arial" w:hAnsi="Arial"/>
          <w:sz w:val="17"/>
          <w:szCs w:val="17"/>
          <w:b w:val="1"/>
          <w:bCs w:val="1"/>
          <w:i w:val="1"/>
          <w:iCs w:val="1"/>
          <w:color w:val="auto"/>
        </w:rPr>
        <w:t>Limitations of Current Therapies for Non-Muscle Invasive Bladder Cancer</w:t>
      </w:r>
    </w:p>
    <w:p>
      <w:pPr>
        <w:spacing w:after="0" w:line="1" w:lineRule="exact"/>
        <w:rPr>
          <w:sz w:val="20"/>
          <w:szCs w:val="20"/>
          <w:color w:val="auto"/>
        </w:rPr>
      </w:pPr>
    </w:p>
    <w:p>
      <w:pPr>
        <w:ind w:left="200" w:right="160"/>
        <w:spacing w:after="0" w:line="232" w:lineRule="auto"/>
        <w:rPr>
          <w:sz w:val="20"/>
          <w:szCs w:val="20"/>
          <w:color w:val="auto"/>
        </w:rPr>
      </w:pPr>
      <w:r>
        <w:rPr>
          <w:rFonts w:ascii="Arial" w:cs="Arial" w:eastAsia="Arial" w:hAnsi="Arial"/>
          <w:sz w:val="17"/>
          <w:szCs w:val="17"/>
          <w:color w:val="auto"/>
        </w:rPr>
        <w:t>Tumor grade and stage are the most important variables for determining the likelihood of progression from NMIBC to MIBC. The three stages of NMIBC are: Ta (70%), T1 (20%) and CIS or Tis (10%). Approximately 70% of</w:t>
      </w:r>
    </w:p>
    <w:p>
      <w:pPr>
        <w:ind w:left="200" w:right="60"/>
        <w:spacing w:after="0" w:line="243" w:lineRule="auto"/>
        <w:rPr>
          <w:sz w:val="20"/>
          <w:szCs w:val="20"/>
          <w:color w:val="auto"/>
        </w:rPr>
      </w:pPr>
      <w:r>
        <w:rPr>
          <w:rFonts w:ascii="Arial" w:cs="Arial" w:eastAsia="Arial" w:hAnsi="Arial"/>
          <w:sz w:val="17"/>
          <w:szCs w:val="17"/>
          <w:color w:val="auto"/>
        </w:rPr>
        <w:t>NMIBC patients have a tumor that is classified as low-grade upon diagnosis. Ta and CIS are limited to the urothelial layer, and T1 is limited to the layer below, which is the lamina propria.</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Recurrence, which occurs in approximately 80% of patients, is the primary threat for NMIBC patients. Multiplicity, or number of tumors, tumor size and prior recurrence rate are the most important variables in determining the likelihood and potential severity of recurrence. In T1 and CIS NMIBC patients, progression, which occurs in approximately 45% of patients, is the main threat. Treatment ranges from one or more TURBT procedures followed by adjuvant chemotherapy or immunotherapy instillation(s) in NMIBC patients with a low risk of recurrence to cystectomy for the treatment of NMIBC patients with a high risk of recurrence.</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620"/>
        <w:spacing w:after="0" w:line="243" w:lineRule="auto"/>
        <w:rPr>
          <w:sz w:val="20"/>
          <w:szCs w:val="20"/>
          <w:color w:val="auto"/>
        </w:rPr>
      </w:pPr>
      <w:r>
        <w:rPr>
          <w:rFonts w:ascii="Arial" w:cs="Arial" w:eastAsia="Arial" w:hAnsi="Arial"/>
          <w:sz w:val="17"/>
          <w:szCs w:val="17"/>
          <w:color w:val="auto"/>
        </w:rPr>
        <w:t>TURBT is conducted in a hospital setting under general anesthesia and can often have side effects and complications. The most common complications, risks and limitations of TURBT include:</w:t>
      </w:r>
    </w:p>
    <w:p>
      <w:pPr>
        <w:spacing w:after="0" w:line="185" w:lineRule="exact"/>
        <w:rPr>
          <w:sz w:val="20"/>
          <w:szCs w:val="20"/>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bleeding at the time of surgery that requires clot irrigation and mild burning;</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infection of the bladder;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injured urethra and bladder perforation with potential intra-abdominal leakage;</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reimplantation and cell migration;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repeat TURBT procedures, which are necessary for approximately 10% of patients within three months;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complete removal of tumor tissue often not being feasible;</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potential recurrence of up to 25% of the tumors at the original treatment site;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some tumors not being detectable.</w:t>
      </w:r>
    </w:p>
    <w:p>
      <w:pPr>
        <w:spacing w:after="0" w:line="156"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Post-operative adjuvant treatments for NMIBC, which are given to prevent reimplantation of the cancerous cells, consist primarily of chemotherapy in the case of low-grade tumors and immunotherapy in the case of high-grade tumors, and are administered intravesically via catheter. Adjuvant intravesical chemotherapy is used primarily in low-grade tumors following TURBT in order to try to delay tumor recurrence, but is not used as a chemoablation agent. The rationale is to expose tumors to high local drug concentrations while minimizing the systemic exposure, thereby enhancing the treatment effect and reducing the drug toxicity. However, these traditional adjuvant treatments to treating bladder cancer have been limited because, after instillation, the drug concentration is reduced and the drug is washed out due to urine voiding. As a result, the cancerous tissue is not exposed to the chemotherapy drug for the optimal length of time.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 drugs have been approved by the FDA as first-line treatment for NMIBC and only three drugs have been</w:t>
      </w:r>
    </w:p>
    <w:p>
      <w:pPr>
        <w:ind w:left="200" w:right="200"/>
        <w:spacing w:after="0" w:line="234" w:lineRule="auto"/>
        <w:rPr>
          <w:sz w:val="20"/>
          <w:szCs w:val="20"/>
          <w:color w:val="auto"/>
        </w:rPr>
      </w:pPr>
      <w:r>
        <w:rPr>
          <w:rFonts w:ascii="Arial" w:cs="Arial" w:eastAsia="Arial" w:hAnsi="Arial"/>
          <w:sz w:val="17"/>
          <w:szCs w:val="17"/>
          <w:color w:val="auto"/>
        </w:rPr>
        <w:t>approved for NMIBC, all used as adjuvant treatment: Thiotepa, which was approved in 1959; bacille Calmette-Guerin, or BCG, which was approved in 1989; and Valstar, which was approved in 1998. MMC is the drug used most often for intravesical chemotherapy. It is used off-label as an adjuvant treatment in the post-operative setting for low-grade tumors with high risk of recurrence. Other drugs that can be used include docetaxel and gemcitabine. BCG, an immunotherapy-based drug, is used as an adjuvant treatment for patients with high-grade NMIBC. Upon recurrence, which occurs in approximately 35% of patients, the patients undergo another round of BCG therapy with a response rate of 30% to 50%. Radical cystectomy, or surgical removal of the bladder, is also a common treatment option for patients who fail multiple intravesical BCG therapies. However, treatment with BCG is associated with severe side effects, as evidenced by a Black Box warning on the label, which is a warning placed on a prescription drug’s label by the FDA and is designed to call attention to serious or life-threatening risks.</w:t>
      </w:r>
    </w:p>
    <w:p>
      <w:pPr>
        <w:spacing w:after="0" w:line="150"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We are not aware of any drugs currently in development for the treatment of NMIBC that take into consideration bladder physiology, specifically the fact that urine is produced and voided frequently, thus diluting the concentration of the active drug almost immediately.</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Solution: VesiGel</w:t>
      </w:r>
    </w:p>
    <w:p>
      <w:pPr>
        <w:spacing w:after="0" w:line="41"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VesiGel, an RTGel-based formulation of high dose MMC, is our product candidate for the treatment of low-grade NMIBC. VesiGel is administered locally using standard catheters and is designed to conform to the bladder’s anatomy and persist in the bladder despite urine flow and bladder movement. Once instilled, VesiGel converts into gel form within approximately 10 minutes at body temperature. Subsequently, upon contact with urine, VesiGel gradually dissolves and releases the active drug, MMC, over a period of several hours versus the time until first voiding, often less than an hour, for MMC in its current water-based formulation, without compromising the safety of the patient or interfering with the natural flow of urine out of the bladder. We believe that the resulting significantly increased dwell time of MMC in the bladder prolongs exposure of MMC to the tissue and therefore has the potential to chemoablate visible and unseen tumors. As a result of these properties, our goal is to develop VesiGel as a first-line chemoablation non-surgical alternative to TURBT for the treatment of low-grade NMIBC.</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Phase 2a Clinical Trial</w:t>
      </w:r>
    </w:p>
    <w:p>
      <w:pPr>
        <w:spacing w:after="0" w:line="41"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We completed a Phase 2a randomized, open-label, single-arm, active-controlled clinical trial in Europe and Israel that evaluated the safety and efficacy of VesiGel 0.06% (40 mg MMC in 64 ml gel) and VesiGel 0.12% (80 mg MMC in 64 ml gel) in low-grade NMIBC compared to the intravesical instillation of 40 mg of MMC in water (MMC</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0.1%). We commenced the trial in September 2013 and the last patient was enrolled in March 2016. In this trial, patients underwent six weekly instillations according to their assigned treatment arm. The primary endpoint of the trial used for observational purposes only is the complete response rate at the primary disease endpoint, which is evaluated approximately four weeks after the sixth weekly installation. Safety, feasibility of local treatment with VesiGel and durability of response are also being evaluated. 81 patients were enrolled, 65 of whom have been evaluated for response. Of the 65 evaluable patients in the study, 20, 22 and 23 patients were in the VesiGel 40mg MMC, VesiGel 80mg MCC and the water-based 40mg MMC control arm, respectively. The results to date indicate complete response rates at the primary evaluation time of 45%, 86% and 70% for VesiGel 40mg MMC, VesiGel 80mg MMC and water-based 40mg MMC control arm, respectively.</w:t>
      </w:r>
    </w:p>
    <w:p>
      <w:pPr>
        <w:spacing w:after="0" w:line="151"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In treating low-grade NMIBC, resection of small tumors is primarily conducted in the outpatient setting, typically without anesthesia using fulguration, a procedure that destroys the diseased area in the lining of the bladder by burning using electric current. The effectiveness of tumor resection in these cases is high and the one-year recurrence rate is estimated to be only 10%. However in patients with larger tumors and multiple tumors, standard management includes surgical removal using TURBT, a procedure conducted in the operating room in a hospital setting under general anesthesia, which may requires at least an overnight stay. TURBT is associated with increased risks and costs and higher recurrence rates that can reach up to 60%.</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When evaluating the effect of chemoablation on large tumors that would typically be treated with TURBT, we observed a more profound difference in the complete response rate between the VesiGel 80mg MMC arm compared to the water-based 40mg MMC control arm. In tumors less than or equal to 1 cm</w:t>
      </w:r>
      <w:r>
        <w:rPr>
          <w:rFonts w:ascii="Arial" w:cs="Arial" w:eastAsia="Arial" w:hAnsi="Arial"/>
          <w:sz w:val="14"/>
          <w:szCs w:val="14"/>
          <w:color w:val="auto"/>
        </w:rPr>
        <w:t>2</w:t>
      </w:r>
      <w:r>
        <w:rPr>
          <w:rFonts w:ascii="Arial" w:cs="Arial" w:eastAsia="Arial" w:hAnsi="Arial"/>
          <w:sz w:val="17"/>
          <w:szCs w:val="17"/>
          <w:color w:val="auto"/>
        </w:rPr>
        <w:t xml:space="preserve"> in size, the complete response rate at the primary evaluation time was 78% (18 patients) and 88% (16 patients) in the water-based 40mg MMC control group and the VesiGel 80mg MMC group, respectively. However, in tumors greater than 1 cm</w:t>
      </w:r>
      <w:r>
        <w:rPr>
          <w:rFonts w:ascii="Arial" w:cs="Arial" w:eastAsia="Arial" w:hAnsi="Arial"/>
          <w:sz w:val="14"/>
          <w:szCs w:val="14"/>
          <w:color w:val="auto"/>
        </w:rPr>
        <w:t>2</w:t>
      </w:r>
      <w:r>
        <w:rPr>
          <w:rFonts w:ascii="Arial" w:cs="Arial" w:eastAsia="Arial" w:hAnsi="Arial"/>
          <w:sz w:val="17"/>
          <w:szCs w:val="17"/>
          <w:color w:val="auto"/>
        </w:rPr>
        <w:t xml:space="preserve"> in size, the complete response rate at the primary evaluation time was 40% (five patients) and 83% (six patients) in the control group and VesiGel 80mg MMC group, respectively.</w:t>
      </w:r>
    </w:p>
    <w:p>
      <w:pPr>
        <w:spacing w:after="0" w:line="148"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The graph below illustrates the complete response rates by tumor size for the VesiGel 80mg MMC and water-based 40mg MMC control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121285</wp:posOffset>
            </wp:positionV>
            <wp:extent cx="3721735" cy="22383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217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We also observed a difference in the complete response rate between the VesiGel 80mg MMC arm compared to the water-based 40mg MMC control arm when evaluating the effect of chemoablation on the number of tumors. In cases of three or fewer tumors, the complete response rate at the primary evaluation time was 80% (15 patients) and 81% (16 patients) in the water-based 40mg MMC control group and the VesiGel 80mg MMC group, respectively. However, in cases of more than three tumors, cases that would typically be treated using TURBT, the complete response rate at the primary evaluation time was 50% (eight patients) and 100% (six patients) in the water-based 40mg MMC control group and the VesiGel 80mg MMC group, respectively.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40"/>
        <w:spacing w:after="0" w:line="243" w:lineRule="auto"/>
        <w:rPr>
          <w:sz w:val="20"/>
          <w:szCs w:val="20"/>
          <w:color w:val="auto"/>
        </w:rPr>
      </w:pPr>
      <w:r>
        <w:rPr>
          <w:rFonts w:ascii="Arial" w:cs="Arial" w:eastAsia="Arial" w:hAnsi="Arial"/>
          <w:sz w:val="17"/>
          <w:szCs w:val="17"/>
          <w:color w:val="auto"/>
        </w:rPr>
        <w:t>The graph below illustrates the complete response rates by tumor volume for the VesiGel 80mg MMC and water-based 40mg MMC control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121285</wp:posOffset>
            </wp:positionV>
            <wp:extent cx="3721735" cy="2238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217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To date, the incidence of AEs reported for both VesiGel groups in the study has been low and appears similar to that of the active control group, with the majority of the AEs having occurred in the VesiGel 80mg MMC group. The main observed AEs related to VesiGel have been dysuria, allergy, lower urinary tract symptoms, and hematuria, or the presence of blood in the urine. The AEs that have occurred were associated with the use of MMC, MMC intravesical instillation or the cystoscopy procedure itself. The MMC-related AEs were primarily burning sensation, rash, urgency, and dysuria, which is painful or difficult urination. These AEs appear on the MMC label as potential side effects. SAEs were also reported, including allergy, weakness, hematuria, difficult or labored breathing, lower urinary tract symptoms other than dysuria, and death. None were determined to be related to VesiGel, except for two allergy cases that were resolved.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images show cytoscopic views of complete responses in a low-grade NMIBC patient treated with VesiGel.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128270</wp:posOffset>
            </wp:positionV>
            <wp:extent cx="5179695" cy="2332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7969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The image to the left is a pre-treatment cystoscopic view of a tumor located in the bladder. The image to the right is a post-treatment cystoscopic view of the same location following VesiGel chemoablation treatment.</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24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Dose Escalation Study for VesiGel</w:t>
      </w:r>
    </w:p>
    <w:p>
      <w:pPr>
        <w:spacing w:after="0" w:line="54"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In parallel to our Phase 2a clinical trial, in the first half of 2015, we initiated a dose escalation study for patients with NMIBC in Europe and Israel to evaluate the safety and efficacy of VesiGel at dose levels higher than 80 mg MMC. To date, we have enrolled 14 patients. All patients to date have been treated with the 120 mg MMC in 60 ml gel dose, or 0.2% concentration. Of the 12 low-grade NMIBC patients evaluated to date, 10 have achieved a complete response (83%). However, at the 120 mg MMC dose level, we also observed a higher rate of MMC-related AEs than in patients treated with the 80 mg MMC dose. Five of 12 patients did not complete six weekly instillations due to their non-compliance, although three of these five patients achieved a complete response. As a result, we have determined to focus our development efforts going forward on the 80 mg MMC dose level.</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Phase 1 Clinical Trial for VesiGel</w:t>
      </w:r>
    </w:p>
    <w:p>
      <w:pPr>
        <w:spacing w:after="0" w:line="5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early 2014, we completed a Phase 1 clinical trial in India evaluating two earlier formulations of VesiGel. Patients underwent six weekly instillations according to their assigned treatment of RTGel (40 ml) formulated with either 40 mg MMC or 80 mg MMC. Following completion of the six instillations, patients were evaluated for safety and efficacy. We enrolled 19 patients, 15 of whom were evaluated for response to treatment. Of the 15 evaluable patients, seven achieved a complete response, with two out of five from the 40 mg MMC arm and five out of 10 from the 80 mg MMC arm. Patients were followed for one year after treatment. The results of this study led to the initiation of our Phase 2a clinical trial, in which we are using a higher volume of RTGel, 64 ml compared to 40 ml, in an attempt to further enhance the efficacy of the 40 mg and 80 mg MMC VesiGel dose groups, by increasing the dwell time of the drug.</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Durability of Response</w:t>
      </w:r>
    </w:p>
    <w:p>
      <w:pPr>
        <w:spacing w:after="0" w:line="54"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Per protocol, the patients in our Phase 2a and Phase 1 clinical trials were followed for 12 months after the primary disease evaluation time point. To date, 41 patients treated with different VesiGel formulations completed the 12-month follow-up period, 28 of whom achieved a complete response at the primary disease evaluation time point and did not receive any additional treatments. Of these 28 patients, 28 (100%), 25 (89%), 24 (86%) and 22 (79%) had durable complete responses at three, six, nine and 12 months, respectively.</w:t>
      </w:r>
    </w:p>
    <w:p>
      <w:pPr>
        <w:spacing w:after="0" w:line="149"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color w:val="auto"/>
        </w:rPr>
        <w:t>The graph below demonstrates the durability data for the patients treated with VesiGel who achieved a complete response at the primary disease evaluation time point and were followed for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121285</wp:posOffset>
            </wp:positionV>
            <wp:extent cx="3009900" cy="1569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0990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right="700"/>
        <w:spacing w:after="0" w:line="243" w:lineRule="auto"/>
        <w:rPr>
          <w:sz w:val="20"/>
          <w:szCs w:val="20"/>
          <w:color w:val="auto"/>
        </w:rPr>
      </w:pPr>
      <w:r>
        <w:rPr>
          <w:rFonts w:ascii="Arial" w:cs="Arial" w:eastAsia="Arial" w:hAnsi="Arial"/>
          <w:sz w:val="17"/>
          <w:szCs w:val="17"/>
          <w:color w:val="auto"/>
        </w:rPr>
        <w:t>We believe that these results support our belief that VesiGel, acting as a chemoablation agent, can replace TURBT, with the possibility of improving durability of response.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Next Steps in the Clinical Development of VesiGel</w:t>
      </w:r>
    </w:p>
    <w:p>
      <w:pPr>
        <w:spacing w:after="0" w:line="54"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We completed the Phase 2a clinical trial in the first half of 2017. We recently met with the FDA to discuss next steps in the clinical development program for VesiGel. We plan to file an IND for VesiGel in the first half of 2018 and, if accepted, to commence a U.S. based Phase 2b clinical trial for VesiGel shortly thereafter.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Vesimune: Our Product Candidate for the Treatment of High-Grade NMIBC</w:t>
      </w:r>
    </w:p>
    <w:p>
      <w:pPr>
        <w:spacing w:after="0" w:line="53"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We are developing Vesimune, our immune-modulation product candidate, for the treatment of high-grade NMIBC. A Phase 1 dose escalation study was conducted in 23 NMIBC patients and Vesimune appeared to be well-tolerated in the study. This was followed by a Phase 1 pilot study under an IND in 12 patients with CIS bladder cancer in the</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7"/>
          <w:szCs w:val="17"/>
          <w:color w:val="auto"/>
        </w:rPr>
        <w:t>United States. 40% of the 10 evaluable patients achieved a complete response, and Vesimune was observed to be well-tolerated in the trial. We intend to further investigate the use of Vesimune for the treatment of high-grade NMIBC, as a single agent or possibly combining it with VesiGel, MitoGel or with immune checkpoint inhibitors.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of Current Therapies for High-Grade NMIBC</w:t>
      </w:r>
    </w:p>
    <w:p>
      <w:pPr>
        <w:spacing w:after="0" w:line="4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High-grade NMIBC is a highly aggressive form of bladder cancer. TURBT is the initial treatment of choice for high-grade NMIBC; however, the high rates of recurrence and significant risk of progression to muscle-invasive tumors are particularly dangerous. Bladder removal can be the first treatment of choice for young, otherwise healthy patients with high-grade disease or for patients who cannot tolerate BCG. BCG, an immunotherapy-based drug, is the current standard of care as an adjuvant therapy post-resection in high-grade tumors. However, treatment with BCG is associated with severe side effects, as evidenced by a Black Box warning on the label.</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Solution: Vesimune</w:t>
      </w:r>
    </w:p>
    <w:p>
      <w:pPr>
        <w:spacing w:after="0" w:line="41"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We believe that Vesimune, our immune-modulation product candidate, could represent a valid alternative to the current standard of care for the BCG adjuvant, post-TURBT treatment of high-grade NMIBC. Vesimune’s active ingredient is Imiquimod, an imidazoquinoline, synthetic immune modulator, which specifically targets TLR7, which is expressed in bladder cancer cells. Toll-like receptors are pattern recognition receptors whose importance in stimulating innate and adaptive immunity has been established by recent studies. Toll-like receptors are able to sense microbial components as well as host-derived endogenous molecules released by injured tissues and play a critical role in defending against invading pathogens.</w:t>
      </w:r>
    </w:p>
    <w:p>
      <w:pPr>
        <w:spacing w:after="0" w:line="14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Imiquimod, in its topical formulation, is FDA approved for several indications, including superficial basal cell carcinoma. Vesimune is a liquid formulation of Imiquimod for intravesical administration that has been optimized for delivery in the urinary tract. Vesimune does not use our RTGel technology. We believe that Vesimune may elicit an adaptive immune response in the presence of released bladder cancer antigens, which may translate into a long lasting acquired immune response. We also believe the combination of Vesimune with immune checkpoint inhibitors could further increase the adaptive immune response and potentially represent a viable alternative to BCG for the adjuvant treatment of high-grade NMIBC or UTUC.</w:t>
      </w:r>
    </w:p>
    <w:p>
      <w:pPr>
        <w:spacing w:after="0" w:line="148" w:lineRule="exact"/>
        <w:rPr>
          <w:sz w:val="20"/>
          <w:szCs w:val="20"/>
          <w:color w:val="auto"/>
        </w:rPr>
      </w:pPr>
    </w:p>
    <w:p>
      <w:pPr>
        <w:ind w:left="200" w:right="280"/>
        <w:spacing w:after="0" w:line="243" w:lineRule="auto"/>
        <w:rPr>
          <w:sz w:val="20"/>
          <w:szCs w:val="20"/>
          <w:color w:val="auto"/>
        </w:rPr>
      </w:pPr>
      <w:r>
        <w:rPr>
          <w:rFonts w:ascii="Arial" w:cs="Arial" w:eastAsia="Arial" w:hAnsi="Arial"/>
          <w:sz w:val="17"/>
          <w:szCs w:val="17"/>
          <w:color w:val="auto"/>
        </w:rPr>
        <w:t>We have obtained Orphan Drug Designation for Vesimune for the treatment of CIS in the bladder. We have an active IND for Vesimune, which has been effective since 2013.</w:t>
      </w:r>
    </w:p>
    <w:p>
      <w:pPr>
        <w:spacing w:after="0" w:line="144"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We acquired Vesimune from Telormedix SA, a private Swiss-based biotechnology company, in the fourth quarter of 2015. Telormedix conducted all of the previous studies related to Vesimune, including the Phase 1 and Phase 1b studies.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Vesimune Clinical Results and Post-Study Follow-Up</w:t>
      </w:r>
    </w:p>
    <w:p>
      <w:pPr>
        <w:spacing w:after="0" w:line="41"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Vesimune was evaluated in a Phase 1 dose escalation study that enrolled 23 patients diagnosed with NMIBC. Vesimune was well-tolerated at the doses used. Subsequently, a Phase 1b study of Vesimune was conducted under an IND in patients with CIS bladder cancer in the United States. The Phase 1b study was commenced in April 2013 and completed in February 2014. Patients were dosed with Vesimune 0.4% weekly for six weeks. The study was designed to evaluate the safety and preliminary efficacy of Vesimune in CIS patients. The primary efficacy endpoint for observational purposes only was the rate of complete response at five to seven weeks after the sixth weekly instillation. Twelve patients were enrolled into the pilot study, of which 10 patients were evaluable for response. Four of the 10 patients, or 40%, achieved a complete response. Vesimune was observed to be well tolerated in this trial. The most common AEs related to Vesimune were urination urgency, dysuria, fatigue, urinary tract infections and hematuria. One SAE, a urinary tract infection, was observed and was resolved. For observational purposes, patients were followed for an additional six month period beyond the completion of the study, referred to as the Post-Study Follow Up. Of the four patients who had achieved a complete response with Vesimune in the study, two patients remained disease free at the end of the Post-Study Follow Up while receiving no additional therapy. The two other patients who had achieved a complete response with Vesimune in the study also remained disease free at the end of the Post-Study Follow Up while receiving BCG therapy during this period.</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chart below represents the complete response rates for patients receiving only Vesimune: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128270</wp:posOffset>
            </wp:positionV>
            <wp:extent cx="3138805" cy="25298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3880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Next Steps in the Clinical Development of Vesimune</w:t>
      </w:r>
    </w:p>
    <w:p>
      <w:pPr>
        <w:spacing w:after="0" w:line="41"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7"/>
          <w:szCs w:val="17"/>
          <w:color w:val="auto"/>
        </w:rPr>
        <w:t>We intend to further investigate the use of Vesimune for the treatment of high-grade NMIBC, as a single agent or possibly combined with MitoGel, VesiGel or other immunotherapy agents. Such a combination study would evaluate whether this multimodality approach, harnessing the power of the immune system together with the chemoablation properties of VesiGel or MitoGel, can provide a safe and effective approach for the treatment of high-grade urothelial tumors.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Preclinical Programs</w:t>
      </w:r>
    </w:p>
    <w:p>
      <w:pPr>
        <w:spacing w:after="0" w:line="93" w:lineRule="exact"/>
        <w:rPr>
          <w:sz w:val="20"/>
          <w:szCs w:val="20"/>
          <w:color w:val="auto"/>
        </w:rPr>
      </w:pPr>
    </w:p>
    <w:p>
      <w:pPr>
        <w:ind w:left="200" w:right="300"/>
        <w:spacing w:after="0" w:line="238" w:lineRule="auto"/>
        <w:rPr>
          <w:sz w:val="20"/>
          <w:szCs w:val="20"/>
          <w:color w:val="auto"/>
        </w:rPr>
      </w:pPr>
      <w:r>
        <w:rPr>
          <w:rFonts w:ascii="Arial" w:cs="Arial" w:eastAsia="Arial" w:hAnsi="Arial"/>
          <w:sz w:val="17"/>
          <w:szCs w:val="17"/>
          <w:color w:val="auto"/>
        </w:rPr>
        <w:t>Using our proprietary RTGel formulation technology, we are pursuing additional preclinical programs to expand and enhance our uro-oncology product portfolio. In particular, we are pursuing preclinical programs for high-grade bladder cancer and high-grade UTUC using checkpoint inhibitors such as an anti PD-L1 or an anti CTLA-4.</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License Agreement with Allergan</w:t>
      </w:r>
    </w:p>
    <w:p>
      <w:pPr>
        <w:spacing w:after="0" w:line="5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In October 2016, we entered into the Allergan Agreement with Allergan and granted Allergan an exclusive worldwide license to research, develop, manufacture and commercialize pharmaceutical products that contain RTGel and clostridial toxins (including BOTOX), alone or in combination with certain other active ingredients, to which we refer as the Licensed Products, which are approved for the treatment of adults with overactive bladder who cannot use or do not adequately respond to anticholinergics. Additionally, we granted Allergan a non-exclusive, worldwide license to use certain of our trademarks as required for Allergan to practice its exclusive license with respect to the Licensed Products.</w:t>
      </w:r>
    </w:p>
    <w:p>
      <w:pPr>
        <w:spacing w:after="0" w:line="150" w:lineRule="exact"/>
        <w:rPr>
          <w:sz w:val="20"/>
          <w:szCs w:val="20"/>
          <w:color w:val="auto"/>
        </w:rPr>
      </w:pPr>
    </w:p>
    <w:p>
      <w:pPr>
        <w:ind w:left="200" w:right="260"/>
        <w:spacing w:after="0" w:line="236" w:lineRule="auto"/>
        <w:rPr>
          <w:sz w:val="20"/>
          <w:szCs w:val="20"/>
          <w:color w:val="auto"/>
        </w:rPr>
      </w:pPr>
      <w:r>
        <w:rPr>
          <w:rFonts w:ascii="Arial" w:cs="Arial" w:eastAsia="Arial" w:hAnsi="Arial"/>
          <w:sz w:val="17"/>
          <w:szCs w:val="17"/>
          <w:color w:val="auto"/>
        </w:rPr>
        <w:t>Under the Allergan Agreement, Allergan is solely responsible, at its expense, for developing the Licensed Products and obtaining all regulatory approvals for Licensed Products worldwide. Allergan is also solely responsible, at its expense, for commercializing the Licensed Products worldwide after receiving the regulatory approval to do so. Allergan is required to use commercially reasonable efforts to develop and commercialize the Licensed Products for overactive bladder in certain major market countries.</w:t>
      </w:r>
    </w:p>
    <w:p>
      <w:pPr>
        <w:spacing w:after="0" w:line="149"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will supply Allergan with certain quantities of RTGel for development of Licensed Products through Phase 2 clinical trials using BOTOX together with RTGel in patients with overactive bladder, at Allergan’s request and expense. Allergan has the right to reduce the next milestone payment to us if there is a material supply failure from us. Prior to completion of the first Phase 2 clinical trial, Allergan has the right to request that we transfer to Allergan our manufacturing process for RTGel and Allergan will assume the responsibility to manufacture RTGel and Licensed Product for its own development and commercialization activities.</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Allergan paid us a nonrefundable upfront license fee of $17.5 million upon signing the agreement, and, in the third quarter of 2017, we received an additional $7.5 million milestone payment upon the submission by Allergan of an IND to the FDA for a Licensed Product. In October 2017, we announced that Allergan had begun a Phase 2 study of RTGel in combination with BOTOX for the treatment of overactive bladder.</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Further, we are eligible to receive additional material milestone payments of up to an aggregate of $200.0 million upon the successful completion</w:t>
      </w:r>
    </w:p>
    <w:p>
      <w:pPr>
        <w:ind w:left="200"/>
        <w:spacing w:after="0" w:line="232" w:lineRule="auto"/>
        <w:rPr>
          <w:sz w:val="20"/>
          <w:szCs w:val="20"/>
          <w:color w:val="auto"/>
        </w:rPr>
      </w:pPr>
      <w:r>
        <w:rPr>
          <w:rFonts w:ascii="Arial" w:cs="Arial" w:eastAsia="Arial" w:hAnsi="Arial"/>
          <w:sz w:val="17"/>
          <w:szCs w:val="17"/>
          <w:color w:val="auto"/>
        </w:rPr>
        <w:t>of certain development, regulatory and commercial milestones, including $20.0 million upon initiation of a Phase 3 clinical trial for a Licensed</w:t>
      </w:r>
    </w:p>
    <w:p>
      <w:pPr>
        <w:ind w:left="200"/>
        <w:spacing w:after="0" w:line="232" w:lineRule="auto"/>
        <w:rPr>
          <w:sz w:val="20"/>
          <w:szCs w:val="20"/>
          <w:color w:val="auto"/>
        </w:rPr>
      </w:pPr>
      <w:r>
        <w:rPr>
          <w:rFonts w:ascii="Arial" w:cs="Arial" w:eastAsia="Arial" w:hAnsi="Arial"/>
          <w:sz w:val="17"/>
          <w:szCs w:val="17"/>
          <w:color w:val="auto"/>
        </w:rPr>
        <w:t>Product for overactive bladder; $15.0 million upon initiation of a Phase 3 clinical trial for a Licensed Product for a specified second indication;</w:t>
      </w:r>
    </w:p>
    <w:p>
      <w:pPr>
        <w:ind w:left="200"/>
        <w:spacing w:after="0" w:line="232" w:lineRule="auto"/>
        <w:rPr>
          <w:sz w:val="20"/>
          <w:szCs w:val="20"/>
          <w:color w:val="auto"/>
        </w:rPr>
      </w:pPr>
      <w:r>
        <w:rPr>
          <w:rFonts w:ascii="Arial" w:cs="Arial" w:eastAsia="Arial" w:hAnsi="Arial"/>
          <w:sz w:val="17"/>
          <w:szCs w:val="17"/>
          <w:color w:val="auto"/>
        </w:rPr>
        <w:t>$50.0 million and $25.0 million upon the first commercial sale of a Licensed Product for overactive bladder in the United States and the European</w:t>
      </w:r>
    </w:p>
    <w:p>
      <w:pPr>
        <w:ind w:left="200"/>
        <w:spacing w:after="0" w:line="232" w:lineRule="auto"/>
        <w:rPr>
          <w:sz w:val="20"/>
          <w:szCs w:val="20"/>
          <w:color w:val="auto"/>
        </w:rPr>
      </w:pPr>
      <w:r>
        <w:rPr>
          <w:rFonts w:ascii="Arial" w:cs="Arial" w:eastAsia="Arial" w:hAnsi="Arial"/>
          <w:sz w:val="17"/>
          <w:szCs w:val="17"/>
          <w:color w:val="auto"/>
        </w:rPr>
        <w:t>Union, respectively; $25.0 million and $15.0 million upon the first commercial sale of a Licensed Product for a specified second indication in the</w:t>
      </w:r>
    </w:p>
    <w:p>
      <w:pPr>
        <w:ind w:left="200"/>
        <w:spacing w:after="0" w:line="232" w:lineRule="auto"/>
        <w:rPr>
          <w:sz w:val="20"/>
          <w:szCs w:val="20"/>
          <w:color w:val="auto"/>
        </w:rPr>
      </w:pPr>
      <w:r>
        <w:rPr>
          <w:rFonts w:ascii="Arial" w:cs="Arial" w:eastAsia="Arial" w:hAnsi="Arial"/>
          <w:sz w:val="17"/>
          <w:szCs w:val="17"/>
          <w:color w:val="auto"/>
        </w:rPr>
        <w:t>United States and the European Union, respectively; and $50.0 million upon net sales of all Licensed Products of $500.0 million. Allergan will pay</w:t>
      </w:r>
    </w:p>
    <w:p>
      <w:pPr>
        <w:ind w:left="200"/>
        <w:spacing w:after="0" w:line="232" w:lineRule="auto"/>
        <w:rPr>
          <w:sz w:val="20"/>
          <w:szCs w:val="20"/>
          <w:color w:val="auto"/>
        </w:rPr>
      </w:pPr>
      <w:r>
        <w:rPr>
          <w:rFonts w:ascii="Arial" w:cs="Arial" w:eastAsia="Arial" w:hAnsi="Arial"/>
          <w:sz w:val="17"/>
          <w:szCs w:val="17"/>
          <w:color w:val="auto"/>
        </w:rPr>
        <w:t>us a tiered royalty in the low single digits based on worldwide annual net sales of Licensed Products, subject to certain reductions for the market</w:t>
      </w:r>
    </w:p>
    <w:p>
      <w:pPr>
        <w:ind w:left="200"/>
        <w:spacing w:after="0" w:line="232" w:lineRule="auto"/>
        <w:rPr>
          <w:sz w:val="20"/>
          <w:szCs w:val="20"/>
          <w:color w:val="auto"/>
        </w:rPr>
      </w:pPr>
      <w:r>
        <w:rPr>
          <w:rFonts w:ascii="Arial" w:cs="Arial" w:eastAsia="Arial" w:hAnsi="Arial"/>
          <w:sz w:val="17"/>
          <w:szCs w:val="17"/>
          <w:color w:val="auto"/>
        </w:rPr>
        <w:t>entry of competing products and/or loss of our patent coverage of Licensed Products. We are responsible for payments to any third party for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certain RTGel-related third party intellectual properties.</w:t>
      </w:r>
    </w:p>
    <w:p>
      <w:pPr>
        <w:spacing w:after="0" w:line="156" w:lineRule="exact"/>
        <w:rPr>
          <w:sz w:val="20"/>
          <w:szCs w:val="20"/>
          <w:color w:val="auto"/>
        </w:rPr>
      </w:pPr>
    </w:p>
    <w:p>
      <w:pPr>
        <w:ind w:left="200" w:right="240"/>
        <w:spacing w:after="0" w:line="235" w:lineRule="auto"/>
        <w:rPr>
          <w:sz w:val="20"/>
          <w:szCs w:val="20"/>
          <w:color w:val="auto"/>
        </w:rPr>
      </w:pPr>
      <w:r>
        <w:rPr>
          <w:rFonts w:ascii="Arial" w:cs="Arial" w:eastAsia="Arial" w:hAnsi="Arial"/>
          <w:sz w:val="17"/>
          <w:szCs w:val="17"/>
          <w:color w:val="auto"/>
        </w:rPr>
        <w:t>Under the Allergan Agreement, Allergan granted us a non-exclusive, sublicensable, fully paid-up, perpetual, worldwide license under any improvements Allergan makes to the composition, formulation, or manufacture of RTGel for the research, development, manufacture and commercialization of any product containing RTGel and any active ingredient (other than a clostridial toxin) for all indications other than indications covered by the agreement and an exclusive, sublicensable, royalty-bearing (in low single digits), perpetual worldwide license under such improvements for use in the prevention or treatment of oncology indications.</w:t>
      </w:r>
    </w:p>
    <w:p>
      <w:pPr>
        <w:spacing w:after="0" w:line="150"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plan to continue to research, develop and commercialize other products combining RTGel with other active ingredients, except that there are certain restrictions with respect to the overactive bladder and neurogenic detrusor overactivity indications. Neurogenic detrusor overactivity is when a known neurologic abnormality impairs the signaling systems between the bladder and the central nervous system, and the brain is unable to inhibit the detrusor muscles controlling urination.</w:t>
      </w:r>
    </w:p>
    <w:p>
      <w:pPr>
        <w:spacing w:after="0" w:line="149"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 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patent estate includes patents and applications with claims directed to our MitoGel, VesiGel, RTGel, BotuGel and Vesimune product candidates, as well as broader claims for potential future product candidates. On a worldwide basis, our patent estate includes more than 70 issued patents and pending patent applications for our product candidates as well as for new treatment methods, manufacturing process, novel intravesical devices and systems and future combination products that are mainly designed to treat internal cavity cancers. In the United States, we currently have 12 issued patents and more than 45 patent applications filed worldwide that directed to methods, systems and compositions for treating internal cavity cancers, and in particular, urinary tract cancer and bladder cancer.</w:t>
      </w:r>
    </w:p>
    <w:p>
      <w:pPr>
        <w:spacing w:after="0" w:line="148"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These U.S.-issued patents are expected to remain in effect until between 2024 and 2035. Our worldwide intellectual property portfolio includes four pending patent applications relating to BotuGel in the European Union, China and Israel, as well as one granted patent in each of the United States and Russia. In addition, we have two</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3" w:lineRule="auto"/>
        <w:rPr>
          <w:sz w:val="20"/>
          <w:szCs w:val="20"/>
          <w:color w:val="auto"/>
        </w:rPr>
      </w:pPr>
      <w:r>
        <w:rPr>
          <w:rFonts w:ascii="Arial" w:cs="Arial" w:eastAsia="Arial" w:hAnsi="Arial"/>
          <w:sz w:val="17"/>
          <w:szCs w:val="17"/>
          <w:color w:val="auto"/>
        </w:rPr>
        <w:t>granted patents related to Vesimune in the United States as well as two granted patents in the European Union, two granted patents in Japan, and one granted patent in each of Hong Kong and Brazil, each of which are expected to remain in effect until 2030. In addition to the issued patents mentioned above, our portfolio includes pending patent applications relating to Vesimune in the European Union, Canada, Brazil, Hong Kong and Israel. Moreover, we hold five granted patents in the United States, four in Europe, one in each of Israel, Japan, New Zealand and Australia, as well as pending patent applications filed worldwide that relate to novel formulations of phospholipid drug analogs (saturated lipid conjugate compositions) for the treatment of urinary tract cancer. Our patents and patent applications mainly relate to hydrogel-based pharmaceutical compositions for optimal delivery of any drug to the internal cavity such as a bladder and/or urinary tract; the method for treating urothelial cancer using hydrogel based composition; the method for treating overactive bladder topically without a need for injections; special catheters and in-dwelling ureter-catheter systems for optimal delivery of a drug into the renal cavity; pharmaceutical compositions comprising an imidazoquinolin-amine (specifically imiquimod) and lactic acid for treating bladder cancer diseases, and novel phospholipid drug analogs for treating cancer or infections. In addition to patents, we have filed for trademark registration with the United States Patent and Trademark Office, or the USPTO, for “MitoGel,” “VesiGel,” “RTGel” and “BotuGel.” Furthermore, we rely upon trade secrets, know-how and continuing technological innovation to develop and maintain our competitive position. Preparing and filing patent applications is a joint endeavor of our research and development team and our in-house and external patent attorneys. Our patent attorneys conduct patent prior-art searches and then analyze the data in order to provide our research and development team with recommendations on a routine basis. This results in:</w:t>
      </w:r>
    </w:p>
    <w:p>
      <w:pPr>
        <w:spacing w:after="0" w:line="192" w:lineRule="exact"/>
        <w:rPr>
          <w:sz w:val="20"/>
          <w:szCs w:val="20"/>
          <w:color w:val="auto"/>
        </w:rPr>
      </w:pPr>
    </w:p>
    <w:p>
      <w:pPr>
        <w:ind w:left="960" w:hanging="432"/>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protecting our product candidates that are under development;</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encouraging pharmaceutical companies to negotiate development agreements with us;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preventing competitors from attempting to design-around our inventions.</w:t>
      </w:r>
    </w:p>
    <w:p>
      <w:pPr>
        <w:spacing w:after="0" w:line="156" w:lineRule="exact"/>
        <w:rPr>
          <w:sz w:val="20"/>
          <w:szCs w:val="20"/>
          <w:color w:val="auto"/>
        </w:rPr>
      </w:pPr>
    </w:p>
    <w:p>
      <w:pPr>
        <w:ind w:left="200" w:right="60"/>
        <w:spacing w:after="0" w:line="236" w:lineRule="auto"/>
        <w:rPr>
          <w:sz w:val="20"/>
          <w:szCs w:val="20"/>
          <w:color w:val="auto"/>
        </w:rPr>
      </w:pPr>
      <w:r>
        <w:rPr>
          <w:rFonts w:ascii="Arial" w:cs="Arial" w:eastAsia="Arial" w:hAnsi="Arial"/>
          <w:sz w:val="17"/>
          <w:szCs w:val="17"/>
          <w:color w:val="auto"/>
        </w:rPr>
        <w:t>We submit patent applications directly with the USPTO as provisional patent applications. We would then continue filing under the Patent Cooperation Treaty, or PCT, which is an international patent law treaty that provides a unified procedure for filing a single initial patent application to seek patent protection for an invention simultaneously in any one of the designated member states. Although a PCT application does not issue as a patent, it allows the applicant to seek protection in any of the member states through national-phase applications.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The standard of care for treating NMIBC patients is the TURBT procedure for tumor resection, followed by post-operative adjuvant chemotherapy or immunotherapy instillations, administered to prevent reimplantation of the cancerous cells. The adjuvant agents used are predominately generic treatments and regimens. Only four drugs have been approved for bladder cancer: Thiotepa, which was approved by the FDA in 1959; BCG, which was approved by the FDA in 1989; Valstar, which was approved by the FDA in 1998; and Tecentriq, which was approved by the FDA in 2016. Despite the approval of these drugs, there remain high unmet needs in the bladder cancer market. BCG has been used to treat patients with CIS and high-grade T1 since 1990. Thiotepa and Valstar are rarely used, MMC is used off-label as the standard adjuvant treatment in the post-TURBT setting for low-grade NMIBC patients and Tecentriq is used to treat locally advanced or metastic urothelial carcinoma only. Off-label means that while the FDA has not approved MMC as adjuvant treatment in the post-TURBT setting for low-grade NMIBC patients, physicians are permitted to utilize it as standard of care for this indication as part of medical practice. However, off-label usage as a standard of care does not change the FDA’s approval criteria and does not suggest that FDA approval is more likely than for other investigational drugs. In the UTUC space, there are no approved drugs used to treat the disease. Tumor resection surgeries are conducted in some cases of low-grade UTUC; however, complete kidney and upper urinary tract removal is the standard of care for frequently recurring UTUC.</w:t>
      </w:r>
    </w:p>
    <w:p>
      <w:pPr>
        <w:spacing w:after="0" w:line="154"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7"/>
          <w:szCs w:val="17"/>
          <w:color w:val="auto"/>
        </w:rPr>
        <w:t>There are several products in the development pipeline, most of which are second- or third line-treatments mainly targeted for high-grade NMIBC patients who have failed BCG treatment. All are targeted to reduce recurrence, but none are developed to reduce the need for TURBT and other tumor resection therapies.</w:t>
      </w:r>
    </w:p>
    <w:p>
      <w:pPr>
        <w:spacing w:after="0" w:line="148" w:lineRule="exact"/>
        <w:rPr>
          <w:sz w:val="20"/>
          <w:szCs w:val="20"/>
          <w:color w:val="auto"/>
        </w:rPr>
      </w:pPr>
    </w:p>
    <w:p>
      <w:pPr>
        <w:ind w:left="200" w:right="460"/>
        <w:spacing w:after="0" w:line="238" w:lineRule="auto"/>
        <w:rPr>
          <w:sz w:val="20"/>
          <w:szCs w:val="20"/>
          <w:color w:val="auto"/>
        </w:rPr>
      </w:pPr>
      <w:r>
        <w:rPr>
          <w:rFonts w:ascii="Arial" w:cs="Arial" w:eastAsia="Arial" w:hAnsi="Arial"/>
          <w:sz w:val="17"/>
          <w:szCs w:val="17"/>
          <w:color w:val="auto"/>
        </w:rPr>
        <w:t>We are aware that other companies, such as Merck Sharp &amp; Dohme Corp., Viventia Bio Inc., Telesta Therapeutics Inc., Heat Biologics, Inc., Viralytics Limited, AADi, LLC, Biocancell Ltd., Halozyme Therapeutics, Inc., Astellas Pharma Inc., Cold Genesys, Inc., Altor BioScience Corporation, FKD Therapies Oy, Nippon Kayaku Co., Ltd,</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Spectrum Pharmaceuticals, Inc., Taris Biomedical LLC and Handok Inc., are conducting or have recently conducted clinical trials for product candidates for the treatment of low-grade and high-grade NMIBC, including CIS. In addition, we are aware of several pharmaceutical companies that are developing drug candidates for muscle-invasive bladder cancer. The FDA approved Tecentriq (atezolizumab) for the treatment of locally advanced or metastic urothelial carcinoma, a form muscle invasive bladder cancer, on May 18, 2016. We do not know whether these potential competitors are already developing, or plan to develop, low-grade UTUC or high-grade UTUC treatments or other indications that we are pursuing.</w:t>
      </w:r>
    </w:p>
    <w:p>
      <w:pPr>
        <w:spacing w:after="0" w:line="148"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In addition, we face competition from existing standards of treatment, including TURBT, which is surgery for bladder cancer. If we are not able to demonstrate that our product candidates are at least as safe and effective as such courses of treatment, medical professionals may not adopt our product candidates to replace the existing standard of care, which is a first-line tumor surgical procedure for both bladder cancer and UTUC.</w:t>
      </w:r>
    </w:p>
    <w:p>
      <w:pPr>
        <w:spacing w:after="0" w:line="148" w:lineRule="exact"/>
        <w:rPr>
          <w:sz w:val="20"/>
          <w:szCs w:val="20"/>
          <w:color w:val="auto"/>
        </w:rPr>
      </w:pPr>
    </w:p>
    <w:p>
      <w:pPr>
        <w:ind w:left="200" w:right="220"/>
        <w:spacing w:after="0" w:line="235"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150" w:lineRule="exact"/>
        <w:rPr>
          <w:sz w:val="20"/>
          <w:szCs w:val="20"/>
          <w:color w:val="auto"/>
        </w:rPr>
      </w:pPr>
    </w:p>
    <w:p>
      <w:pPr>
        <w:jc w:val="both"/>
        <w:ind w:left="200" w:right="160"/>
        <w:spacing w:after="0" w:line="236" w:lineRule="auto"/>
        <w:rPr>
          <w:sz w:val="20"/>
          <w:szCs w:val="20"/>
          <w:color w:val="auto"/>
        </w:rPr>
      </w:pPr>
      <w:r>
        <w:rPr>
          <w:rFonts w:ascii="Arial" w:cs="Arial" w:eastAsia="Arial" w:hAnsi="Arial"/>
          <w:sz w:val="17"/>
          <w:szCs w:val="17"/>
          <w:color w:val="auto"/>
        </w:rPr>
        <w:t>These potential competitors may therefore introduce competing products without our prior knowledge and without our ability to take preemptive measures in anticipation of their commercial launch.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left="200" w:right="60"/>
        <w:spacing w:after="0" w:line="236"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96" w:lineRule="exact"/>
        <w:rPr>
          <w:sz w:val="20"/>
          <w:szCs w:val="20"/>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nonclinical laboratory and animal tests that must be conducted in accordance with good laboratory practices, or GLPs;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submission of an IND, which must become effective before clinical trials may begin;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for each clinical site or centrally before each trial may be initiated;</w:t>
      </w:r>
    </w:p>
    <w:p>
      <w:pPr>
        <w:spacing w:after="0" w:line="34" w:lineRule="exact"/>
        <w:rPr>
          <w:rFonts w:ascii="MS PGothic" w:cs="MS PGothic" w:eastAsia="MS PGothic" w:hAnsi="MS PGothic"/>
          <w:sz w:val="13"/>
          <w:szCs w:val="13"/>
          <w:color w:val="auto"/>
        </w:rPr>
      </w:pPr>
    </w:p>
    <w:p>
      <w:pPr>
        <w:ind w:left="960" w:right="20" w:hanging="432"/>
        <w:spacing w:after="0" w:line="243" w:lineRule="auto"/>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adequate and well-controlled human clinical trials to establish the safety and efficacy of the proposed product candidate for its intended use, performed in accordance with good clinical practices, or GCPs;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submission to the FDA of an NDA;</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pre-approval inspection of manufacturing facilities and selected clinical investigators for their compliance with cGMP and GCPs;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FDA approval of an NDA to permit commercial marketing for particular indications for use.</w:t>
      </w:r>
    </w:p>
    <w:p>
      <w:pPr>
        <w:spacing w:after="0" w:line="156"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Prior to the commencement of marketing of controlled substances, the DEA must also determine the controlled substance schedule, taking into account the recommendation of the FDA.</w:t>
      </w:r>
    </w:p>
    <w:p>
      <w:pPr>
        <w:spacing w:after="0" w:line="144"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The testing and approval process requires substantial time, effort and financial resources. Preclinical studies include laboratory evaluation of drug substance chemistry, pharmacology, toxicity and drug product formulation, as well as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60"/>
        <w:spacing w:after="0" w:line="233" w:lineRule="auto"/>
        <w:rPr>
          <w:sz w:val="20"/>
          <w:szCs w:val="20"/>
          <w:color w:val="auto"/>
        </w:rPr>
      </w:pPr>
      <w:r>
        <w:rPr>
          <w:rFonts w:ascii="Arial" w:cs="Arial" w:eastAsia="Arial" w:hAnsi="Arial"/>
          <w:sz w:val="17"/>
          <w:szCs w:val="17"/>
          <w:color w:val="auto"/>
        </w:rPr>
        <w:t>animal studies to assess potential safety and efficacy. Prior to commencing the first clinical trial with a product candidate, we must submit the results of the preclinical tests and preclinical literature, together with manufacturing information, analytical data and any available clinical data or literature, among other things,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general, for purposes of NDA approval, human clinical trials are typically conducted in three sequential phases that may overlap.</w:t>
      </w:r>
    </w:p>
    <w:p>
      <w:pPr>
        <w:spacing w:after="0" w:line="196" w:lineRule="exact"/>
        <w:rPr>
          <w:sz w:val="20"/>
          <w:szCs w:val="20"/>
          <w:color w:val="auto"/>
        </w:rPr>
      </w:pPr>
    </w:p>
    <w:p>
      <w:pPr>
        <w:ind w:left="960" w:right="380" w:hanging="432"/>
        <w:spacing w:after="0" w:line="238" w:lineRule="auto"/>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trials may also be used to gain an initial indication of product effectiveness.</w:t>
      </w:r>
    </w:p>
    <w:p>
      <w:pPr>
        <w:spacing w:after="0" w:line="26" w:lineRule="exact"/>
        <w:rPr>
          <w:rFonts w:ascii="MS PGothic" w:cs="MS PGothic" w:eastAsia="MS PGothic" w:hAnsi="MS PGothic"/>
          <w:sz w:val="13"/>
          <w:szCs w:val="13"/>
          <w:color w:val="auto"/>
        </w:rPr>
      </w:pPr>
    </w:p>
    <w:p>
      <w:pPr>
        <w:ind w:left="960" w:hanging="432"/>
        <w:spacing w:after="0" w:line="238" w:lineRule="auto"/>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expensive Phase 3 clinical trials.</w:t>
      </w:r>
    </w:p>
    <w:p>
      <w:pPr>
        <w:spacing w:after="0" w:line="26" w:lineRule="exact"/>
        <w:rPr>
          <w:rFonts w:ascii="MS PGothic" w:cs="MS PGothic" w:eastAsia="MS PGothic" w:hAnsi="MS PGothic"/>
          <w:sz w:val="13"/>
          <w:szCs w:val="13"/>
          <w:color w:val="auto"/>
        </w:rPr>
      </w:pPr>
    </w:p>
    <w:p>
      <w:pPr>
        <w:ind w:left="960" w:right="60" w:hanging="432"/>
        <w:spacing w:after="0" w:line="235" w:lineRule="auto"/>
        <w:tabs>
          <w:tab w:leader="none" w:pos="96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Phase 3—These clinical trials are undertaken in larger subject populations to provide statistically significant evidence of clinical efficacy and to further test for safety in an expanded subject population at multiple clinical trial sites. Evidence is considered to be statistically significant when the probability of the result occurring by random chance, rather than from the efficacy of the treatment, is sufficiently low.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48" w:lineRule="exact"/>
        <w:rPr>
          <w:sz w:val="20"/>
          <w:szCs w:val="20"/>
          <w:color w:val="auto"/>
        </w:rPr>
      </w:pPr>
    </w:p>
    <w:p>
      <w:pPr>
        <w:ind w:left="200" w:right="280"/>
        <w:spacing w:after="0" w:line="238" w:lineRule="auto"/>
        <w:rPr>
          <w:sz w:val="20"/>
          <w:szCs w:val="20"/>
          <w:color w:val="auto"/>
        </w:rPr>
      </w:pPr>
      <w:r>
        <w:rPr>
          <w:rFonts w:ascii="Arial" w:cs="Arial" w:eastAsia="Arial" w:hAnsi="Arial"/>
          <w:sz w:val="17"/>
          <w:szCs w:val="17"/>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4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Federal Food, Drug and Cosmetic Act, or the FDCA. Progress reports detailing the results of the clinical trials must be submitted at least annually to the FDA and the IRB and more frequently if SAEs occur.</w:t>
      </w:r>
    </w:p>
    <w:p>
      <w:pPr>
        <w:spacing w:after="0" w:line="150"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505(b)(2) Regulatory Approval Process</w:t>
      </w:r>
    </w:p>
    <w:p>
      <w:pPr>
        <w:spacing w:after="0" w:line="4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Section 505(b)(2) of the FDCA, or 505(b)(2),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efficacy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Orange Book Listing</w:t>
      </w:r>
    </w:p>
    <w:p>
      <w:pPr>
        <w:spacing w:after="0" w:line="41"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53"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Approved Drug Products with Therapeutic Equivalence Evaluations, also known as the Orange Book. These products may be cited by potential competitors in support of approval of an ANDA or 505(b)(2) NDA.</w:t>
      </w:r>
    </w:p>
    <w:p>
      <w:pPr>
        <w:spacing w:after="0" w:line="149"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Any applicant who files an ANDA seeking approval of a generic equivalent version of a drug listed in the Orange Book or a 505(b)(2) NDA referencing a drug listed in the Orange Book must certify to the FDA that (1) no patent information on the drug product that is the subject of the application has been submitted to the FDA; (2) such</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w:t>
      </w:r>
    </w:p>
    <w:p>
      <w:pPr>
        <w:spacing w:after="0" w:line="148" w:lineRule="exact"/>
        <w:rPr>
          <w:sz w:val="20"/>
          <w:szCs w:val="20"/>
          <w:color w:val="auto"/>
        </w:rPr>
      </w:pPr>
    </w:p>
    <w:p>
      <w:pPr>
        <w:ind w:left="200" w:right="100"/>
        <w:spacing w:after="0" w:line="233" w:lineRule="auto"/>
        <w:rPr>
          <w:sz w:val="20"/>
          <w:szCs w:val="20"/>
          <w:color w:val="auto"/>
        </w:rPr>
      </w:pPr>
      <w:r>
        <w:rPr>
          <w:rFonts w:ascii="Arial" w:cs="Arial" w:eastAsia="Arial" w:hAnsi="Arial"/>
          <w:sz w:val="17"/>
          <w:szCs w:val="17"/>
          <w:color w:val="auto"/>
        </w:rPr>
        <w:t>If the competitor has provided a Paragraph IV certification to the FDA, the competitor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Exclusivity</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w:t>
      </w:r>
      <w:r>
        <w:rPr>
          <w:rFonts w:ascii="Arial" w:cs="Arial" w:eastAsia="Arial" w:hAnsi="Arial"/>
          <w:sz w:val="17"/>
          <w:szCs w:val="17"/>
          <w:i w:val="1"/>
          <w:iCs w:val="1"/>
          <w:color w:val="auto"/>
        </w:rPr>
        <w:t>i.e.</w:t>
      </w:r>
      <w:r>
        <w:rPr>
          <w:rFonts w:ascii="Arial" w:cs="Arial" w:eastAsia="Arial" w:hAnsi="Arial"/>
          <w:sz w:val="17"/>
          <w:szCs w:val="17"/>
          <w:color w:val="auto"/>
        </w:rPr>
        <w:t>, formed by the chemical interaction of two compounds), chelate (</w:t>
      </w:r>
      <w:r>
        <w:rPr>
          <w:rFonts w:ascii="Arial" w:cs="Arial" w:eastAsia="Arial" w:hAnsi="Arial"/>
          <w:sz w:val="17"/>
          <w:szCs w:val="17"/>
          <w:i w:val="1"/>
          <w:iCs w:val="1"/>
          <w:color w:val="auto"/>
        </w:rPr>
        <w:t>i.e.</w:t>
      </w:r>
      <w:r>
        <w:rPr>
          <w:rFonts w:ascii="Arial" w:cs="Arial" w:eastAsia="Arial" w:hAnsi="Arial"/>
          <w:sz w:val="17"/>
          <w:szCs w:val="17"/>
          <w:color w:val="auto"/>
        </w:rPr>
        <w:t>, a chemical compound), or clathrate (</w:t>
      </w:r>
      <w:r>
        <w:rPr>
          <w:rFonts w:ascii="Arial" w:cs="Arial" w:eastAsia="Arial" w:hAnsi="Arial"/>
          <w:sz w:val="17"/>
          <w:szCs w:val="17"/>
          <w:i w:val="1"/>
          <w:iCs w:val="1"/>
          <w:color w:val="auto"/>
        </w:rPr>
        <w:t>i.e.</w:t>
      </w:r>
      <w:r>
        <w:rPr>
          <w:rFonts w:ascii="Arial" w:cs="Arial" w:eastAsia="Arial" w:hAnsi="Arial"/>
          <w:sz w:val="17"/>
          <w:szCs w:val="17"/>
          <w:color w:val="auto"/>
        </w:rPr>
        <w:t>, a polymer framework that traps molecules),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w:t>
      </w:r>
    </w:p>
    <w:p>
      <w:pPr>
        <w:spacing w:after="0" w:line="29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Orphan Drug Act</w:t>
      </w:r>
    </w:p>
    <w:p>
      <w:pPr>
        <w:spacing w:after="0" w:line="41"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Under the Orphan Drug Act, the FDA may grant Orphan Drug Designation to drugs intended to treat a rare disease or condition—generally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Fast Track Designation</w:t>
      </w:r>
    </w:p>
    <w:p>
      <w:pPr>
        <w:spacing w:after="0" w:line="41" w:lineRule="exact"/>
        <w:rPr>
          <w:sz w:val="20"/>
          <w:szCs w:val="20"/>
          <w:color w:val="auto"/>
        </w:rPr>
      </w:pPr>
    </w:p>
    <w:p>
      <w:pPr>
        <w:ind w:left="200" w:right="280"/>
        <w:spacing w:after="0" w:line="235" w:lineRule="auto"/>
        <w:rPr>
          <w:sz w:val="20"/>
          <w:szCs w:val="20"/>
          <w:color w:val="auto"/>
        </w:rPr>
      </w:pPr>
      <w:r>
        <w:rPr>
          <w:rFonts w:ascii="Arial" w:cs="Arial" w:eastAsia="Arial" w:hAnsi="Arial"/>
          <w:sz w:val="17"/>
          <w:szCs w:val="17"/>
          <w:color w:val="auto"/>
        </w:rPr>
        <w:t>The FDA is required to facilitate the development and expedite the review of drugs that are intended for the treatment of a serious or life-threatening condition for which there is no effective treatment and which demonstrate the potential to address unmet medical needs for the condition. Under the Fast Track program, the sponsor of a new product candidate may request the FDA to designate the product for a specific indication as a Fast Track product concurrent with or after the submission of the IND for the product candidate. The FDA must determine if the product candidate qualifies for Fast Track designation within 60 days after receipt of the sponsor’s request.</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For Fast Track products, the sponsor may have more frequent interactions with the FDA and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trial process. A Fast Track designated product candidate would ordinarily meet the FDA’s criteria for priority review.</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NDA Submission and Review by the FDA</w:t>
      </w:r>
    </w:p>
    <w:p>
      <w:pPr>
        <w:spacing w:after="0" w:line="41"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5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48"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48"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FDA’s NDA review times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10 months from the 60-day filing date to complete its initial review of a standard NDA for an NME and make a decision on the application. For non-NME standard applications, the FDA has set the review goal of 10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54"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50"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50"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Black Box warning.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Phase 4 clinical trials, REMS and surveillance, recordkeeping and reporting requirements, including adverse experiences.</w:t>
      </w:r>
    </w:p>
    <w:p>
      <w:pPr>
        <w:spacing w:after="0" w:line="156"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user fee requirements for any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5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9"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Later discovery of previously unknown problems with a product, including AEs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49"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49"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tracing.</w:t>
      </w:r>
    </w:p>
    <w:p>
      <w:pPr>
        <w:spacing w:after="0" w:line="150"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Any of these sanctions could result in adverse publicity, among other adverse consequences.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Other Healthcare Regulations</w:t>
      </w:r>
    </w:p>
    <w:p>
      <w:pPr>
        <w:spacing w:after="0" w:line="4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following product approval will be subject to regulation by numerous regulatory and law enforcement authorities in the United States in addition to the FDA, including potentially the Department of Justice, the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in whole or in part, by Medicare, Medicaid or other federal healthcare programs. The term remuneration has been interpreted broadly to include anything of value, including unlawful financial inducements paid to prescribers and beneficiaries, as well as impermissible promotional practices. There are a number of statutory exceptions and regulatory safe harbors protecting some common activities from prosecution, but the exceptions and safe harbors are drawn narrowly.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52"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The federal civil and criminal false claims laws, including the federal False Claims Act, prohibit, among other things, any person or entity from knowingly presenting, or causing to be presented, a false claim for payment to, or for approval by, the federal government, including the Medicare and Medicaid programs, or knowingly making, using, or causing to be made or used a false record or statement material to a false or fraudulent claim to avoid, decrease or conceal an obligation to pay money to the federal government.</w:t>
      </w:r>
    </w:p>
    <w:p>
      <w:pPr>
        <w:spacing w:after="0" w:line="149"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7"/>
          <w:szCs w:val="17"/>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48"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As a condition of receiving Medicaid coverage for prescription drugs, the Medicaid Drug Rebate Program requires manufacturers to calculate and report to CMS their Average Manufacturer Price, or AMP, which is used to determine rebate payments shared between the states and the federal government and, for some multiple source drugs, Medicaid payment rates for the drug, and for drugs paid under Medicare Part B, to also calculate and report their average sales price, which is used to determine the Medicare Part B payment rate for the drug. In January 2016, CMS issued a final rule regarding the Medicaid Drug Rebate Program, effective April 1, 2016, that, among other things, revises the manner in which the AMP is to be calculated by manufacturers participating in the program and implements certain amendments to the Medicaid rebate statute created under the ACA. Drugs that are approved under a biologics license application, or BLA, or an NDA, including a 505(b)(2) NDA, are subject to an additional requirement to calculate and report the manufacturer’s best price for the drug and inflation penalties which can substantially increase rebate payments. For BLA and NDA drugs, the Veterans Health Care Act requires manufacturers to calculate and report to the Department of Veterans Affairs a different price called the Non-Federal AMP, offer the drugs for sale on the Federal Supply Schedule, and charge the government no more than a statutory price referred to as the Federal Ceiling Price, which includes an inflation penalty. A separate law requires manufacturers to pay rebates on these drugs when paid by the Department of Defense under its TRICARE Retail Pharmacy Program. Knowingly submitting false pricing information to the government creates potential federal False Claims Act liability.</w:t>
      </w:r>
    </w:p>
    <w:p>
      <w:pPr>
        <w:spacing w:after="0" w:line="153" w:lineRule="exact"/>
        <w:rPr>
          <w:sz w:val="20"/>
          <w:szCs w:val="20"/>
          <w:color w:val="auto"/>
        </w:rPr>
      </w:pPr>
    </w:p>
    <w:p>
      <w:pPr>
        <w:ind w:left="200" w:right="220"/>
        <w:spacing w:after="0" w:line="235"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knowingly and willfully executing, or attempting to execute, a scheme to defraud any healthcare benefit program, including public and private payors,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20"/>
        <w:spacing w:after="0" w:line="238" w:lineRule="auto"/>
        <w:rPr>
          <w:sz w:val="20"/>
          <w:szCs w:val="20"/>
          <w:color w:val="auto"/>
        </w:rPr>
      </w:pPr>
      <w:r>
        <w:rPr>
          <w:rFonts w:ascii="Arial" w:cs="Arial" w:eastAsia="Arial" w:hAnsi="Arial"/>
          <w:sz w:val="17"/>
          <w:szCs w:val="17"/>
          <w:color w:val="auto"/>
        </w:rPr>
        <w:t>making any materially false statements in connection with the delivery of, or payment for, healthcare benefits, items or services relating to healthcare matters. The ACA amended the federal health care fraud criminal statute implemented under HIPAA so that a person or entity no longer needs to have actual knowledge of the statute, or the specific intent to violate it, to have violated the statute.</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Additionally, the federal Open Payments program pursuant to the Physician Payments Sunshine Act,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and teaching hospitals, or to entities or individuals at the request of, or designated on behalf of, the physicians and teaching hospitals and to report annually specified ownership and investment interests held by physicians and their immediate family members.</w:t>
      </w:r>
    </w:p>
    <w:p>
      <w:pPr>
        <w:spacing w:after="0" w:line="148"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on HIPAA covered entities and their business associates, including mandatory contractual terms and the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54"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marketing expenditures or payments and other transfers of value to physicians and other healthcare providers.</w:t>
      </w:r>
    </w:p>
    <w:p>
      <w:pPr>
        <w:spacing w:after="0" w:line="150"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Enforcement actions can be brought by federal or state governments or, in some cases, as “qui tam” actions brought by individual whistleblowers in the name of the government. Depending on the circumstances, failure to comply with these laws can result in penalties, including criminal, civil and/or administrative criminal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41"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our products, once approved, and related treatments will be available from third-party payors, such as government health administration authorities, private health insurers and health maintenance organizations. Third-party payors determine which medications they will cover and separately establish reimbursement levels. Even if we obtain coverage for a given product by a third-party payor, the third-party payor’s reimbursement rates may not be adequate to make the product affordable to patients or profitable to us, or the third-party payors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4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for determining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50"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and, if reimbursement is available, that the level of reimbursement will be adequate. Coverage and reimbursement may impact the demand for, or the price of, any product candidate for which we obtain marketing approval. If coverage and reimbursement are not available, or if reimbursement is available only to limited levels, we may not successfully commercialize any product candidate for which we obtain marketing approval.</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Healthcare Reform Measures</w:t>
      </w:r>
    </w:p>
    <w:p>
      <w:pPr>
        <w:spacing w:after="0" w:line="41" w:lineRule="exact"/>
        <w:rPr>
          <w:sz w:val="20"/>
          <w:szCs w:val="20"/>
          <w:color w:val="auto"/>
        </w:rPr>
      </w:pPr>
    </w:p>
    <w:p>
      <w:pPr>
        <w:ind w:left="200" w:right="24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0"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For example, in March 2010, the ACA was passed, which is changing health care financing by both governmental and private insurers and significantly affecting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additional rebate similar to an inflation penalty on new formulations of drugs, extended the Medicaid Drug Rebate Program to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50"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The recently enacted Tax Cuts and Jobs Act includes a provision that repeals, effective January 1, 2019, the tax-based shared responsibility payment imposed by the ACA on certain individuals who fail to maintain qualifying health coverage for all or part of a year. We continue to evaluate how the ACA and recent efforts to repeal and replace or limit the implementation of the ACA will impact our business. We continue to evaluate how the ACA and recent efforts to repeal and replace or limit the implementation of the ACA will impact our business.</w:t>
      </w:r>
    </w:p>
    <w:p>
      <w:pPr>
        <w:spacing w:after="0" w:line="150"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2015, and will remain in effect through 2025 unless additional U.S.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48"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Additional health reform measures may continue and affect our business in unknown ways.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41"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4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and Production</w:t>
      </w:r>
    </w:p>
    <w:p>
      <w:pPr>
        <w:spacing w:after="0" w:line="93"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do not own or operate manufacturing facilities for the production of our product candidates, nor do we have plans to develop our own manufacturing operations in the foreseeable future. We currently rely on third-party contract manufacturers for all of our required raw materials, active ingredients and finished products for our preclinical research and clinical trials, including the single pivotal Phase 3 clinical trial for MitoGel. We do not have long-term agreements with any of these third parties. We also do not have any current contractual relationships for the manufacture of commercial supplies of our product candidates if they are approved. If product candidates are approved by any regulatory agency, we intend to enter into agreements with a third-party contract manufacturer and one or more back-up manufacturers for the commercial production of those products.</w:t>
      </w:r>
    </w:p>
    <w:p>
      <w:pPr>
        <w:spacing w:after="0" w:line="151"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Development and commercial quantities of any products that we develop will need to be manufactured in facilities, and by processes, that comply with the requirements of the FDA and the regulatory agencies of other jurisdictions in which we are seeking approval. We currently employ internal resources to manage our manufacturing contractors. The relevant manufacturers of our drug products for our current preclinical and clinical trials have advised us that they are compliant with both cGLP and cGMP.</w:t>
      </w:r>
    </w:p>
    <w:p>
      <w:pPr>
        <w:spacing w:after="0" w:line="149"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Our product candidates, if approved, may not be producible in sufficient commercial quantities, in compliance with regulatory requirements or at an acceptable cost. We and our contract manufacturers are, and will be, subject to extensive governmental regulation in connection with the manufacture of any pharmaceutical products or medical devices. We and our contract manufacturers must ensure that all of the processes, methods and equipment are compliant with cGMP and cGLP for drugs on an ongoing basis, as mandated by the FDA and foreign regulatory authorities, and conduct extensive audits of vendors, contract laboratories and suppliers.</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Sales and Distribution</w:t>
      </w:r>
    </w:p>
    <w:p>
      <w:pPr>
        <w:spacing w:after="0" w:line="93"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Given our stage of development, we do not have any internal sales, marketing or distribution infrastructure or capabilities, and our marketing department currently consists only of a marketing director, whose main responsibility is to produce marketing and communication materials, exhibitions, website content and to identify unmet needs in the urology market, assess their commercial potential and advise on the prioritization of the development of our future product candidates accordingly. We have recently formed a U.S. subsidiary, Urogen Pharma, Inc., to support our U.S. development and potential commercialization efforts.</w:t>
      </w:r>
    </w:p>
    <w:p>
      <w:pPr>
        <w:spacing w:after="0" w:line="150"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In the event that we receive regulatory approvals for our products in markets outside of the United States, we intend, where appropriate, to pursue commercialization relationships, including strategic alliances and licensing, with pharmaceutical companies and other strategic partners, which are equipped to market or sell our products through their well-developed sales, marketing and distribution organizations in such countries.</w:t>
      </w:r>
    </w:p>
    <w:p>
      <w:pPr>
        <w:spacing w:after="0" w:line="148" w:lineRule="exact"/>
        <w:rPr>
          <w:sz w:val="20"/>
          <w:szCs w:val="20"/>
          <w:color w:val="auto"/>
        </w:rPr>
      </w:pPr>
    </w:p>
    <w:p>
      <w:pPr>
        <w:ind w:left="200" w:right="2900"/>
        <w:spacing w:after="0" w:line="243" w:lineRule="auto"/>
        <w:rPr>
          <w:sz w:val="20"/>
          <w:szCs w:val="20"/>
          <w:color w:val="auto"/>
        </w:rPr>
      </w:pPr>
      <w:r>
        <w:rPr>
          <w:rFonts w:ascii="Arial" w:cs="Arial" w:eastAsia="Arial" w:hAnsi="Arial"/>
          <w:sz w:val="17"/>
          <w:szCs w:val="17"/>
          <w:color w:val="auto"/>
        </w:rPr>
        <w:t>In addition, we may out-license some or all of our worldwide patent rights to more than one party to achieve the fullest development, marketing and distribution of any products we develop.</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80"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As of December 31, 2017, we had 43 full-time employees and four part-time employees, 36 based in Israel and 11 based in the United States. Of these employees, 35 are primarily engaged in research and development activities and 12 are primarily engaged in general and administrative matters. A total of 13 employees have an M.D. or Ph.D. degree. None of our employees is represented by a labor union. We have never experienced any employment-related work stoppages and believe our relationships with our employees are good.</w:t>
      </w:r>
    </w:p>
    <w:p>
      <w:pPr>
        <w:spacing w:after="0" w:line="149"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Economy and Industry.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principal executive offices are located at 9 HaTa’asiya St., Ra’anana 4365007, Israel, where we lease an approximately 11,180 square foot facility. This Israeli facility houses our administrative headquarters and our research and development laboratories. We also maintain an office at 499 Park Avenue, New York, New York, where we lease approximately 9,336 square feet of space, which serves as the headquarters for our U.S. subsidiary. We believe that our existing facilities are adequate to meet our current needs, and that suitable additional or alternative spaces will be available in the future on commercially reasonable terms.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93"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use chemicals and produce waste materials and sewage and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conduct periodic inspections in order to review and ensure our compliance with the various regulations. These laws, regulations and permits could potentially require the expenditure by us of significant amounts for compliance or remediation. If we fail to comply with such</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Corporate Structure</w:t>
      </w:r>
    </w:p>
    <w:p>
      <w:pPr>
        <w:spacing w:after="0" w:line="93"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Our legal and commercial name is UroGen Pharma Ltd. We were formed as a company in the State of Israel in April 2004. Urogen Pharma, Inc., our wholly owned subsidiary, was incorporated under the laws of the State of Delaware in October 2015.</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200" w:right="380"/>
        <w:spacing w:after="0" w:line="238"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We are not currently involved in any legal proceedings that could reasonably be expected to have a material adverse effect on our business, financial condition or results of operations.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Scientific Advisory Board</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maintain a Scientific Advisory Board.</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60"/>
          </w:cols>
          <w:pgMar w:left="24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Key Personnel and Directors</w:t>
      </w:r>
    </w:p>
    <w:p>
      <w:pPr>
        <w:spacing w:after="0" w:line="93"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The following table sets forth information relating to our executive officers and directors as of December 15, 2017. Unless otherwise stated, the address for our executive officers and directors is c/o UroGen Pharma Ltd., 9 Ha’Ta’asiya Street, Ra’anana 4365007,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5"/>
                <w:szCs w:val="15"/>
                <w:color w:val="auto"/>
              </w:rPr>
            </w:pPr>
          </w:p>
        </w:tc>
        <w:tc>
          <w:tcPr>
            <w:tcW w:w="674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gridSpan w:val="2"/>
          </w:tcPr>
          <w:p>
            <w:pPr>
              <w:spacing w:after="0" w:line="170" w:lineRule="exact"/>
              <w:rPr>
                <w:sz w:val="20"/>
                <w:szCs w:val="20"/>
                <w:color w:val="auto"/>
              </w:rPr>
            </w:pPr>
            <w:r>
              <w:rPr>
                <w:rFonts w:ascii="Arial" w:cs="Arial" w:eastAsia="Arial" w:hAnsi="Arial"/>
                <w:sz w:val="17"/>
                <w:szCs w:val="17"/>
                <w:i w:val="1"/>
                <w:iCs w:val="1"/>
                <w:color w:val="auto"/>
              </w:rPr>
              <w:t>Executive Officers</w:t>
            </w:r>
          </w:p>
        </w:tc>
        <w:tc>
          <w:tcPr>
            <w:tcW w:w="920" w:type="dxa"/>
            <w:vAlign w:val="bottom"/>
          </w:tcPr>
          <w:p>
            <w:pPr>
              <w:spacing w:after="0"/>
              <w:rPr>
                <w:sz w:val="14"/>
                <w:szCs w:val="14"/>
                <w:color w:val="auto"/>
              </w:rPr>
            </w:pPr>
          </w:p>
        </w:tc>
        <w:tc>
          <w:tcPr>
            <w:tcW w:w="7340" w:type="dxa"/>
            <w:vAlign w:val="bottom"/>
            <w:gridSpan w:val="3"/>
            <w:vMerge w:val="restart"/>
          </w:tcPr>
          <w:p>
            <w:pPr>
              <w:ind w:left="1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7"/>
                <w:szCs w:val="17"/>
                <w:color w:val="auto"/>
              </w:rPr>
              <w:t>Chief Executive Officer and Director</w:t>
            </w:r>
          </w:p>
        </w:tc>
        <w:tc>
          <w:tcPr>
            <w:tcW w:w="0" w:type="dxa"/>
            <w:vAlign w:val="bottom"/>
          </w:tcPr>
          <w:p>
            <w:pPr>
              <w:spacing w:after="0"/>
              <w:rPr>
                <w:sz w:val="1"/>
                <w:szCs w:val="1"/>
                <w:color w:val="auto"/>
              </w:rPr>
            </w:pPr>
          </w:p>
        </w:tc>
      </w:tr>
      <w:tr>
        <w:trPr>
          <w:trHeight w:val="194"/>
        </w:trPr>
        <w:tc>
          <w:tcPr>
            <w:tcW w:w="2780" w:type="dxa"/>
            <w:vAlign w:val="bottom"/>
            <w:gridSpan w:val="2"/>
          </w:tcPr>
          <w:p>
            <w:pPr>
              <w:spacing w:after="0" w:line="194" w:lineRule="exact"/>
              <w:rPr>
                <w:sz w:val="20"/>
                <w:szCs w:val="20"/>
                <w:color w:val="auto"/>
              </w:rPr>
            </w:pPr>
            <w:r>
              <w:rPr>
                <w:rFonts w:ascii="Arial" w:cs="Arial" w:eastAsia="Arial" w:hAnsi="Arial"/>
                <w:sz w:val="17"/>
                <w:szCs w:val="17"/>
                <w:color w:val="auto"/>
              </w:rPr>
              <w:t>Ron Bentsur</w:t>
            </w:r>
          </w:p>
        </w:tc>
        <w:tc>
          <w:tcPr>
            <w:tcW w:w="920" w:type="dxa"/>
            <w:vAlign w:val="bottom"/>
          </w:tcPr>
          <w:p>
            <w:pPr>
              <w:spacing w:after="0"/>
              <w:rPr>
                <w:sz w:val="16"/>
                <w:szCs w:val="16"/>
                <w:color w:val="auto"/>
              </w:rPr>
            </w:pPr>
          </w:p>
        </w:tc>
        <w:tc>
          <w:tcPr>
            <w:tcW w:w="73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80" w:type="dxa"/>
            <w:vAlign w:val="bottom"/>
            <w:gridSpan w:val="2"/>
          </w:tcPr>
          <w:p>
            <w:pPr>
              <w:spacing w:after="0"/>
              <w:rPr>
                <w:sz w:val="20"/>
                <w:szCs w:val="20"/>
                <w:color w:val="auto"/>
              </w:rPr>
            </w:pPr>
            <w:r>
              <w:rPr>
                <w:rFonts w:ascii="Arial" w:cs="Arial" w:eastAsia="Arial" w:hAnsi="Arial"/>
                <w:sz w:val="17"/>
                <w:szCs w:val="17"/>
                <w:color w:val="auto"/>
              </w:rPr>
              <w:t>Gil Hakim</w:t>
            </w:r>
          </w:p>
        </w:tc>
        <w:tc>
          <w:tcPr>
            <w:tcW w:w="12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48</w:t>
            </w:r>
          </w:p>
        </w:tc>
        <w:tc>
          <w:tcPr>
            <w:tcW w:w="7020" w:type="dxa"/>
            <w:vAlign w:val="bottom"/>
            <w:gridSpan w:val="2"/>
          </w:tcPr>
          <w:p>
            <w:pPr>
              <w:ind w:left="260"/>
              <w:spacing w:after="0"/>
              <w:rPr>
                <w:sz w:val="20"/>
                <w:szCs w:val="20"/>
                <w:color w:val="auto"/>
              </w:rPr>
            </w:pPr>
            <w:r>
              <w:rPr>
                <w:rFonts w:ascii="Arial" w:cs="Arial" w:eastAsia="Arial" w:hAnsi="Arial"/>
                <w:sz w:val="17"/>
                <w:szCs w:val="17"/>
                <w:color w:val="auto"/>
              </w:rPr>
              <w:t>President, Israeli Operation</w:t>
            </w: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line="189" w:lineRule="exact"/>
              <w:rPr>
                <w:sz w:val="20"/>
                <w:szCs w:val="20"/>
                <w:color w:val="auto"/>
              </w:rPr>
            </w:pPr>
            <w:r>
              <w:rPr>
                <w:rFonts w:ascii="Arial" w:cs="Arial" w:eastAsia="Arial" w:hAnsi="Arial"/>
                <w:sz w:val="17"/>
                <w:szCs w:val="17"/>
                <w:color w:val="auto"/>
              </w:rPr>
              <w:t>Gary Titus</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58</w:t>
            </w:r>
          </w:p>
        </w:tc>
        <w:tc>
          <w:tcPr>
            <w:tcW w:w="702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5"/>
        </w:trPr>
        <w:tc>
          <w:tcPr>
            <w:tcW w:w="2780" w:type="dxa"/>
            <w:vAlign w:val="bottom"/>
            <w:gridSpan w:val="2"/>
          </w:tcPr>
          <w:p>
            <w:pPr>
              <w:spacing w:after="0"/>
              <w:rPr>
                <w:sz w:val="20"/>
                <w:szCs w:val="20"/>
                <w:color w:val="auto"/>
              </w:rPr>
            </w:pPr>
            <w:r>
              <w:rPr>
                <w:rFonts w:ascii="Arial" w:cs="Arial" w:eastAsia="Arial" w:hAnsi="Arial"/>
                <w:sz w:val="17"/>
                <w:szCs w:val="17"/>
                <w:color w:val="auto"/>
              </w:rPr>
              <w:t>Mark Schoenberg, M.D.</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7020" w:type="dxa"/>
            <w:vAlign w:val="bottom"/>
            <w:gridSpan w:val="2"/>
          </w:tcPr>
          <w:p>
            <w:pPr>
              <w:ind w:left="260"/>
              <w:spacing w:after="0"/>
              <w:rPr>
                <w:sz w:val="20"/>
                <w:szCs w:val="20"/>
                <w:color w:val="auto"/>
              </w:rPr>
            </w:pPr>
            <w:r>
              <w:rPr>
                <w:rFonts w:ascii="Arial" w:cs="Arial" w:eastAsia="Arial" w:hAnsi="Arial"/>
                <w:sz w:val="17"/>
                <w:szCs w:val="17"/>
                <w:color w:val="auto"/>
              </w:rPr>
              <w:t>Chief Medical Officer</w:t>
            </w:r>
          </w:p>
        </w:tc>
        <w:tc>
          <w:tcPr>
            <w:tcW w:w="0" w:type="dxa"/>
            <w:vAlign w:val="bottom"/>
          </w:tcPr>
          <w:p>
            <w:pPr>
              <w:spacing w:after="0"/>
              <w:rPr>
                <w:sz w:val="1"/>
                <w:szCs w:val="1"/>
                <w:color w:val="auto"/>
              </w:rPr>
            </w:pPr>
          </w:p>
        </w:tc>
      </w:tr>
      <w:tr>
        <w:trPr>
          <w:trHeight w:val="254"/>
        </w:trPr>
        <w:tc>
          <w:tcPr>
            <w:tcW w:w="278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line="189" w:lineRule="exact"/>
              <w:rPr>
                <w:sz w:val="20"/>
                <w:szCs w:val="20"/>
                <w:color w:val="auto"/>
              </w:rPr>
            </w:pPr>
            <w:r>
              <w:rPr>
                <w:rFonts w:ascii="Arial" w:cs="Arial" w:eastAsia="Arial" w:hAnsi="Arial"/>
                <w:sz w:val="17"/>
                <w:szCs w:val="17"/>
                <w:color w:val="auto"/>
              </w:rPr>
              <w:t>Arie Belldegrun, M.D.</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68</w:t>
            </w:r>
          </w:p>
        </w:tc>
        <w:tc>
          <w:tcPr>
            <w:tcW w:w="702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Chairman of the Board of Directors</w:t>
            </w: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line="189" w:lineRule="exact"/>
              <w:rPr>
                <w:sz w:val="20"/>
                <w:szCs w:val="20"/>
                <w:color w:val="auto"/>
              </w:rPr>
            </w:pPr>
            <w:r>
              <w:rPr>
                <w:rFonts w:ascii="Arial" w:cs="Arial" w:eastAsia="Arial" w:hAnsi="Arial"/>
                <w:sz w:val="17"/>
                <w:szCs w:val="17"/>
                <w:color w:val="auto"/>
              </w:rPr>
              <w:t>Cynthia Butitta</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63</w:t>
            </w:r>
          </w:p>
        </w:tc>
        <w:tc>
          <w:tcPr>
            <w:tcW w:w="702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4"/>
        </w:trPr>
        <w:tc>
          <w:tcPr>
            <w:tcW w:w="2780" w:type="dxa"/>
            <w:vAlign w:val="bottom"/>
            <w:gridSpan w:val="2"/>
          </w:tcPr>
          <w:p>
            <w:pPr>
              <w:spacing w:after="0" w:line="194" w:lineRule="exact"/>
              <w:rPr>
                <w:sz w:val="20"/>
                <w:szCs w:val="20"/>
                <w:color w:val="auto"/>
              </w:rPr>
            </w:pPr>
            <w:r>
              <w:rPr>
                <w:rFonts w:ascii="Arial" w:cs="Arial" w:eastAsia="Arial" w:hAnsi="Arial"/>
                <w:sz w:val="17"/>
                <w:szCs w:val="17"/>
                <w:color w:val="auto"/>
              </w:rPr>
              <w:t>Fred Cohen, M.D.</w:t>
            </w:r>
          </w:p>
        </w:tc>
        <w:tc>
          <w:tcPr>
            <w:tcW w:w="12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61</w:t>
            </w:r>
          </w:p>
        </w:tc>
        <w:tc>
          <w:tcPr>
            <w:tcW w:w="7020" w:type="dxa"/>
            <w:vAlign w:val="bottom"/>
            <w:gridSpan w:val="2"/>
          </w:tcPr>
          <w:p>
            <w:pPr>
              <w:ind w:left="260"/>
              <w:spacing w:after="0" w:line="194"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3"/>
        </w:trPr>
        <w:tc>
          <w:tcPr>
            <w:tcW w:w="2780" w:type="dxa"/>
            <w:vAlign w:val="bottom"/>
            <w:gridSpan w:val="2"/>
          </w:tcPr>
          <w:p>
            <w:pPr>
              <w:spacing w:after="0"/>
              <w:rPr>
                <w:sz w:val="20"/>
                <w:szCs w:val="20"/>
                <w:color w:val="auto"/>
              </w:rPr>
            </w:pPr>
            <w:r>
              <w:rPr>
                <w:rFonts w:ascii="Arial" w:cs="Arial" w:eastAsia="Arial" w:hAnsi="Arial"/>
                <w:sz w:val="17"/>
                <w:szCs w:val="17"/>
                <w:color w:val="auto"/>
              </w:rPr>
              <w:t>Kathryn Falberg</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702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7"/>
        </w:trPr>
        <w:tc>
          <w:tcPr>
            <w:tcW w:w="2780" w:type="dxa"/>
            <w:vAlign w:val="bottom"/>
            <w:gridSpan w:val="2"/>
          </w:tcPr>
          <w:p>
            <w:pPr>
              <w:spacing w:after="0"/>
              <w:rPr>
                <w:sz w:val="20"/>
                <w:szCs w:val="20"/>
                <w:color w:val="auto"/>
              </w:rPr>
            </w:pPr>
            <w:r>
              <w:rPr>
                <w:rFonts w:ascii="Arial" w:cs="Arial" w:eastAsia="Arial" w:hAnsi="Arial"/>
                <w:sz w:val="17"/>
                <w:szCs w:val="17"/>
                <w:color w:val="auto"/>
              </w:rPr>
              <w:t>Stuart Holden, M.D.</w:t>
            </w:r>
          </w:p>
        </w:tc>
        <w:tc>
          <w:tcPr>
            <w:tcW w:w="124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75</w:t>
            </w:r>
          </w:p>
        </w:tc>
        <w:tc>
          <w:tcPr>
            <w:tcW w:w="702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line="189" w:lineRule="exact"/>
              <w:rPr>
                <w:sz w:val="20"/>
                <w:szCs w:val="20"/>
                <w:color w:val="auto"/>
              </w:rPr>
            </w:pPr>
            <w:r>
              <w:rPr>
                <w:rFonts w:ascii="Arial" w:cs="Arial" w:eastAsia="Arial" w:hAnsi="Arial"/>
                <w:sz w:val="17"/>
                <w:szCs w:val="17"/>
                <w:color w:val="auto"/>
              </w:rPr>
              <w:t>Ran Nussbaum</w:t>
            </w:r>
          </w:p>
        </w:tc>
        <w:tc>
          <w:tcPr>
            <w:tcW w:w="1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44</w:t>
            </w:r>
          </w:p>
        </w:tc>
        <w:tc>
          <w:tcPr>
            <w:tcW w:w="702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5"/>
        </w:trPr>
        <w:tc>
          <w:tcPr>
            <w:tcW w:w="2780" w:type="dxa"/>
            <w:vAlign w:val="bottom"/>
            <w:gridSpan w:val="2"/>
          </w:tcPr>
          <w:p>
            <w:pPr>
              <w:spacing w:after="0"/>
              <w:rPr>
                <w:sz w:val="20"/>
                <w:szCs w:val="20"/>
                <w:color w:val="auto"/>
              </w:rPr>
            </w:pPr>
            <w:r>
              <w:rPr>
                <w:rFonts w:ascii="Arial" w:cs="Arial" w:eastAsia="Arial" w:hAnsi="Arial"/>
                <w:sz w:val="17"/>
                <w:szCs w:val="17"/>
                <w:color w:val="auto"/>
              </w:rPr>
              <w:t>Pini Orbach, Ph.D.</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7020" w:type="dxa"/>
            <w:vAlign w:val="bottom"/>
            <w:gridSpan w:val="2"/>
          </w:tcPr>
          <w:p>
            <w:pPr>
              <w:ind w:left="2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7"/>
        </w:trPr>
        <w:tc>
          <w:tcPr>
            <w:tcW w:w="4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Executive Officers</w:t>
      </w:r>
    </w:p>
    <w:p>
      <w:pPr>
        <w:spacing w:after="0" w:line="36"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i w:val="1"/>
          <w:iCs w:val="1"/>
          <w:color w:val="auto"/>
        </w:rPr>
        <w:t xml:space="preserve">Ron Bentsur </w:t>
      </w:r>
      <w:r>
        <w:rPr>
          <w:rFonts w:ascii="Arial" w:cs="Arial" w:eastAsia="Arial" w:hAnsi="Arial"/>
          <w:sz w:val="17"/>
          <w:szCs w:val="17"/>
          <w:color w:val="auto"/>
        </w:rPr>
        <w:t>has served as our Chief Executive Officer since August 2015, and as a member of our board of directors since October 2015.</w:t>
      </w:r>
      <w:r>
        <w:rPr>
          <w:rFonts w:ascii="Arial" w:cs="Arial" w:eastAsia="Arial" w:hAnsi="Arial"/>
          <w:sz w:val="17"/>
          <w:szCs w:val="17"/>
          <w:i w:val="1"/>
          <w:iCs w:val="1"/>
          <w:color w:val="auto"/>
        </w:rPr>
        <w:t xml:space="preserve"> </w:t>
      </w:r>
      <w:r>
        <w:rPr>
          <w:rFonts w:ascii="Arial" w:cs="Arial" w:eastAsia="Arial" w:hAnsi="Arial"/>
          <w:sz w:val="17"/>
          <w:szCs w:val="17"/>
          <w:color w:val="auto"/>
        </w:rPr>
        <w:t>Mr. Bentsur has more than 15 years of experience in the biotech industry. Until 2015, Mr. Bentsur served for more than five years as the Chief Executive Officer of Keryx Biopharmaceuticals, Inc., and during his tenure, Keryx received FDA approval pursuant to the FDA’s 505(b)(2) regulatory pathway for Auryxia (ferric citrate) and launched it commercially in the United States. Prior to that Mr. Bentsur served as Chief Executive Officer of XTL Biopharmaceuticals Ltd., a position he held from January 2006 until April 2009. From October 2000 Mr. Bentsur was with Keryx and served as its Chief Financial Officer from June 2003 until his departure in January 2006. From July 1998 to October 2000, Mr. Bentsur served as Director of Technology Investment Banking at Leumi Underwriters, where he was responsible for all technology/biotechnology private placement and advisory transactions. From June 1994 to July 1998, Mr. Bentsur worked as an investment banker in New York City, spending most of this period at ING Barings Furman Selz. Mr. Bentsur also serves as a member of the board of directors of Stemline Therapeutics, Inc. since 2009, and of Advanced Inhalation Technologies, Ltd. since August 2015. Mr. Bentsur holds a B.A. in Economics and Business Administration with distinction from the Hebrew University of Jerusalem, Israel and an M.B.A. (Magna Cum Laude), from New York University’s Stern School of Business.</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i w:val="1"/>
          <w:iCs w:val="1"/>
          <w:color w:val="auto"/>
        </w:rPr>
        <w:t xml:space="preserve">Gil Hakim </w:t>
      </w:r>
      <w:r>
        <w:rPr>
          <w:rFonts w:ascii="Arial" w:cs="Arial" w:eastAsia="Arial" w:hAnsi="Arial"/>
          <w:sz w:val="17"/>
          <w:szCs w:val="17"/>
          <w:color w:val="auto"/>
        </w:rPr>
        <w:t>has served as our President, Israeli Operation, since August 2015 and, prior to that, served as our Chief Executive Officer since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2010. Mr. Hakim has more than 20 years of experience in the biotech industry. Prior to joining us, Mr. Hakim served as Director of New Product Development at Medispec Ltd. from 2004 to 2010, and was in charge of product development in fields such as cardiology, urology and dermatology. Prior to Medispec, from 2002 to 2004, Mr. Hakim was Director of Marketing and Clinical Research at MTRE Advanced Technologies Ltd., a wholly owned subsidiary of Mennen Medical Ltd. that develops thermoregulation devices. Prior to that, from 2000 to 2002, he was Business Development Manager at Omrix Biopharmaceuticals, Inc. (acquired by Johnson &amp; Johnson in 2008), which develops biological glue and blood derivative products. Before that, from 1998 to 2000, he served as European Product Manager at Biosense-Webster (Johnson &amp; Johnson) in Belgium, following Johnson &amp; Johnson’s acquisition of Biosense Israel, where he was also part of the Research and Development team. Mr. Hakim holds a B.Sc. in Life Sciences from Ben-Gurion University, Israel.</w:t>
      </w:r>
    </w:p>
    <w:p>
      <w:pPr>
        <w:spacing w:after="0" w:line="134" w:lineRule="exact"/>
        <w:rPr>
          <w:sz w:val="20"/>
          <w:szCs w:val="20"/>
          <w:color w:val="auto"/>
        </w:rPr>
      </w:pPr>
    </w:p>
    <w:p>
      <w:pPr>
        <w:ind w:left="200" w:right="300"/>
        <w:spacing w:after="0" w:line="265" w:lineRule="auto"/>
        <w:rPr>
          <w:sz w:val="20"/>
          <w:szCs w:val="20"/>
          <w:color w:val="auto"/>
        </w:rPr>
      </w:pPr>
      <w:r>
        <w:rPr>
          <w:rFonts w:ascii="Arial" w:cs="Arial" w:eastAsia="Arial" w:hAnsi="Arial"/>
          <w:sz w:val="17"/>
          <w:szCs w:val="17"/>
          <w:i w:val="1"/>
          <w:iCs w:val="1"/>
          <w:color w:val="auto"/>
        </w:rPr>
        <w:t xml:space="preserve">Gary Titus </w:t>
      </w:r>
      <w:r>
        <w:rPr>
          <w:rFonts w:ascii="Arial" w:cs="Arial" w:eastAsia="Arial" w:hAnsi="Arial"/>
          <w:sz w:val="17"/>
          <w:szCs w:val="17"/>
          <w:color w:val="auto"/>
        </w:rPr>
        <w:t>has served as our Chief Financial Officer since July 2015. Mr. Titus has been a member of the board of directors of ImmunoCellular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Ltd. since January 2013. Mr. Titus has more than 20 years of business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experience in the healthcare and biopharmaceutical industries, primarily in senior management roles. Prior to his appointment as our Chief</w:t>
      </w:r>
    </w:p>
    <w:p>
      <w:pPr>
        <w:ind w:left="200"/>
        <w:spacing w:after="0" w:line="232" w:lineRule="auto"/>
        <w:rPr>
          <w:sz w:val="20"/>
          <w:szCs w:val="20"/>
          <w:color w:val="auto"/>
        </w:rPr>
      </w:pPr>
      <w:r>
        <w:rPr>
          <w:rFonts w:ascii="Arial" w:cs="Arial" w:eastAsia="Arial" w:hAnsi="Arial"/>
          <w:sz w:val="17"/>
          <w:szCs w:val="17"/>
          <w:color w:val="auto"/>
        </w:rPr>
        <w:t>Financial Officer, from 2014 to 2015, Mr. Titus held the position of Chief Financial Officer of BioCardia, Inc. Prior to that, from 2008 to 2013,</w:t>
      </w:r>
    </w:p>
    <w:p>
      <w:pPr>
        <w:ind w:left="200"/>
        <w:spacing w:after="0" w:line="232" w:lineRule="auto"/>
        <w:rPr>
          <w:sz w:val="20"/>
          <w:szCs w:val="20"/>
          <w:color w:val="auto"/>
        </w:rPr>
      </w:pPr>
      <w:r>
        <w:rPr>
          <w:rFonts w:ascii="Arial" w:cs="Arial" w:eastAsia="Arial" w:hAnsi="Arial"/>
          <w:sz w:val="17"/>
          <w:szCs w:val="17"/>
          <w:color w:val="auto"/>
        </w:rPr>
        <w:t>Mr. Titus was Senior Vice President and Chief Financial Officer at SciClone Pharmaceuticals, Inc. From 2006 to 2008, Mr. Titus was Senior Vice</w:t>
      </w:r>
    </w:p>
    <w:p>
      <w:pPr>
        <w:ind w:left="200"/>
        <w:spacing w:after="0" w:line="232" w:lineRule="auto"/>
        <w:rPr>
          <w:sz w:val="20"/>
          <w:szCs w:val="20"/>
          <w:color w:val="auto"/>
        </w:rPr>
      </w:pPr>
      <w:r>
        <w:rPr>
          <w:rFonts w:ascii="Arial" w:cs="Arial" w:eastAsia="Arial" w:hAnsi="Arial"/>
          <w:sz w:val="17"/>
          <w:szCs w:val="17"/>
          <w:color w:val="auto"/>
        </w:rPr>
        <w:t>President of Finance and Chief Financial Officer at Kosan Biosciences, Inc. From 2003 to 2006, he was Chief Financial Officer and Vice President</w:t>
      </w:r>
    </w:p>
    <w:p>
      <w:pPr>
        <w:ind w:left="200"/>
        <w:spacing w:after="0" w:line="232" w:lineRule="auto"/>
        <w:rPr>
          <w:sz w:val="20"/>
          <w:szCs w:val="20"/>
          <w:color w:val="auto"/>
        </w:rPr>
      </w:pPr>
      <w:r>
        <w:rPr>
          <w:rFonts w:ascii="Arial" w:cs="Arial" w:eastAsia="Arial" w:hAnsi="Arial"/>
          <w:sz w:val="17"/>
          <w:szCs w:val="17"/>
          <w:color w:val="auto"/>
        </w:rPr>
        <w:t>at Nuvelo, Inc. Earlier in his career, Mr. Titus held a variety of positions at other companies, including Metabolex, Inc., Intrabiotics</w:t>
      </w:r>
    </w:p>
    <w:p>
      <w:pPr>
        <w:ind w:left="200"/>
        <w:spacing w:after="0" w:line="232" w:lineRule="auto"/>
        <w:rPr>
          <w:sz w:val="20"/>
          <w:szCs w:val="20"/>
          <w:color w:val="auto"/>
        </w:rPr>
      </w:pPr>
      <w:r>
        <w:rPr>
          <w:rFonts w:ascii="Arial" w:cs="Arial" w:eastAsia="Arial" w:hAnsi="Arial"/>
          <w:sz w:val="17"/>
          <w:szCs w:val="17"/>
          <w:color w:val="auto"/>
        </w:rPr>
        <w:t>Pharmaceuticals, Inc. and Johnson &amp; Johnson’s healthcare division, LifeScan, Inc. Mr. Titus holds a B.Sc. in Accounting from the University of</w:t>
      </w:r>
    </w:p>
    <w:p>
      <w:pPr>
        <w:ind w:left="200"/>
        <w:spacing w:after="0" w:line="232" w:lineRule="auto"/>
        <w:rPr>
          <w:sz w:val="20"/>
          <w:szCs w:val="20"/>
          <w:color w:val="auto"/>
        </w:rPr>
      </w:pPr>
      <w:r>
        <w:rPr>
          <w:rFonts w:ascii="Arial" w:cs="Arial" w:eastAsia="Arial" w:hAnsi="Arial"/>
          <w:sz w:val="17"/>
          <w:szCs w:val="17"/>
          <w:color w:val="auto"/>
        </w:rPr>
        <w:t>South Florida and a B.Sc. in Finance from the University of Florida. Mr. Titus also completed the Global BioExecutive Program at the University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California Berkeley’s Haas School of Business.</w:t>
      </w:r>
    </w:p>
    <w:p>
      <w:pPr>
        <w:spacing w:after="0" w:line="138"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i w:val="1"/>
          <w:iCs w:val="1"/>
          <w:color w:val="auto"/>
        </w:rPr>
        <w:t xml:space="preserve">Mark Schoenberg, M.D. </w:t>
      </w:r>
      <w:r>
        <w:rPr>
          <w:rFonts w:ascii="Arial" w:cs="Arial" w:eastAsia="Arial" w:hAnsi="Arial"/>
          <w:sz w:val="17"/>
          <w:szCs w:val="17"/>
          <w:color w:val="auto"/>
        </w:rPr>
        <w:t>has served as our Chief Medical Officer since December 2017 and, prior to that, served as our Medical Director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2016. Dr. Schoenberg has over 20 years of experience in clinical practice and research focused on the care of patients with all forms of bladder cancer. Since April 2014, Dr. Schoenberg has been University Professor and Chairman of the Urology Department at The Montefiore Medical Center for The Albert Einstein College of Medicine of Yeshiva University. Prior to joining Montefiore, from 2005 to 2014, Dr. Schoenberg served as Director of Urologic Oncology and Bernard L. Schwartz Distinguished Professor of Urologic Oncology at Johns Hopkins Hospital.</w:t>
      </w:r>
    </w:p>
    <w:p>
      <w:pPr>
        <w:spacing w:after="0" w:line="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Dr. Schoenberg is also the past chair of the Medical Advisory Board of the Bladder Cancer Advocacy Network, the author of The Guide to Living with Bladder Cancer, co-editor of The Textbook of Bladder Cancer, a contributor to Campbell’s Urology and a past Senior Editor of the journal Seminars in Urologic Oncology. Dr. Schoenberg received his M.D. (Alpha Omega Alpha) from the University of Texas Health Sciences Center and completed his residency in General Surgery and Urology at the Hospital of The University of Pennsylvania, where he served as chief resident and urology instructor, before completing basic research and clinical urologic oncology fellowships at Johns Hopkins under the auspices of The American Cancer Society. Dr. Schoenberg is a fellow of the American College of Surgeons, as well as a member of the American Association of Cancer Research, the Society of Urologic Oncology and the American Urological Association.</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Directors</w:t>
      </w:r>
    </w:p>
    <w:p>
      <w:pPr>
        <w:spacing w:after="0" w:line="29"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i w:val="1"/>
          <w:iCs w:val="1"/>
          <w:color w:val="auto"/>
        </w:rPr>
        <w:t xml:space="preserve">Arie Belldegrun, M.D. </w:t>
      </w:r>
      <w:r>
        <w:rPr>
          <w:rFonts w:ascii="Arial" w:cs="Arial" w:eastAsia="Arial" w:hAnsi="Arial"/>
          <w:sz w:val="17"/>
          <w:szCs w:val="17"/>
          <w:color w:val="auto"/>
        </w:rPr>
        <w:t>has served as our Chairman since December 2012. Dr. Belldegrun is Professor of Urology, holds the Roy and Carol</w:t>
      </w:r>
      <w:r>
        <w:rPr>
          <w:rFonts w:ascii="Arial" w:cs="Arial" w:eastAsia="Arial" w:hAnsi="Arial"/>
          <w:sz w:val="17"/>
          <w:szCs w:val="17"/>
          <w:i w:val="1"/>
          <w:iCs w:val="1"/>
          <w:color w:val="auto"/>
        </w:rPr>
        <w:t xml:space="preserve"> </w:t>
      </w:r>
      <w:r>
        <w:rPr>
          <w:rFonts w:ascii="Arial" w:cs="Arial" w:eastAsia="Arial" w:hAnsi="Arial"/>
          <w:sz w:val="17"/>
          <w:szCs w:val="17"/>
          <w:color w:val="auto"/>
        </w:rPr>
        <w:t>Doumani Chair in Urologic Oncology, and Director of the UCLA Institute of Urologic Oncology at the David Geffen School of Medicine at UCLA. Prior to joining UCLA, he was a research fellow at the National Cancer Institute/National Institute of Health in surgical oncology and immunotherapy under Dr. Steven A. Rosenberg. Dr. Belldegrun has more than 20 years of experience in the life science and biotech industry. In 1996 he founded Agensys, Inc., a biotechnology company, and served as its founding Chairman of the board of directors and as a board member until 2007, when it was acquired by Astellas Pharma Inc. Dr. Belldegrun was also a founder and the Vice-Chairman of the board of directors and Chairman of the scientific advisory board of Cougar Biotechnology, Inc., a biotechnology company, from 2003 to 2009, when it was acquired by Johnson &amp; Johnson. He served as Chairman and Chief Executive Officer of Kite Pharma, Inc., until October 2017, when it was acquired by Gilead Sciences, Inc. He currently also serves as the Chairman of Arno Therapeutics, Inc., and Two River Group, and until January 2017 served as a board member of Teva Pharmaceutical Industries Ltd. Dr. Belldegrun completed his M.D. at the Hebrew University Hadassah Medical School in Jerusalem, Israel, his post graduate studies in Immunology at the Weizmann Institute of Science, Israel, and his residency in Urologic Surgery at Harvard Medical School. Dr. Belldegrun has authored several books in oncology and more than 500 scientific and medical papers related to urological cancers, immunotherapy, gene therapy, and cancer vaccines. Dr. Belldegrun is certified by the American Board of Urology and is a Fellow of the American College of Surgeons and the American Association of Genitourinary Surgeons.</w:t>
      </w:r>
    </w:p>
    <w:p>
      <w:pPr>
        <w:spacing w:after="0" w:line="134" w:lineRule="exact"/>
        <w:rPr>
          <w:sz w:val="20"/>
          <w:szCs w:val="20"/>
          <w:color w:val="auto"/>
        </w:rPr>
      </w:pPr>
    </w:p>
    <w:p>
      <w:pPr>
        <w:ind w:left="200" w:right="20"/>
        <w:spacing w:after="0" w:line="239" w:lineRule="auto"/>
        <w:rPr>
          <w:sz w:val="20"/>
          <w:szCs w:val="20"/>
          <w:color w:val="auto"/>
        </w:rPr>
      </w:pPr>
      <w:r>
        <w:rPr>
          <w:rFonts w:ascii="Arial" w:cs="Arial" w:eastAsia="Arial" w:hAnsi="Arial"/>
          <w:sz w:val="17"/>
          <w:szCs w:val="17"/>
          <w:i w:val="1"/>
          <w:iCs w:val="1"/>
          <w:color w:val="auto"/>
        </w:rPr>
        <w:t xml:space="preserve">Cynthia Butitta </w:t>
      </w:r>
      <w:r>
        <w:rPr>
          <w:rFonts w:ascii="Arial" w:cs="Arial" w:eastAsia="Arial" w:hAnsi="Arial"/>
          <w:sz w:val="17"/>
          <w:szCs w:val="17"/>
          <w:color w:val="auto"/>
        </w:rPr>
        <w:t>has served as our director since October 2017. Ms. Butitta served as Chief Financial Officer of Kite Pharma Inc.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May 2016 and as Chief Operating Officer from March 2014 to September 2017. From May 2011 to December 2012, she was Senior Vice President and Chief Financial Officer at NextWave Pharmaceuticals, Inc., a specialty pharmaceutical company. Prior to that, Ms. Butitta served as Chief Operating Officer of Telik, Inc., a biopharmaceutical company, from March 2001 to December 2010 and as its Chief Financial Officer from August 1998 to December 2010. Ms. Butitta also served as Principal Accounting Officer of Telik, Inc. until December 2010. She served as a Director of Catalyst Semiconductor Inc., a semiconductor products company,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500"/>
        <w:spacing w:after="0" w:line="243" w:lineRule="auto"/>
        <w:rPr>
          <w:sz w:val="20"/>
          <w:szCs w:val="20"/>
          <w:color w:val="auto"/>
        </w:rPr>
      </w:pPr>
      <w:r>
        <w:rPr>
          <w:rFonts w:ascii="Arial" w:cs="Arial" w:eastAsia="Arial" w:hAnsi="Arial"/>
          <w:sz w:val="17"/>
          <w:szCs w:val="17"/>
          <w:color w:val="auto"/>
        </w:rPr>
        <w:t>from June 2000 to February 2003. Ms. Butitta received her B.S. degree with honors in Business and Accounting from Edgewood College in Madison, Wisconsin, and an M.B.A. degree in Finance from the University of Wisconsin, Madison.</w:t>
      </w:r>
    </w:p>
    <w:p>
      <w:pPr>
        <w:spacing w:after="0" w:line="126" w:lineRule="exact"/>
        <w:rPr>
          <w:sz w:val="20"/>
          <w:szCs w:val="20"/>
          <w:color w:val="auto"/>
        </w:rPr>
      </w:pPr>
    </w:p>
    <w:p>
      <w:pPr>
        <w:ind w:left="200" w:right="180"/>
        <w:spacing w:after="0" w:line="236" w:lineRule="auto"/>
        <w:rPr>
          <w:sz w:val="20"/>
          <w:szCs w:val="20"/>
          <w:color w:val="auto"/>
        </w:rPr>
      </w:pPr>
      <w:r>
        <w:rPr>
          <w:rFonts w:ascii="Arial" w:cs="Arial" w:eastAsia="Arial" w:hAnsi="Arial"/>
          <w:sz w:val="17"/>
          <w:szCs w:val="17"/>
          <w:i w:val="1"/>
          <w:iCs w:val="1"/>
          <w:color w:val="auto"/>
        </w:rPr>
        <w:t xml:space="preserve">Fred Cohen, M.D. </w:t>
      </w:r>
      <w:r>
        <w:rPr>
          <w:rFonts w:ascii="Arial" w:cs="Arial" w:eastAsia="Arial" w:hAnsi="Arial"/>
          <w:sz w:val="17"/>
          <w:szCs w:val="17"/>
          <w:color w:val="auto"/>
        </w:rPr>
        <w:t>has served as our director since May 2017. Dr. Cohen is a Senior Advisor to TPG Capital, where he served for over 15 years</w:t>
      </w:r>
      <w:r>
        <w:rPr>
          <w:rFonts w:ascii="Arial" w:cs="Arial" w:eastAsia="Arial" w:hAnsi="Arial"/>
          <w:sz w:val="17"/>
          <w:szCs w:val="17"/>
          <w:i w:val="1"/>
          <w:iCs w:val="1"/>
          <w:color w:val="auto"/>
        </w:rPr>
        <w:t xml:space="preserve"> </w:t>
      </w:r>
      <w:r>
        <w:rPr>
          <w:rFonts w:ascii="Arial" w:cs="Arial" w:eastAsia="Arial" w:hAnsi="Arial"/>
          <w:sz w:val="17"/>
          <w:szCs w:val="17"/>
          <w:color w:val="auto"/>
        </w:rPr>
        <w:t>as a Partner, and founder of TPG Biotechnology, a life science focused venture capital fund. Beginning in 2017, Dr. Cohen has served as a co-founder and managing partner of Vida Ventures, a biotechnology venture capital fund. In addition, for over two decades throughout his career, Dr. Cohen has been affiliated with University of California, San Francisco where he held various clinical responsibilities, including as a research scientist, an internist for hospitalized patients, a consulting endocrinologist, and the Chief of the Division of Endocrinology and Metabolism.</w:t>
      </w:r>
    </w:p>
    <w:p>
      <w:pPr>
        <w:spacing w:after="0" w:line="2"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Dr. Cohen received his B.S. degree in Molecular Biophysics and Biochemistry from Yale University, his D.Phil. in Molecular Biophysics from Oxford on a Rhodes Scholarship, and his M.D. from Stanford. Dr. Cohen currently serves on the Board of Directors of several other biotechnology and pharmaceutical companies.</w:t>
      </w:r>
    </w:p>
    <w:p>
      <w:pPr>
        <w:spacing w:after="0" w:line="130"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i w:val="1"/>
          <w:iCs w:val="1"/>
          <w:color w:val="auto"/>
        </w:rPr>
        <w:t xml:space="preserve">Kathryn Falberg </w:t>
      </w:r>
      <w:r>
        <w:rPr>
          <w:rFonts w:ascii="Arial" w:cs="Arial" w:eastAsia="Arial" w:hAnsi="Arial"/>
          <w:sz w:val="17"/>
          <w:szCs w:val="17"/>
          <w:color w:val="auto"/>
        </w:rPr>
        <w:t>has served as our director since April 2017. She previously served as Executive Vice President and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Jazz Pharmaceuticals plc, a multi-national specialty biopharmaceutical company, from March 2012 to March 2014 after serving as Senior Vice President and Chief Financial Officer since December 2009. Her responsibilities at Jazz Pharmaceuticals included strategy, corporate development, corporate communications and information technology. From 2001 through 2009, Ms. Falberg served as a corporate director and audit committee chair for several companies. From 1995 to 2001, Ms. Falberg was with Amgen Inc., a biotechnology company, where she served as Senior Vice President, Strategy and Chief Financial Officer and prior to that as Vice President, Corporate Controller and Chief Accounting Officer, and Vice President, Treasurer. Ms. Falberg also serves as a member of the board of directors for the public biopharmaceutical companies Aimmune Therapeutics, Inc., Axovant Sciences Ltd. and The Trade Desk, Inc., a publicly held technology company. Ms. Falberg also served on the board of directors of Medivation, Inc. from 2013 to 2016 and Halozyme Therapeutics, Inc. from 2007 to 2016. Ms. Falberg received an M.B.A. in Finance and B.A., in Economics from the University of California, Los Angeles and is a certified public accountant (inactive).</w:t>
      </w:r>
    </w:p>
    <w:p>
      <w:pPr>
        <w:spacing w:after="0" w:line="131"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i w:val="1"/>
          <w:iCs w:val="1"/>
          <w:color w:val="auto"/>
        </w:rPr>
        <w:t xml:space="preserve">Stuart Holden, M.D. </w:t>
      </w:r>
      <w:r>
        <w:rPr>
          <w:rFonts w:ascii="Arial" w:cs="Arial" w:eastAsia="Arial" w:hAnsi="Arial"/>
          <w:sz w:val="17"/>
          <w:szCs w:val="17"/>
          <w:color w:val="auto"/>
        </w:rPr>
        <w:t>has served as our director since December 2015. Dr. Holden has been the Chairman of ProQuest Investments’ Scientific</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Board since it was founded in 1998. Since May 2014, Dr. Holden has served as a member of the UCLA faculty as a Health Sciences Clinical Professor of Urology, Spielberg Family Chair in Urologic Oncology, in the Department of Urology at the UCLA David Geffen School of Medicine and Associate Director of the UCLA Institute of Urologic Oncology. Dr. Holden has worked in the field of prostate cancer for more than 36 years. Dr. Holden also serves as Medical Director of the Prostate Cancer Foundation since the foundation’s inception in 1993. Dr. Holden was the director of the Louis Warschaw Prostate Cancer Center at Cedars-Sinai Medical Center and the first holder of the Warschaw, Robertson, Law Families Chair in Prostate Cancer. Dr. Holden has served as a member of the board of directors of Telormedix SA from 2008 to 2017, and served as a member of the board of directors of Acurian, Inc. from 1999 through 2014. In addition, he was a founding partner at Tower Urology in Los Angeles. Dr. Holden received a B.A. degree from the University of Wisconsin-Madison and completed his medical degree and received his surgical training at Weill Cornell Medical College and the New York Hospital—Cornell University Medical College. He completed his urology residency at Emory University School of Medicine and fellowships in urology and developmental genetics at Memorial Sloan-Kettering Cancer Center. He also was awarded a clinical fellowship from the American Cancer Society. Dr. Holden was appointed to serve on our board by ProQuest Investments IV, L.P., one of our shareholders, pursuant to rights granted to such shareholder under our articles of association as in effect prior to our initial public offering.</w:t>
      </w:r>
    </w:p>
    <w:p>
      <w:pPr>
        <w:spacing w:after="0" w:line="129" w:lineRule="exact"/>
        <w:rPr>
          <w:sz w:val="20"/>
          <w:szCs w:val="20"/>
          <w:color w:val="auto"/>
        </w:rPr>
      </w:pPr>
    </w:p>
    <w:p>
      <w:pPr>
        <w:ind w:left="200" w:right="120"/>
        <w:spacing w:after="0" w:line="239" w:lineRule="auto"/>
        <w:rPr>
          <w:sz w:val="20"/>
          <w:szCs w:val="20"/>
          <w:color w:val="auto"/>
        </w:rPr>
      </w:pPr>
      <w:r>
        <w:rPr>
          <w:rFonts w:ascii="Arial" w:cs="Arial" w:eastAsia="Arial" w:hAnsi="Arial"/>
          <w:sz w:val="17"/>
          <w:szCs w:val="17"/>
          <w:i w:val="1"/>
          <w:iCs w:val="1"/>
          <w:color w:val="auto"/>
        </w:rPr>
        <w:t xml:space="preserve">Ran Nussbaum </w:t>
      </w:r>
      <w:r>
        <w:rPr>
          <w:rFonts w:ascii="Arial" w:cs="Arial" w:eastAsia="Arial" w:hAnsi="Arial"/>
          <w:sz w:val="17"/>
          <w:szCs w:val="17"/>
          <w:color w:val="auto"/>
        </w:rPr>
        <w:t>has served as our director since May 2013. Mr. Nussbaum is a managing partner and the co-founder of The Pontifax Group, a</w:t>
      </w:r>
      <w:r>
        <w:rPr>
          <w:rFonts w:ascii="Arial" w:cs="Arial" w:eastAsia="Arial" w:hAnsi="Arial"/>
          <w:sz w:val="17"/>
          <w:szCs w:val="17"/>
          <w:i w:val="1"/>
          <w:iCs w:val="1"/>
          <w:color w:val="auto"/>
        </w:rPr>
        <w:t xml:space="preserve"> </w:t>
      </w:r>
      <w:r>
        <w:rPr>
          <w:rFonts w:ascii="Arial" w:cs="Arial" w:eastAsia="Arial" w:hAnsi="Arial"/>
          <w:sz w:val="17"/>
          <w:szCs w:val="17"/>
          <w:color w:val="auto"/>
        </w:rPr>
        <w:t>group of Israeli-based life sciences venture funds focusing on investments in development stage bio-pharmaceutical and med-tech technologies and a shareholder of our company. He also serves as a board member on many of Pontifax’s portfolio companies, including BioBlast Pharma Ltd., Eloxx Pharmaceuticals Ltd., and Quiet Therapeutics Ltd. Mr. Nussbaum was appointed to serve on our board by Pontifax (Israel) III Limited Partnership and Pontifax Cayman III Limited, two of our shareholders, pursuant to rights granted to such shareholders under our articles of association as in effect prior to our initial public offering.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i w:val="1"/>
          <w:iCs w:val="1"/>
          <w:color w:val="auto"/>
        </w:rPr>
        <w:t xml:space="preserve">Pini Orbach, Ph.D. </w:t>
      </w:r>
      <w:r>
        <w:rPr>
          <w:rFonts w:ascii="Arial" w:cs="Arial" w:eastAsia="Arial" w:hAnsi="Arial"/>
          <w:sz w:val="17"/>
          <w:szCs w:val="17"/>
          <w:color w:val="auto"/>
        </w:rPr>
        <w:t>has served as our director since October 2014. Dr. Orbach has served as a director of Quiet Therapeutics Ltd.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2013. Dr. Orbach has 10 years of experience in executive positions. Since February 2010, Dr. Orbach has been the head of Pharma and Life Science at Arkin Holdings. Dr. Orbach was the Chief Executive Officer of NanoDoc Technology, Inc. from 2010 to 2015, Chairman of the board of directors of cCAM Biotherapeutics Ltd. from 2014 to 2015, and served as a Director of Quiet Therapeutics Ltd. since January 2013, FusiMab Ltd. from 2011 to 2014, HealOr Ltd. from 2010 to 2013, Metallo-Therapy Ltd. from 2011 to 2015, Insuline Medical Ltd. from December 2013 to January 2015, and CollPlant Holdings Ltd. from May 2013 to August 2014. Prior to joining Arkin Holdings, Dr. Orbach served as Chief Executive Officer of several healthcare companies in Israel. Dr. Orbach received his Ph.D. from the Department of Physiology and Functional Genomics at the University of Florida, and was a postdoctoral fellow at the Cardiovascular Research Center at Harvard Medical School. Dr. Orbach was appointed to serve on our board by Arkin Communications Ltd., one of our shareholders, pursuant to rights granted to such shareholder under our articles of association as in effect prior to this offering.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93" w:lineRule="exact"/>
        <w:rPr>
          <w:sz w:val="20"/>
          <w:szCs w:val="20"/>
          <w:color w:val="auto"/>
        </w:rPr>
      </w:pPr>
    </w:p>
    <w:p>
      <w:pPr>
        <w:ind w:left="200" w:right="220"/>
        <w:spacing w:after="0" w:line="238" w:lineRule="auto"/>
        <w:rPr>
          <w:sz w:val="20"/>
          <w:szCs w:val="20"/>
          <w:color w:val="auto"/>
        </w:rPr>
      </w:pPr>
      <w:r>
        <w:rPr>
          <w:rFonts w:ascii="Arial" w:cs="Arial" w:eastAsia="Arial" w:hAnsi="Arial"/>
          <w:sz w:val="17"/>
          <w:szCs w:val="17"/>
          <w:color w:val="auto"/>
        </w:rPr>
        <w:t>Our board of directors consists of eight directors. Currently serving directors will continue to serve pursuant to their appointment until the first annual general meeting of shareholders held after our initial public offering. We are not a party to, and are not aware of, any voting agreements among our shareholders. In addition, there are no family relationships among our executive officers and directors.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Practices</w:t>
      </w:r>
    </w:p>
    <w:p>
      <w:pPr>
        <w:spacing w:after="0" w:line="80"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the composition and responsibilities of the audit committee and the compensation committee (subject to certain exceptions that we intend to continue to utilize), and a requirement to have an internal auditor. This is the case even if our shares are not listed on the Tel Aviv Stock Exchange, or TASE, which our shares are not expected to be. These requirements are in addition to the corporate governance requirements imposed by the NASDAQ Rules and other applicable provisions of U.S. securities laws to which we are subject (as a foreign private issuer). Under the NASDAQ Rules, a foreign private issuer may generally follow its home country rules of corporate governance in lieu of the comparable requirements of the NASDAQ Rules, except for certain matters including the composition and responsibilities of the audit committee and the independence of its members within the meaning of the rules and regulations of the SEC.</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elected to rely on this “home country practice exemption” with respect to the following NASDAQ requirements:</w:t>
      </w:r>
    </w:p>
    <w:p>
      <w:pPr>
        <w:spacing w:after="0" w:line="178" w:lineRule="exact"/>
        <w:rPr>
          <w:sz w:val="20"/>
          <w:szCs w:val="20"/>
          <w:color w:val="auto"/>
        </w:rPr>
      </w:pPr>
    </w:p>
    <w:p>
      <w:pPr>
        <w:ind w:left="960" w:right="120" w:hanging="432"/>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As permitted under the Israeli Companies Law and pursuant to our amended and restated articles of association, the quorum</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for an ordinary meeting of shareholders consists of at least two shareholders present in person, by proxy or by other voting instrument in accordance with the Israeli Companies Law, who hold at least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our shares (and in an adjourned meeting, with some exceptions, at least two shareholders), instead of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issued share capital required under the NASDAQ Rules.</w:t>
      </w:r>
    </w:p>
    <w:p>
      <w:pPr>
        <w:spacing w:after="0" w:line="8" w:lineRule="exact"/>
        <w:rPr>
          <w:rFonts w:ascii="MS PGothic" w:cs="MS PGothic" w:eastAsia="MS PGothic" w:hAnsi="MS PGothic"/>
          <w:sz w:val="13"/>
          <w:szCs w:val="13"/>
          <w:color w:val="auto"/>
        </w:rPr>
      </w:pPr>
    </w:p>
    <w:p>
      <w:pPr>
        <w:ind w:left="960" w:right="120" w:hanging="432"/>
        <w:spacing w:after="0"/>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i w:val="1"/>
          <w:iCs w:val="1"/>
          <w:color w:val="auto"/>
        </w:rPr>
        <w:t>Nomination of Directors</w:t>
      </w:r>
      <w:r>
        <w:rPr>
          <w:rFonts w:ascii="Arial" w:cs="Arial" w:eastAsia="Arial" w:hAnsi="Arial"/>
          <w:sz w:val="17"/>
          <w:szCs w:val="17"/>
          <w:color w:val="auto"/>
        </w:rPr>
        <w:t>. With the exception of directors elected by our board of directors due to a vacancy, our directors are elected at</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general meeting of our shareholders and hold office until the next annual general meeting following his or her election. See “Board Practices—Board of Directors.” The nominations for directors, which are presented to our shareholders by our board of directors, are generally made by the board of directors itself or a duly authorized committee thereof, in accordance with the provisions of our amended and restated articles of association and the Israeli Companies Law.</w:t>
      </w:r>
    </w:p>
    <w:p>
      <w:pPr>
        <w:spacing w:after="0" w:line="8" w:lineRule="exact"/>
        <w:rPr>
          <w:rFonts w:ascii="MS PGothic" w:cs="MS PGothic" w:eastAsia="MS PGothic" w:hAnsi="MS PGothic"/>
          <w:sz w:val="13"/>
          <w:szCs w:val="13"/>
          <w:color w:val="auto"/>
        </w:rPr>
      </w:pPr>
    </w:p>
    <w:p>
      <w:pPr>
        <w:ind w:left="960" w:right="120" w:hanging="432"/>
        <w:spacing w:after="0" w:line="243" w:lineRule="auto"/>
        <w:tabs>
          <w:tab w:leader="none" w:pos="960" w:val="left"/>
        </w:tabs>
        <w:numPr>
          <w:ilvl w:val="0"/>
          <w:numId w:val="64"/>
        </w:numPr>
        <w:rPr>
          <w:rFonts w:ascii="MS PGothic" w:cs="MS PGothic" w:eastAsia="MS PGothic" w:hAnsi="MS PGothic"/>
          <w:sz w:val="13"/>
          <w:szCs w:val="13"/>
          <w:color w:val="auto"/>
        </w:rPr>
      </w:pPr>
      <w:r>
        <w:rPr>
          <w:rFonts w:ascii="Arial" w:cs="Arial" w:eastAsia="Arial" w:hAnsi="Arial"/>
          <w:sz w:val="17"/>
          <w:szCs w:val="17"/>
          <w:i w:val="1"/>
          <w:iCs w:val="1"/>
          <w:color w:val="auto"/>
        </w:rPr>
        <w:t xml:space="preserve">Proxy Statements. </w:t>
      </w:r>
      <w:r>
        <w:rPr>
          <w:rFonts w:ascii="Arial" w:cs="Arial" w:eastAsia="Arial" w:hAnsi="Arial"/>
          <w:sz w:val="17"/>
          <w:szCs w:val="17"/>
          <w:color w:val="auto"/>
        </w:rPr>
        <w:t>We are not required to and, in reliance on home country practice, we do not comply with certain NASDAQ Rules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provision of proxy statements for general meetings of shareholders. Israeli corporate law does not have a regulatory regime for the solicitation of proxies. We intend to provide notice convening an annual general meeting, including an agenda and other relevant documents.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960" w:right="20" w:hanging="432"/>
        <w:spacing w:after="0" w:line="243"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We are not required to and, in reliance on home country practice, we do not comply with certain NASDAQ Rules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shareholder approval for certain issuances of securities under NASDAQ Rule 5635. In accordance with the provisions of our amended and restated articles of association and the Israeli Companies Law, our board of directors is authorized to issue securities, including shares, warrants and convertible notes.</w:t>
      </w:r>
    </w:p>
    <w:p>
      <w:pPr>
        <w:spacing w:after="0" w:line="5" w:lineRule="exact"/>
        <w:rPr>
          <w:rFonts w:ascii="MS PGothic" w:cs="MS PGothic" w:eastAsia="MS PGothic" w:hAnsi="MS PGothic"/>
          <w:sz w:val="13"/>
          <w:szCs w:val="13"/>
          <w:color w:val="auto"/>
        </w:rPr>
      </w:pPr>
    </w:p>
    <w:p>
      <w:pPr>
        <w:ind w:left="960" w:right="100" w:hanging="432"/>
        <w:spacing w:after="0" w:line="243" w:lineRule="auto"/>
        <w:tabs>
          <w:tab w:leader="none" w:pos="960" w:val="left"/>
        </w:tabs>
        <w:numPr>
          <w:ilvl w:val="0"/>
          <w:numId w:val="65"/>
        </w:numPr>
        <w:rPr>
          <w:rFonts w:ascii="MS PGothic" w:cs="MS PGothic" w:eastAsia="MS PGothic" w:hAnsi="MS PGothic"/>
          <w:sz w:val="13"/>
          <w:szCs w:val="13"/>
          <w:color w:val="auto"/>
        </w:rPr>
      </w:pPr>
      <w:r>
        <w:rPr>
          <w:rFonts w:ascii="Arial" w:cs="Arial" w:eastAsia="Arial" w:hAnsi="Arial"/>
          <w:sz w:val="17"/>
          <w:szCs w:val="17"/>
          <w:i w:val="1"/>
          <w:iCs w:val="1"/>
          <w:color w:val="auto"/>
        </w:rPr>
        <w:t>Executive Sessions</w:t>
      </w:r>
      <w:r>
        <w:rPr>
          <w:rFonts w:ascii="Arial" w:cs="Arial" w:eastAsia="Arial" w:hAnsi="Arial"/>
          <w:sz w:val="17"/>
          <w:szCs w:val="17"/>
          <w:color w:val="auto"/>
        </w:rPr>
        <w:t>. We are not required to and, in reliance on home country practice, we do not comply with certain NASDAQ Rules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regularly scheduled meetings at which only independent directors are present. In accordance with the provisions of our amended and restated articles and the Israeli Companies Law, such regularly scheduled meetings at which only independent directors are present are not required.</w:t>
      </w:r>
    </w:p>
    <w:p>
      <w:pPr>
        <w:spacing w:after="0" w:line="145" w:lineRule="exact"/>
        <w:rPr>
          <w:sz w:val="20"/>
          <w:szCs w:val="20"/>
          <w:color w:val="auto"/>
        </w:rPr>
      </w:pPr>
    </w:p>
    <w:p>
      <w:pPr>
        <w:ind w:left="200" w:right="380"/>
        <w:spacing w:after="0" w:line="238" w:lineRule="auto"/>
        <w:rPr>
          <w:sz w:val="20"/>
          <w:szCs w:val="20"/>
          <w:color w:val="auto"/>
        </w:rPr>
      </w:pPr>
      <w:r>
        <w:rPr>
          <w:rFonts w:ascii="Arial" w:cs="Arial" w:eastAsia="Arial" w:hAnsi="Arial"/>
          <w:sz w:val="17"/>
          <w:szCs w:val="17"/>
          <w:color w:val="auto"/>
        </w:rPr>
        <w:t>Other than as stated above, we currently take all actions necessary to maintain compliance as a foreign private issuer under the applicable corporate governance requirements of the Sarbanes-Oxley Act, the rules adopted by the SEC and the NASDAQ Rules. We may in the future elect to use the home country practice exemption with respect to some or all of the other NASDAQ Rules.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Practices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4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Under the Israeli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148"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Under our amended and restated articles of association, our board of directors must consist of at least five directors and not more than nine directors. Our board of directors currently consists of eight directors. Other than vacancies to be filled through selection by the remaining members of our board, the Israeli Companies Law and our amended and restated articles of association provide that directors are elected annually at the general meeting of our shareholders by a vote of the holders of a majority of the voting power represented present and voting in person, by proxy or by other voting instrument at that meeting. We have only one class of directors.</w:t>
      </w:r>
    </w:p>
    <w:p>
      <w:pPr>
        <w:spacing w:after="0" w:line="150"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Under the Israeli Companies Law, our board of directors is required to employ independent judgment and discretion when voting, and is prohibited from entering into any voting arrangements with respect to actions taken at meetings of the board. Further, the Israeli Companies Law provides that in the event a director learns about an alleged breach of law or improper conduct of business relating to a company matter, said director must promptly take action to summon a meeting of the board of directors to address any such breach.</w:t>
      </w:r>
    </w:p>
    <w:p>
      <w:pPr>
        <w:spacing w:after="0" w:line="149"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In accordance with the exemptions available to foreign private issuers under NASDAQ rules, we do not follow the requirements of the NASDAQ rules with regard to the process of nominating directors. Instead, we follow Israeli law and practice, in accordance with which our board of directors (or a committee thereof) is authorized to recommend to our shareholders director nominees for election.</w:t>
      </w:r>
    </w:p>
    <w:p>
      <w:pPr>
        <w:spacing w:after="0" w:line="148"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In addition, our amended and restated articles of association allow our board of directors to appoint directors to fill vacancies on our board of directors, including filling empty board seats up to the maximum number of directors permitted under our articles of association, for a term of office equal to the remaining period of the term of office of each director whose office has been vacated. Vacancies on our board of directors may be filled by a vote of a simple majority of the directors then in office. A director so appointed will hold office until the next annual general meeting of our shareholders in which the other directors then in office are proposed to be replaced or reappointed.</w:t>
      </w:r>
    </w:p>
    <w:p>
      <w:pPr>
        <w:spacing w:after="0" w:line="150" w:lineRule="exact"/>
        <w:rPr>
          <w:sz w:val="20"/>
          <w:szCs w:val="20"/>
          <w:color w:val="auto"/>
        </w:rPr>
      </w:pPr>
    </w:p>
    <w:p>
      <w:pPr>
        <w:ind w:left="200" w:right="500"/>
        <w:spacing w:after="0" w:line="243" w:lineRule="auto"/>
        <w:rPr>
          <w:sz w:val="20"/>
          <w:szCs w:val="20"/>
          <w:color w:val="auto"/>
        </w:rPr>
      </w:pPr>
      <w:r>
        <w:rPr>
          <w:rFonts w:ascii="Arial" w:cs="Arial" w:eastAsia="Arial" w:hAnsi="Arial"/>
          <w:sz w:val="17"/>
          <w:szCs w:val="17"/>
          <w:color w:val="auto"/>
        </w:rPr>
        <w:t>Directors may be removed from office by a resolution at a general meeting of shareholders adopted by a majority of the voting power of our company or under other circumstances set forth in our amended and restated articles of association.</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7"/>
          <w:szCs w:val="17"/>
          <w:color w:val="auto"/>
        </w:rPr>
        <w:t>Under the Israeli Companies Law, we would be required to include on our board of directors at least two members, each of whom qualifies as an external director, and as to whom special qualifications, voting requirements and other provisions would be applicable. We would also be required to include one such external director on each of our board committees.</w:t>
      </w:r>
    </w:p>
    <w:p>
      <w:pPr>
        <w:spacing w:after="0" w:line="148"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Under regulations promulgated under the Israeli Companies Law, Israeli companies whose shares are traded on stock exchanges such as the NASDAQ Stock Market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we have elected to comply with the requirements of the NASDAQ Stock Market with respect to the composition of our board and such committees, and therefore we are exempt from the Israeli Companies Law requirements with respect thereto, including the appointment of external directors.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Leadership Structure of the Board</w:t>
      </w:r>
    </w:p>
    <w:p>
      <w:pPr>
        <w:spacing w:after="0" w:line="41"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In accordance with the Israeli Companies Law and our amended and restated articles of association, our board of directors is required to appoint one of its members to serve as chairman of the board of directors. Our board of directors has appointed Arie Belldegrun, M.D. to serve as chairman of the board of directors.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93"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Under the Israeli Companies Law and our amended and restated articles of association, our board of directors is permitted to form committees, and to delegate to any such committee powers allotted to the board of directors, subject to certain exceptions. In general, the board of directors may overturn a resolution adopted by a committee it has formed; provided, however, that the board’s decision shall not affect the ability of third parties, who were not aware of such decision, to rely on the committee’s resolution prior to the time it is overturned. Only members of the board of directors can be members of a board committee, unless the committee is solely advisory.</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audit committee consists of Kathryn Falberg, Pini Orbach and Stuart Holden. Kathryn Falberg serves as chairperson of the audit committee.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Israeli Companies Law Requirements</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 the Israeli Companies Law, we are required to maintain an audit committee.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NASDAQ Listing Requirements</w:t>
      </w:r>
    </w:p>
    <w:p>
      <w:pPr>
        <w:spacing w:after="0" w:line="52" w:lineRule="exact"/>
        <w:rPr>
          <w:sz w:val="20"/>
          <w:szCs w:val="20"/>
          <w:color w:val="auto"/>
        </w:rPr>
      </w:pPr>
    </w:p>
    <w:p>
      <w:pPr>
        <w:ind w:left="200" w:right="280"/>
        <w:spacing w:after="0" w:line="243" w:lineRule="auto"/>
        <w:rPr>
          <w:sz w:val="20"/>
          <w:szCs w:val="20"/>
          <w:color w:val="auto"/>
        </w:rPr>
      </w:pPr>
      <w:r>
        <w:rPr>
          <w:rFonts w:ascii="Arial" w:cs="Arial" w:eastAsia="Arial" w:hAnsi="Arial"/>
          <w:sz w:val="17"/>
          <w:szCs w:val="17"/>
          <w:color w:val="auto"/>
        </w:rPr>
        <w:t>Under the NASDAQ Rules, we are required to maintain an audit committee consisting of at least three independent directors, each of whom is financially literate and one of whom has accounting or related financial management expertise.</w:t>
      </w:r>
    </w:p>
    <w:p>
      <w:pPr>
        <w:spacing w:after="0" w:line="144" w:lineRule="exact"/>
        <w:rPr>
          <w:sz w:val="20"/>
          <w:szCs w:val="20"/>
          <w:color w:val="auto"/>
        </w:rPr>
      </w:pPr>
    </w:p>
    <w:p>
      <w:pPr>
        <w:ind w:left="200" w:right="320"/>
        <w:spacing w:after="0" w:line="235"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the NASDAQ Stock Market. Our board of directors has determined that Kathryn E. Falberg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Audit Committee Role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audit committee charter sets forth the responsibilities of the audit committee consistent with the rules and regulations of the SEC and the</w:t>
      </w:r>
    </w:p>
    <w:p>
      <w:pPr>
        <w:ind w:left="200"/>
        <w:spacing w:after="0"/>
        <w:rPr>
          <w:sz w:val="20"/>
          <w:szCs w:val="20"/>
          <w:color w:val="auto"/>
        </w:rPr>
      </w:pPr>
      <w:r>
        <w:rPr>
          <w:rFonts w:ascii="Arial" w:cs="Arial" w:eastAsia="Arial" w:hAnsi="Arial"/>
          <w:sz w:val="17"/>
          <w:szCs w:val="17"/>
          <w:color w:val="auto"/>
        </w:rPr>
        <w:t>NASDAQ Rules, as well as the requirements for such committee under the Israeli Companies Law, including the following:</w:t>
      </w:r>
    </w:p>
    <w:p>
      <w:pPr>
        <w:spacing w:after="0" w:line="196" w:lineRule="exact"/>
        <w:rPr>
          <w:sz w:val="20"/>
          <w:szCs w:val="20"/>
          <w:color w:val="auto"/>
        </w:rPr>
      </w:pPr>
    </w:p>
    <w:p>
      <w:pPr>
        <w:ind w:left="960" w:right="320" w:hanging="432"/>
        <w:spacing w:after="0" w:line="243" w:lineRule="auto"/>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recommending the engagement or termination of the person filling the office of our internal auditor; and</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hanging="432"/>
        <w:spacing w:after="0" w:line="243" w:lineRule="auto"/>
        <w:tabs>
          <w:tab w:leader="none" w:pos="96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recommending the terms of audit and non-audit services provided by the independent registered public accounting firm for pre-approval by our board of directors.</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auditors are independent of management.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 the Israeli Companies Law, our audit committee is responsible for:</w:t>
      </w:r>
    </w:p>
    <w:p>
      <w:pPr>
        <w:spacing w:after="0" w:line="196" w:lineRule="exact"/>
        <w:rPr>
          <w:sz w:val="20"/>
          <w:szCs w:val="20"/>
          <w:color w:val="auto"/>
        </w:rPr>
      </w:pPr>
    </w:p>
    <w:p>
      <w:pPr>
        <w:ind w:left="960" w:right="280" w:hanging="432"/>
        <w:spacing w:after="0" w:line="243"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2" w:lineRule="exact"/>
        <w:rPr>
          <w:rFonts w:ascii="Arial" w:cs="Arial" w:eastAsia="Arial" w:hAnsi="Arial"/>
          <w:sz w:val="17"/>
          <w:szCs w:val="17"/>
          <w:color w:val="auto"/>
        </w:rPr>
      </w:pPr>
    </w:p>
    <w:p>
      <w:pPr>
        <w:ind w:left="960" w:right="300" w:hanging="432"/>
        <w:spacing w:after="0" w:line="238"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Law—Fiduciary Duties of Directors and Executive Officers”);</w:t>
      </w:r>
    </w:p>
    <w:p>
      <w:pPr>
        <w:spacing w:after="0" w:line="26" w:lineRule="exact"/>
        <w:rPr>
          <w:rFonts w:ascii="Arial" w:cs="Arial" w:eastAsia="Arial" w:hAnsi="Arial"/>
          <w:sz w:val="17"/>
          <w:szCs w:val="17"/>
          <w:color w:val="auto"/>
        </w:rPr>
      </w:pPr>
    </w:p>
    <w:p>
      <w:pPr>
        <w:ind w:left="960" w:right="400" w:hanging="432"/>
        <w:spacing w:after="0" w:line="243"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establishing the approval process for certain transactions with a controlling shareholder or in which a controlling shareholder has a personal interest;</w:t>
      </w:r>
    </w:p>
    <w:p>
      <w:pPr>
        <w:spacing w:after="0" w:line="22" w:lineRule="exact"/>
        <w:rPr>
          <w:rFonts w:ascii="Arial" w:cs="Arial" w:eastAsia="Arial" w:hAnsi="Arial"/>
          <w:sz w:val="17"/>
          <w:szCs w:val="17"/>
          <w:color w:val="auto"/>
        </w:rPr>
      </w:pPr>
    </w:p>
    <w:p>
      <w:pPr>
        <w:ind w:left="960" w:hanging="432"/>
        <w:spacing w:after="0" w:line="243"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where the board of directors approves the working plan of the internal auditor, examining such working plan before its submission to the board of directors and proposing amendments thereto;</w:t>
      </w:r>
    </w:p>
    <w:p>
      <w:pPr>
        <w:spacing w:after="0" w:line="22" w:lineRule="exact"/>
        <w:rPr>
          <w:rFonts w:ascii="Arial" w:cs="Arial" w:eastAsia="Arial" w:hAnsi="Arial"/>
          <w:sz w:val="17"/>
          <w:szCs w:val="17"/>
          <w:color w:val="auto"/>
        </w:rPr>
      </w:pPr>
    </w:p>
    <w:p>
      <w:pPr>
        <w:ind w:left="960" w:right="120" w:hanging="432"/>
        <w:spacing w:after="0" w:line="243"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examining our internal audit controls and internal auditor’s performance, including whether the internal auditor has sufficient resources and tools to fulfill his responsibilities;</w:t>
      </w:r>
    </w:p>
    <w:p>
      <w:pPr>
        <w:spacing w:after="0" w:line="22" w:lineRule="exact"/>
        <w:rPr>
          <w:rFonts w:ascii="Arial" w:cs="Arial" w:eastAsia="Arial" w:hAnsi="Arial"/>
          <w:sz w:val="17"/>
          <w:szCs w:val="17"/>
          <w:color w:val="auto"/>
        </w:rPr>
      </w:pPr>
    </w:p>
    <w:p>
      <w:pPr>
        <w:ind w:left="960" w:right="320" w:hanging="432"/>
        <w:spacing w:after="0" w:line="243"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2" w:lineRule="exact"/>
        <w:rPr>
          <w:rFonts w:ascii="Arial" w:cs="Arial" w:eastAsia="Arial" w:hAnsi="Arial"/>
          <w:sz w:val="17"/>
          <w:szCs w:val="17"/>
          <w:color w:val="auto"/>
        </w:rPr>
      </w:pPr>
    </w:p>
    <w:p>
      <w:pPr>
        <w:ind w:left="960" w:right="440" w:hanging="432"/>
        <w:spacing w:after="0" w:line="243" w:lineRule="auto"/>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establishing procedures for the handling of employees’ complaints as to the management of our business and the protection to be provided to such employees.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Compensation, Nominating and Corporate Governance Committee and Compensation Policy</w:t>
      </w:r>
    </w:p>
    <w:p>
      <w:pPr>
        <w:spacing w:after="0" w:line="41" w:lineRule="exact"/>
        <w:rPr>
          <w:sz w:val="20"/>
          <w:szCs w:val="20"/>
          <w:color w:val="auto"/>
        </w:rPr>
      </w:pPr>
    </w:p>
    <w:p>
      <w:pPr>
        <w:ind w:left="200" w:right="860"/>
        <w:spacing w:after="0" w:line="243" w:lineRule="auto"/>
        <w:rPr>
          <w:sz w:val="20"/>
          <w:szCs w:val="20"/>
          <w:color w:val="auto"/>
        </w:rPr>
      </w:pPr>
      <w:r>
        <w:rPr>
          <w:rFonts w:ascii="Arial" w:cs="Arial" w:eastAsia="Arial" w:hAnsi="Arial"/>
          <w:sz w:val="17"/>
          <w:szCs w:val="17"/>
          <w:color w:val="auto"/>
        </w:rPr>
        <w:t>We have a compensation, nominating and corporate governance committee. The members of this committee are Arie Belldegrun, Ran Nussbaum, Fred Cohen and Cynthia Butitta. Cynthia Butitta serves as chairperson of the committee.</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Israeli Companies Law Requirements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 the Israeli Companies Law, the board of directors of a public company must maintain a compensation committee.</w:t>
      </w:r>
    </w:p>
    <w:p>
      <w:pPr>
        <w:spacing w:after="0" w:line="156"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The duties of the compensation, nominating and corporate governance committee include the recommendation to the company’s board of directors of a policy regarding the terms of engagement of office holders, to which we refer as a compensation policy. Such policy must be adopted by the company’s board of directors, after considering the recommendations of the compensation, nominating and corporate governance committee, and will need to be approved by the company’s shareholders, which we refer to as a Special Majority Approval for Compensation. A Special Majority Approval for Compensation requires shareholder approval by a majority vote of the shares present and voting at a meeting of shareholders called for such purpose, provided that either: (i) such majority includes at least a majority of the shares held by all shareholders who are not controlling shareholders and do not have a personal interest in such compensation arrangement, excluding abstentions; or (ii) the total number of shares of non-controlling shareholders and shareholders who do not have a personal interest in the compensation arrangement and who vote against the arrangement does not exceed 2% of the company’s aggregate voting rights. We have adopted a compensation policy, which remains subject to shareholder approval. Even if the company’s shareholders do not approve the compensation policy, the board of directors may resolve to approve the compensation policy if and to the extent the board determines, in its judgment following internal discussions, that approval of the compensation policy is in the best interests of the company.</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compensation policy serves as the basis for decisions concerning the financial terms of employment or engagement of office holders, including exculpation, insurance, indemnification or any monetary payment or obligation of payment in respect of employment or engagement. The compensation policy relates to certain factors, including advancement of the company’s long-term objectives, business plan and policies, and creation of appropriate incentives for office holders. It also considers, among other things, the company’s risk management, size and the nature of its operations. The compensation policy furthermore considers the following additional factors:</w:t>
      </w:r>
    </w:p>
    <w:p>
      <w:pPr>
        <w:spacing w:after="0" w:line="191" w:lineRule="exact"/>
        <w:rPr>
          <w:sz w:val="20"/>
          <w:szCs w:val="20"/>
          <w:color w:val="auto"/>
        </w:rPr>
      </w:pPr>
    </w:p>
    <w:p>
      <w:pPr>
        <w:ind w:left="960" w:hanging="432"/>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education, skills, expertise and accomplishments of the relevant office holder;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office holder’s roles and responsibilities and prior compensation agreements with him or her;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relationship between the terms offered and the average compensation of the company’s personnel;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impact of disparities in salary upon work relationships in the company;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possibility of reducing variable compensation at the discretion of the board of directors;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possibility of setting a limit on the exercise value of non-cash variable equity-based compensation; and</w:t>
      </w:r>
    </w:p>
    <w:p>
      <w:pPr>
        <w:spacing w:after="0" w:line="34" w:lineRule="exact"/>
        <w:rPr>
          <w:rFonts w:ascii="MS PGothic" w:cs="MS PGothic" w:eastAsia="MS PGothic" w:hAnsi="MS PGothic"/>
          <w:sz w:val="13"/>
          <w:szCs w:val="13"/>
          <w:color w:val="auto"/>
        </w:rPr>
      </w:pPr>
    </w:p>
    <w:p>
      <w:pPr>
        <w:ind w:left="960" w:right="240" w:hanging="432"/>
        <w:spacing w:after="0" w:line="238" w:lineRule="auto"/>
        <w:tabs>
          <w:tab w:leader="none" w:pos="96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compensation policy also includes the following principles:</w:t>
      </w:r>
    </w:p>
    <w:p>
      <w:pPr>
        <w:spacing w:after="0" w:line="196" w:lineRule="exact"/>
        <w:rPr>
          <w:sz w:val="20"/>
          <w:szCs w:val="20"/>
          <w:color w:val="auto"/>
        </w:rPr>
      </w:pPr>
    </w:p>
    <w:p>
      <w:pPr>
        <w:ind w:left="960" w:hanging="432"/>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link between variable compensation and long-term performance and measurable criteria;</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relationship between variable and fixed compensation, and the ceiling for the value of variable compensation;</w:t>
      </w:r>
    </w:p>
    <w:p>
      <w:pPr>
        <w:spacing w:after="0" w:line="34" w:lineRule="exact"/>
        <w:rPr>
          <w:rFonts w:ascii="MS PGothic" w:cs="MS PGothic" w:eastAsia="MS PGothic" w:hAnsi="MS PGothic"/>
          <w:sz w:val="13"/>
          <w:szCs w:val="13"/>
          <w:color w:val="auto"/>
        </w:rPr>
      </w:pPr>
    </w:p>
    <w:p>
      <w:pPr>
        <w:ind w:left="960" w:right="280" w:hanging="432"/>
        <w:spacing w:after="0" w:line="232" w:lineRule="auto"/>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conditions under which an office holder would be required to repay compensation paid to him or her if it was later shown that the data upon which such compensation was based was inaccurate and was restated in the company’s financial statements;</w:t>
      </w:r>
    </w:p>
    <w:p>
      <w:pPr>
        <w:ind w:left="960" w:hanging="432"/>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minimum holding or vesting period for variable, equity-based compensation;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maximum limits for severance compensation.</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Compensation, Nominating and Corporate Governance Committee Roles</w:t>
      </w:r>
    </w:p>
    <w:p>
      <w:pPr>
        <w:spacing w:after="0" w:line="39"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The compensation, nominating and corporate governance committee is responsible for (i) recommending the compensation policy to our board of directors for its approval (and subsequent approval by our shareholders) and (ii) duties related to the compensation policy and to the compensation of our office holders, including:</w:t>
      </w:r>
    </w:p>
    <w:p>
      <w:pPr>
        <w:spacing w:after="0" w:line="188" w:lineRule="exact"/>
        <w:rPr>
          <w:sz w:val="20"/>
          <w:szCs w:val="20"/>
          <w:color w:val="auto"/>
        </w:rPr>
      </w:pPr>
    </w:p>
    <w:p>
      <w:pPr>
        <w:ind w:left="960" w:right="20" w:hanging="432"/>
        <w:spacing w:after="0" w:line="238" w:lineRule="auto"/>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recommending whether a compensation policy should continue in effect, if the then-current policy has a term of greater than five years from a company’s initial public offering, or otherwise three years (approval of either a new compensation policy or the continuation of an existing compensation policy must in any case occur five years from a company’s initial public offering, or otherwise every three years);</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recommending to the board of directors periodic updates to the compensation policy;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assessing implementation of the compensation policy;</w:t>
      </w:r>
    </w:p>
    <w:p>
      <w:pPr>
        <w:spacing w:after="0" w:line="34" w:lineRule="exact"/>
        <w:rPr>
          <w:rFonts w:ascii="MS PGothic" w:cs="MS PGothic" w:eastAsia="MS PGothic" w:hAnsi="MS PGothic"/>
          <w:sz w:val="13"/>
          <w:szCs w:val="13"/>
          <w:color w:val="auto"/>
        </w:rPr>
      </w:pPr>
    </w:p>
    <w:p>
      <w:pPr>
        <w:ind w:left="960" w:right="360" w:hanging="432"/>
        <w:spacing w:after="0" w:line="243" w:lineRule="auto"/>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determining whether to approve the terms of compensation of certain office holders which, according to the Israeli Companies Law, require the committee’s approval; and</w:t>
      </w:r>
    </w:p>
    <w:p>
      <w:pPr>
        <w:spacing w:after="0" w:line="22" w:lineRule="exact"/>
        <w:rPr>
          <w:rFonts w:ascii="MS PGothic" w:cs="MS PGothic" w:eastAsia="MS PGothic" w:hAnsi="MS PGothic"/>
          <w:sz w:val="13"/>
          <w:szCs w:val="13"/>
          <w:color w:val="auto"/>
        </w:rPr>
      </w:pPr>
    </w:p>
    <w:p>
      <w:pPr>
        <w:ind w:left="960" w:right="200" w:hanging="432"/>
        <w:spacing w:after="0" w:line="243" w:lineRule="auto"/>
        <w:tabs>
          <w:tab w:leader="none" w:pos="96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determining whether the compensation terms of a candidate for the position of the chief executive officer of the company needs to be brought to approval of the shareholders.</w:t>
      </w:r>
    </w:p>
    <w:p>
      <w:pPr>
        <w:spacing w:after="0" w:line="144"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Our compensation, nominating and corporate governance charter sets forth the responsibilities of the compensation, nominating and corporate committee, which include:</w:t>
      </w:r>
    </w:p>
    <w:p>
      <w:pPr>
        <w:spacing w:after="0" w:line="185" w:lineRule="exact"/>
        <w:rPr>
          <w:sz w:val="20"/>
          <w:szCs w:val="20"/>
          <w:color w:val="auto"/>
        </w:rPr>
      </w:pPr>
    </w:p>
    <w:p>
      <w:pPr>
        <w:ind w:left="960" w:hanging="432"/>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responsibilities set forth in the compensation policy;</w:t>
      </w:r>
    </w:p>
    <w:p>
      <w:pPr>
        <w:spacing w:after="0" w:line="34" w:lineRule="exact"/>
        <w:rPr>
          <w:rFonts w:ascii="MS PGothic" w:cs="MS PGothic" w:eastAsia="MS PGothic" w:hAnsi="MS PGothic"/>
          <w:sz w:val="13"/>
          <w:szCs w:val="13"/>
          <w:color w:val="auto"/>
        </w:rPr>
      </w:pPr>
    </w:p>
    <w:p>
      <w:pPr>
        <w:ind w:left="960" w:right="300" w:hanging="432"/>
        <w:spacing w:after="0" w:line="243" w:lineRule="auto"/>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reviewing and approving the granting of options and other incentive awards to the extent such authority is delegated by our board of directors;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reviewing, evaluating and making recommendations regarding the compensation and benefits for our non-employee directors.</w:t>
      </w:r>
    </w:p>
    <w:p>
      <w:pPr>
        <w:spacing w:after="0" w:line="15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our compensation, nominating and corporate governance committee is responsible for:</w:t>
      </w:r>
    </w:p>
    <w:p>
      <w:pPr>
        <w:spacing w:after="0" w:line="196" w:lineRule="exact"/>
        <w:rPr>
          <w:sz w:val="20"/>
          <w:szCs w:val="20"/>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overseeing our corporate governance functions on behalf of the board;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making recommendations to the board regarding corporate governance issues;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identifying and evaluating candidates to serve as our directors consistent with the criteria approved by the board;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reviewing and evaluating the performance of the board;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serving as a focal point for communication between director candidates, non-committee directors and our management;</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selecting or recommending to the board for selection candidates to the board;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making other recommendations to the board regarding affairs relating to our directors.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Disclosure of Compensation of Executive Officers</w:t>
      </w:r>
    </w:p>
    <w:p>
      <w:pPr>
        <w:spacing w:after="0" w:line="41"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Chief Financial Officer, President, Israeli Operation and other two most highly compensated executive officers on an individual, rather than on an aggregate, basis. Nevertheless, under regulations promulgated under the Israeli Companies Law, we are required to disclose the annual compensation of our five most highly compensated office holders (as defined under the Israeli Companies Law) on an individual basis, rather than on an aggregate basis. This disclosure will not be as extensive as that required of a U.S. domestic issuer. We intend to commence providing such disclosure, at the latest, in the notice (which is generally part of the proxy statement) for our 2018 annual general meeting of shareholders, which will be filed under cover of a Report of Foreign Private Issuer on Form 6-K and we may elect to provide such information at an earlier date.</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Internal Auditor</w:t>
      </w:r>
    </w:p>
    <w:p>
      <w:pPr>
        <w:spacing w:after="0" w:line="41"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Under the Israeli Companies Law, the board of directors of an Israeli public company must appoint an internal auditor recommended by the audit committee. An internal auditor may not be:</w:t>
      </w:r>
    </w:p>
    <w:p>
      <w:pPr>
        <w:spacing w:after="0" w:line="185" w:lineRule="exact"/>
        <w:rPr>
          <w:sz w:val="20"/>
          <w:szCs w:val="20"/>
          <w:color w:val="auto"/>
        </w:rPr>
      </w:pPr>
    </w:p>
    <w:p>
      <w:pPr>
        <w:ind w:left="960" w:hanging="432"/>
        <w:spacing w:after="0"/>
        <w:tabs>
          <w:tab w:leader="none" w:pos="96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 person (or a relative of a person) who holds more than 5% of the company’s outstanding shares or voting rights;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 person (or a relative of a person) who has the power to appoint a director or the general manager of the company;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an office holder (including a director) of the company (or a relative thereof);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 member of the company’s independent accounting firm, or anyone on its behalf.</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 role of the internal auditor is to examine, among other things, our compliance with applicable law and orderly business procedures, and to report to the chief executive officer, the chairman of the board and the chairman of the audit committee. The internal auditor is entitled to receive notice of audit committee meetings and to participate in them. In addition, the internal auditor may request that the chairman of the audit committee convene a meeting within a reasonable time to discuss an issue raised by the internal auditor. The internal auditor is responsible for preparing a proposal for an annual or periodical audit plan and submit such plan to the board of directors or the audit committee for their approval. We intend to appoint an internal auditor following the closing of this offering.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Fiduciary Duties of Directors and Executive Officers</w:t>
      </w:r>
    </w:p>
    <w:p>
      <w:pPr>
        <w:spacing w:after="0" w:line="41" w:lineRule="exact"/>
        <w:rPr>
          <w:sz w:val="20"/>
          <w:szCs w:val="20"/>
          <w:color w:val="auto"/>
        </w:rPr>
      </w:pPr>
    </w:p>
    <w:p>
      <w:pPr>
        <w:ind w:left="200" w:right="320"/>
        <w:spacing w:after="0" w:line="243" w:lineRule="auto"/>
        <w:rPr>
          <w:sz w:val="20"/>
          <w:szCs w:val="20"/>
          <w:color w:val="auto"/>
        </w:rPr>
      </w:pPr>
      <w:r>
        <w:rPr>
          <w:rFonts w:ascii="Arial" w:cs="Arial" w:eastAsia="Arial" w:hAnsi="Arial"/>
          <w:sz w:val="17"/>
          <w:szCs w:val="17"/>
          <w:color w:val="auto"/>
        </w:rPr>
        <w:t>The Israeli Companies Law codifies the fiduciary duties that office holders owe to a company. Each person listed in the table under “Executive Officers and Directors” is an office holder under the Israeli Companies Law.</w:t>
      </w:r>
    </w:p>
    <w:p>
      <w:pPr>
        <w:spacing w:after="0" w:line="144"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includes an obligation that an office holder act in good faith and in the best interests of the company.</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duty of care includes a duty to use reasonable means to obtain:</w:t>
      </w:r>
    </w:p>
    <w:p>
      <w:pPr>
        <w:spacing w:after="0" w:line="196" w:lineRule="exact"/>
        <w:rPr>
          <w:sz w:val="20"/>
          <w:szCs w:val="20"/>
          <w:color w:val="auto"/>
        </w:rPr>
      </w:pPr>
    </w:p>
    <w:p>
      <w:pPr>
        <w:ind w:left="960" w:hanging="432"/>
        <w:spacing w:after="0"/>
        <w:tabs>
          <w:tab w:leader="none" w:pos="96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all other important information pertaining to any such action.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duty of loyalty includes a duty to:</w:t>
      </w:r>
    </w:p>
    <w:p>
      <w:pPr>
        <w:spacing w:after="0" w:line="196" w:lineRule="exact"/>
        <w:rPr>
          <w:sz w:val="20"/>
          <w:szCs w:val="20"/>
          <w:color w:val="auto"/>
        </w:rPr>
      </w:pPr>
    </w:p>
    <w:p>
      <w:pPr>
        <w:ind w:left="960" w:right="100" w:hanging="432"/>
        <w:spacing w:after="0" w:line="243" w:lineRule="auto"/>
        <w:tabs>
          <w:tab w:leader="none" w:pos="96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refrain from any activity that is competitive with the company;</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refrain from exploiting any business opportunity of the company to receive a personal gain for himself or herself or others; and</w:t>
      </w:r>
    </w:p>
    <w:p>
      <w:pPr>
        <w:spacing w:after="0" w:line="34" w:lineRule="exact"/>
        <w:rPr>
          <w:rFonts w:ascii="MS PGothic" w:cs="MS PGothic" w:eastAsia="MS PGothic" w:hAnsi="MS PGothic"/>
          <w:sz w:val="13"/>
          <w:szCs w:val="13"/>
          <w:color w:val="auto"/>
        </w:rPr>
      </w:pPr>
    </w:p>
    <w:p>
      <w:pPr>
        <w:ind w:left="960" w:right="200" w:hanging="432"/>
        <w:spacing w:after="0" w:line="243" w:lineRule="auto"/>
        <w:tabs>
          <w:tab w:leader="none" w:pos="96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disclose to the company any information or documents relating to the company’s affairs which the office holder received as a result of his or her position as an office holder.</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Disclosure of Personal Interests of an Office Holder and Approval of Certain Transactions</w:t>
      </w:r>
    </w:p>
    <w:p>
      <w:pPr>
        <w:spacing w:after="0" w:line="39"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action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5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A personal interest also includes the personal interest of a person for whom the office holder holds a voting proxy or the personal interest of the office holder with respect to his or her vote on behalf of a person for whom he or she holds a proxy even if such person has no personal interest in the matter. An office holder is not, however, required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91" w:lineRule="exact"/>
        <w:rPr>
          <w:sz w:val="20"/>
          <w:szCs w:val="20"/>
          <w:color w:val="auto"/>
        </w:rPr>
      </w:pPr>
    </w:p>
    <w:p>
      <w:pPr>
        <w:ind w:left="960" w:hanging="432"/>
        <w:spacing w:after="0"/>
        <w:tabs>
          <w:tab w:leader="none" w:pos="96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transaction other than in the ordinary course of business;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transaction that is not on market terms;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transaction that may have a material impact on a company’s profitability, assets or liabilities.</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company’s interest or that is not performed by the office holder in good faith.</w:t>
      </w:r>
    </w:p>
    <w:p>
      <w:pPr>
        <w:spacing w:after="0" w:line="150" w:lineRule="exact"/>
        <w:rPr>
          <w:sz w:val="20"/>
          <w:szCs w:val="20"/>
          <w:color w:val="auto"/>
        </w:rPr>
      </w:pPr>
    </w:p>
    <w:p>
      <w:pPr>
        <w:ind w:left="200" w:right="580"/>
        <w:spacing w:after="0" w:line="243" w:lineRule="auto"/>
        <w:rPr>
          <w:sz w:val="20"/>
          <w:szCs w:val="20"/>
          <w:color w:val="auto"/>
        </w:rPr>
      </w:pPr>
      <w:r>
        <w:rPr>
          <w:rFonts w:ascii="Arial" w:cs="Arial" w:eastAsia="Arial" w:hAnsi="Arial"/>
          <w:sz w:val="17"/>
          <w:szCs w:val="17"/>
          <w:color w:val="auto"/>
        </w:rPr>
        <w:t>An extraordinary transaction in which an office holder has a personal interest requires approval first by the company’s audit committee and subsequently by the board of directors.</w:t>
      </w:r>
    </w:p>
    <w:p>
      <w:pPr>
        <w:spacing w:after="0" w:line="14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compensation of, or an undertaking to indemnify or insure, an office holder who is not a director generally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Majority Approval for Compensation. If the shareholders of a company do not approve the compensation terms of office holders at a meeting of the shareholders, other than directors, the compensation committee and board of directors may override the shareholders’ decision, subject to certain conditions. Arrangements regarding the compensation, indemnification or</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insurance of a director require the approval of the compensation committee, board of directors and shareholders by simple majority, in that order, and under certain circumstances, a Special Majority Approval for Compensation.</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the chairman of the audit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Disclosure of Personal Interests of Controlling Shareholders and Approval of Certain Transactions</w:t>
      </w:r>
    </w:p>
    <w:p>
      <w:pPr>
        <w:spacing w:after="0" w:line="39"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spacing w:after="0" w:line="149"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 approval of the audit committee, the board of directors and the shareholders of the company, in that order, is required for (i) extraordinary transactions with a controlling shareholder or in which a controlling shareholder has a personal interest, (ii) the engagement with a controlling shareholder or his or her relative, directly or indirectly, for the provision of services to the company, (iii) the terms of engagement and compensation of a controlling shareholder or his or her relative who is not an office holder or (iv) the employment of a controlling shareholder or his or her relative by the company, other than as an office holder. In addition, the shareholder approval requires one of the following, which we refer to as a Special Majority:</w:t>
      </w:r>
    </w:p>
    <w:p>
      <w:pPr>
        <w:spacing w:after="0" w:line="189" w:lineRule="exact"/>
        <w:rPr>
          <w:sz w:val="20"/>
          <w:szCs w:val="20"/>
          <w:color w:val="auto"/>
        </w:rPr>
      </w:pPr>
    </w:p>
    <w:p>
      <w:pPr>
        <w:ind w:left="960" w:right="260" w:hanging="432"/>
        <w:spacing w:after="0" w:line="243" w:lineRule="auto"/>
        <w:tabs>
          <w:tab w:leader="none" w:pos="96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at least a majority of the shares held by all shareholders who do not have a personal interest in the transaction and who are present and voting at the meeting approves the transaction, excluding abstentions; or</w:t>
      </w:r>
    </w:p>
    <w:p>
      <w:pPr>
        <w:spacing w:after="0" w:line="22" w:lineRule="exact"/>
        <w:rPr>
          <w:rFonts w:ascii="MS PGothic" w:cs="MS PGothic" w:eastAsia="MS PGothic" w:hAnsi="MS PGothic"/>
          <w:sz w:val="13"/>
          <w:szCs w:val="13"/>
          <w:color w:val="auto"/>
        </w:rPr>
      </w:pPr>
    </w:p>
    <w:p>
      <w:pPr>
        <w:ind w:left="960" w:right="280" w:hanging="432"/>
        <w:spacing w:after="0" w:line="243" w:lineRule="auto"/>
        <w:tabs>
          <w:tab w:leader="none" w:pos="96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aggregate voting rights in the company.</w:t>
      </w:r>
    </w:p>
    <w:p>
      <w:pPr>
        <w:spacing w:after="0" w:line="144"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48" w:lineRule="exact"/>
        <w:rPr>
          <w:sz w:val="20"/>
          <w:szCs w:val="20"/>
          <w:color w:val="auto"/>
        </w:rPr>
      </w:pPr>
    </w:p>
    <w:p>
      <w:pPr>
        <w:ind w:left="200" w:right="320"/>
        <w:spacing w:after="0" w:line="243" w:lineRule="auto"/>
        <w:rPr>
          <w:sz w:val="20"/>
          <w:szCs w:val="20"/>
          <w:color w:val="auto"/>
        </w:rPr>
      </w:pPr>
      <w:r>
        <w:rPr>
          <w:rFonts w:ascii="Arial" w:cs="Arial" w:eastAsia="Arial" w:hAnsi="Arial"/>
          <w:sz w:val="17"/>
          <w:szCs w:val="17"/>
          <w:color w:val="auto"/>
        </w:rPr>
        <w:t>Arrangements regarding the compensation, indemnification or insurance of a controlling shareholder in his or her capacity as an office holder require the approval of the compensation committee, board of directors and shareholders by a Special Majority.</w:t>
      </w:r>
    </w:p>
    <w:p>
      <w:pPr>
        <w:spacing w:after="0" w:line="144"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Shareholder Duties</w:t>
      </w:r>
    </w:p>
    <w:p>
      <w:pPr>
        <w:spacing w:after="0" w:line="39"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7"/>
          <w:szCs w:val="17"/>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8" w:lineRule="exact"/>
        <w:rPr>
          <w:sz w:val="20"/>
          <w:szCs w:val="20"/>
          <w:color w:val="auto"/>
        </w:rPr>
      </w:pPr>
    </w:p>
    <w:p>
      <w:pPr>
        <w:ind w:left="960" w:hanging="432"/>
        <w:spacing w:after="0"/>
        <w:tabs>
          <w:tab w:leader="none" w:pos="96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an amendment to the company’s articles of association;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an increase of the company’s authorized share capital;</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60"/>
          </w:cols>
          <w:pgMar w:left="24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hanging="432"/>
        <w:spacing w:after="0"/>
        <w:tabs>
          <w:tab w:leader="none" w:pos="96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 merger;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the approval of related party transactions and acts of office holders that require shareholder approval.</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shareholder also has a general duty to refrain from discriminating against other shareholders.</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93"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 company may not exculpate in advance a director from liability arising out of a breach of the duty of care with respect to a distribution.</w:t>
      </w:r>
    </w:p>
    <w:p>
      <w:pPr>
        <w:spacing w:after="0" w:line="150"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8" w:lineRule="exact"/>
        <w:rPr>
          <w:sz w:val="20"/>
          <w:szCs w:val="20"/>
          <w:color w:val="auto"/>
        </w:rPr>
      </w:pPr>
    </w:p>
    <w:p>
      <w:pPr>
        <w:jc w:val="both"/>
        <w:ind w:left="960" w:right="120" w:hanging="432"/>
        <w:spacing w:after="0" w:line="235" w:lineRule="auto"/>
        <w:tabs>
          <w:tab w:leader="none" w:pos="96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8" w:lineRule="exact"/>
        <w:rPr>
          <w:rFonts w:ascii="MS PGothic" w:cs="MS PGothic" w:eastAsia="MS PGothic" w:hAnsi="MS PGothic"/>
          <w:sz w:val="13"/>
          <w:szCs w:val="13"/>
          <w:color w:val="auto"/>
        </w:rPr>
      </w:pPr>
    </w:p>
    <w:p>
      <w:pPr>
        <w:ind w:left="960" w:right="60" w:hanging="432"/>
        <w:spacing w:after="0" w:line="235" w:lineRule="auto"/>
        <w:tabs>
          <w:tab w:leader="none" w:pos="96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6" w:lineRule="exact"/>
        <w:rPr>
          <w:rFonts w:ascii="MS PGothic" w:cs="MS PGothic" w:eastAsia="MS PGothic" w:hAnsi="MS PGothic"/>
          <w:sz w:val="13"/>
          <w:szCs w:val="13"/>
          <w:color w:val="auto"/>
        </w:rPr>
      </w:pPr>
    </w:p>
    <w:p>
      <w:pPr>
        <w:ind w:left="960" w:right="20" w:hanging="432"/>
        <w:spacing w:after="0" w:line="238" w:lineRule="auto"/>
        <w:tabs>
          <w:tab w:leader="none" w:pos="96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8"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85" w:lineRule="exact"/>
        <w:rPr>
          <w:sz w:val="20"/>
          <w:szCs w:val="20"/>
          <w:color w:val="auto"/>
        </w:rPr>
      </w:pPr>
    </w:p>
    <w:p>
      <w:pPr>
        <w:ind w:left="960" w:right="100" w:hanging="432"/>
        <w:spacing w:after="0" w:line="243" w:lineRule="auto"/>
        <w:tabs>
          <w:tab w:leader="none" w:pos="96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to the company, provided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960" w:right="360" w:hanging="432"/>
        <w:spacing w:after="0" w:line="243" w:lineRule="auto"/>
        <w:tabs>
          <w:tab w:leader="none" w:pos="96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breach of the duty of care to the company or to a third party, to the extent such a breach arises out of the negligent conduct of the office holder;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financial liability imposed on the office holder in favor of a third party.</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 the Israeli Companies Law, a company may not indemnify, exculpate or insure an office holder against any of the following:</w:t>
      </w:r>
    </w:p>
    <w:p>
      <w:pPr>
        <w:spacing w:after="0" w:line="196" w:lineRule="exact"/>
        <w:rPr>
          <w:sz w:val="20"/>
          <w:szCs w:val="20"/>
          <w:color w:val="auto"/>
        </w:rPr>
      </w:pPr>
    </w:p>
    <w:p>
      <w:pPr>
        <w:ind w:left="960" w:right="60" w:hanging="432"/>
        <w:spacing w:after="0" w:line="243" w:lineRule="auto"/>
        <w:tabs>
          <w:tab w:leader="none" w:pos="96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960" w:right="160" w:hanging="432"/>
        <w:spacing w:after="0" w:line="243" w:lineRule="auto"/>
        <w:tabs>
          <w:tab w:leader="none" w:pos="96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16" w:lineRule="exact"/>
        <w:rPr>
          <w:rFonts w:ascii="MS PGothic" w:cs="MS PGothic" w:eastAsia="MS PGothic" w:hAnsi="MS PGothic"/>
          <w:sz w:val="13"/>
          <w:szCs w:val="13"/>
          <w:color w:val="auto"/>
        </w:rPr>
      </w:pPr>
    </w:p>
    <w:p>
      <w:pPr>
        <w:ind w:left="960" w:hanging="432"/>
        <w:spacing w:after="0"/>
        <w:tabs>
          <w:tab w:leader="none" w:pos="96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an act or omission committed with intent to derive illegal personal benefit; or</w:t>
      </w:r>
    </w:p>
    <w:p>
      <w:pPr>
        <w:ind w:left="960" w:hanging="432"/>
        <w:spacing w:after="0"/>
        <w:tabs>
          <w:tab w:leader="none" w:pos="96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fine, civil fine, monetary sanction or forfeit levied against the office holder.</w:t>
      </w:r>
    </w:p>
    <w:p>
      <w:pPr>
        <w:spacing w:after="0" w:line="156" w:lineRule="exact"/>
        <w:rPr>
          <w:sz w:val="20"/>
          <w:szCs w:val="20"/>
          <w:color w:val="auto"/>
        </w:rPr>
      </w:pPr>
    </w:p>
    <w:p>
      <w:pPr>
        <w:ind w:left="200" w:right="340"/>
        <w:spacing w:after="0" w:line="238"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Law—Fiduciary Duties of Directors and Executive Officers.”</w:t>
      </w:r>
    </w:p>
    <w:p>
      <w:pPr>
        <w:spacing w:after="0" w:line="148"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Our amended and restated articles of association permit us to exculpate, indemnify and insure our office holders to the fullest extent permitted or to be permitted by the Israeli Companies Law.</w:t>
      </w:r>
    </w:p>
    <w:p>
      <w:pPr>
        <w:spacing w:after="0" w:line="144"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We maintain directors and officers liability insurance for the benefit of our office holders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Israeli law, including with respect to liabilities resulting from this offering to the extent that these liabilities are not covered by insurance. In the opinion of the SEC, however, indemnification of directors and office holders for liabilities arising under the Securities Act is against public policy and therefore unenforceable.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have adopted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Ethics is posted on our website at www.urogen.com.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80"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The aggregate compensation paid and equity-based compensation and other payments expensed by us to our directors and executive officers with respect to the year ended December 31, 2016 was $1.8 million. This amount does not include business travel, relocation, professional and business association dues and expenses reimbursed to office holders, and other benefits commonly reimbursed or paid by companies in our industry.</w:t>
      </w:r>
    </w:p>
    <w:p>
      <w:pPr>
        <w:spacing w:after="0" w:line="149"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During the year ended December 31, 2017, our directors and executive officers were granted options to purchase 355,000 ordinary shares, at a weighted-average exercise price of $20.71 per share under our 2010 Israeli Share Option Plan. As of December 31, 2017, options to purchase 1,141,106 ordinary shares and restricted share units covering 194,560 ordinary shares, granted to our directors and executive officers, remained outstanding. Since our initial public offering, our board of directors has approved certain modifications and new terms of compensation for our directors and office holders (as such term is used under Israeli law). Under Israeli law, modifications or new compensation to directors and other office holders that was approved by the board prior to adoption of a compensation policy, or which is inconsistent with the company’s stated compensation policy,</w:t>
      </w:r>
    </w:p>
    <w:p>
      <w:pPr>
        <w:spacing w:after="0" w:line="14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20"/>
          </w:cols>
          <w:pgMar w:left="24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would generally be subject to shareholder approval. We have called a shareholders’ meeting to approve such matters.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adopted a compensation policy in accordance with the Israeli Companies Law, which remains subject to shareholder approval.</w:t>
      </w:r>
    </w:p>
    <w:p>
      <w:pPr>
        <w:spacing w:after="0" w:line="156" w:lineRule="exact"/>
        <w:rPr>
          <w:sz w:val="20"/>
          <w:szCs w:val="20"/>
          <w:color w:val="auto"/>
        </w:rPr>
      </w:pPr>
    </w:p>
    <w:p>
      <w:pPr>
        <w:ind w:left="200" w:right="560"/>
        <w:spacing w:after="0" w:line="243" w:lineRule="auto"/>
        <w:rPr>
          <w:sz w:val="20"/>
          <w:szCs w:val="20"/>
          <w:color w:val="auto"/>
        </w:rPr>
      </w:pPr>
      <w:r>
        <w:rPr>
          <w:rFonts w:ascii="Arial" w:cs="Arial" w:eastAsia="Arial" w:hAnsi="Arial"/>
          <w:sz w:val="17"/>
          <w:szCs w:val="17"/>
          <w:color w:val="auto"/>
        </w:rPr>
        <w:t>We do not have any written agreements with any director providing for benefits upon the termination of such director’s relationship with our company, other than our employment agreement with our Chief Executive Officer.</w:t>
      </w:r>
    </w:p>
    <w:p>
      <w:pPr>
        <w:spacing w:after="0" w:line="144"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Our board has approved the following components of officer and director compensation, and we have filed a proxy statement in connection with an extraordinary meeting of shareholders to be held on February 14, 2018 to obtain shareholder approval for these matters:</w:t>
      </w:r>
    </w:p>
    <w:p>
      <w:pPr>
        <w:spacing w:after="0" w:line="185" w:lineRule="exact"/>
        <w:rPr>
          <w:sz w:val="20"/>
          <w:szCs w:val="20"/>
          <w:color w:val="auto"/>
        </w:rPr>
      </w:pPr>
    </w:p>
    <w:p>
      <w:pPr>
        <w:ind w:left="960" w:hanging="432"/>
        <w:spacing w:after="0"/>
        <w:tabs>
          <w:tab w:leader="none" w:pos="96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Our 2018 Officers’ Compensation Policy provides for, among other things, the following:</w:t>
      </w:r>
    </w:p>
    <w:p>
      <w:pPr>
        <w:spacing w:after="0" w:line="34" w:lineRule="exact"/>
        <w:rPr>
          <w:rFonts w:ascii="MS PGothic" w:cs="MS PGothic" w:eastAsia="MS PGothic" w:hAnsi="MS PGothic"/>
          <w:sz w:val="13"/>
          <w:szCs w:val="13"/>
          <w:color w:val="auto"/>
        </w:rPr>
      </w:pPr>
    </w:p>
    <w:p>
      <w:pPr>
        <w:ind w:left="1400" w:right="14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base salary for the chief executive officer shall be $535,000 per year, subject to annual updating at a rate not to exceed 10% per year;</w:t>
      </w:r>
    </w:p>
    <w:p>
      <w:pPr>
        <w:spacing w:after="0" w:line="22" w:lineRule="exact"/>
        <w:rPr>
          <w:rFonts w:ascii="MS PGothic" w:cs="MS PGothic" w:eastAsia="MS PGothic" w:hAnsi="MS PGothic"/>
          <w:sz w:val="13"/>
          <w:szCs w:val="13"/>
          <w:color w:val="auto"/>
        </w:rPr>
      </w:pPr>
    </w:p>
    <w:p>
      <w:pPr>
        <w:ind w:left="1400" w:right="24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base salary for any officer reporting directly to the chief executive officer shall be between $300,000 per year and $500,000 per year;</w:t>
      </w:r>
    </w:p>
    <w:p>
      <w:pPr>
        <w:spacing w:after="0" w:line="22" w:lineRule="exact"/>
        <w:rPr>
          <w:rFonts w:ascii="MS PGothic" w:cs="MS PGothic" w:eastAsia="MS PGothic" w:hAnsi="MS PGothic"/>
          <w:sz w:val="13"/>
          <w:szCs w:val="13"/>
          <w:color w:val="auto"/>
        </w:rPr>
      </w:pPr>
    </w:p>
    <w:p>
      <w:pPr>
        <w:ind w:left="1400" w:right="14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aggregate amount of all annual bonuses paid to each officer shall not exceed the gross sum equal to 50% of the base salary with respect to such officers;</w:t>
      </w:r>
    </w:p>
    <w:p>
      <w:pPr>
        <w:spacing w:after="0" w:line="22" w:lineRule="exact"/>
        <w:rPr>
          <w:rFonts w:ascii="MS PGothic" w:cs="MS PGothic" w:eastAsia="MS PGothic" w:hAnsi="MS PGothic"/>
          <w:sz w:val="13"/>
          <w:szCs w:val="13"/>
          <w:color w:val="auto"/>
        </w:rPr>
      </w:pPr>
    </w:p>
    <w:p>
      <w:pPr>
        <w:ind w:left="1400" w:right="6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amount of annual share based compensation granted to the officers shall not exceed 150,000 options or restricted stock units in the case of the chief executive officer and 80,000 in the case of any officer reporting directly to the chief executive officer;</w:t>
      </w:r>
    </w:p>
    <w:p>
      <w:pPr>
        <w:spacing w:after="0" w:line="22" w:lineRule="exact"/>
        <w:rPr>
          <w:rFonts w:ascii="MS PGothic" w:cs="MS PGothic" w:eastAsia="MS PGothic" w:hAnsi="MS PGothic"/>
          <w:sz w:val="13"/>
          <w:szCs w:val="13"/>
          <w:color w:val="auto"/>
        </w:rPr>
      </w:pPr>
    </w:p>
    <w:p>
      <w:pPr>
        <w:ind w:left="1400" w:hanging="426"/>
        <w:spacing w:after="0"/>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additional annual cash compensation payable to the chairman of the board is $75,000 and $40,000 for each director;</w:t>
      </w:r>
    </w:p>
    <w:p>
      <w:pPr>
        <w:spacing w:after="0" w:line="34" w:lineRule="exact"/>
        <w:rPr>
          <w:rFonts w:ascii="MS PGothic" w:cs="MS PGothic" w:eastAsia="MS PGothic" w:hAnsi="MS PGothic"/>
          <w:sz w:val="13"/>
          <w:szCs w:val="13"/>
          <w:color w:val="auto"/>
        </w:rPr>
      </w:pPr>
    </w:p>
    <w:p>
      <w:pPr>
        <w:ind w:left="1400" w:right="4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additional annual cash compensation payable to the chairman of the audit committee is $20,000 and $7,500 for each member of the audit committee;</w:t>
      </w:r>
    </w:p>
    <w:p>
      <w:pPr>
        <w:spacing w:after="0" w:line="22" w:lineRule="exact"/>
        <w:rPr>
          <w:rFonts w:ascii="MS PGothic" w:cs="MS PGothic" w:eastAsia="MS PGothic" w:hAnsi="MS PGothic"/>
          <w:sz w:val="13"/>
          <w:szCs w:val="13"/>
          <w:color w:val="auto"/>
        </w:rPr>
      </w:pPr>
    </w:p>
    <w:p>
      <w:pPr>
        <w:ind w:left="1400" w:right="78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the annual cash compensation payable to the chairman of the compensation and nominating and corporate governance committees is $15,000 and $5,000 for each member of such committee;</w:t>
      </w:r>
    </w:p>
    <w:p>
      <w:pPr>
        <w:spacing w:after="0" w:line="22" w:lineRule="exact"/>
        <w:rPr>
          <w:rFonts w:ascii="MS PGothic" w:cs="MS PGothic" w:eastAsia="MS PGothic" w:hAnsi="MS PGothic"/>
          <w:sz w:val="13"/>
          <w:szCs w:val="13"/>
          <w:color w:val="auto"/>
        </w:rPr>
      </w:pPr>
    </w:p>
    <w:p>
      <w:pPr>
        <w:ind w:left="1400" w:hanging="426"/>
        <w:spacing w:after="0"/>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each director shall be eligible for an initial grant of 20,000 options upon joining the board of directors; and</w:t>
      </w:r>
    </w:p>
    <w:p>
      <w:pPr>
        <w:spacing w:after="0" w:line="34" w:lineRule="exact"/>
        <w:rPr>
          <w:rFonts w:ascii="MS PGothic" w:cs="MS PGothic" w:eastAsia="MS PGothic" w:hAnsi="MS PGothic"/>
          <w:sz w:val="13"/>
          <w:szCs w:val="13"/>
          <w:color w:val="auto"/>
        </w:rPr>
      </w:pPr>
    </w:p>
    <w:p>
      <w:pPr>
        <w:ind w:left="1400" w:hanging="426"/>
        <w:spacing w:after="0"/>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each non-employee director shall be eligible for an annual grant of 10,000 options.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The following director options:</w:t>
      </w:r>
    </w:p>
    <w:p>
      <w:pPr>
        <w:spacing w:after="0" w:line="34" w:lineRule="exact"/>
        <w:rPr>
          <w:rFonts w:ascii="MS PGothic" w:cs="MS PGothic" w:eastAsia="MS PGothic" w:hAnsi="MS PGothic"/>
          <w:sz w:val="13"/>
          <w:szCs w:val="13"/>
          <w:color w:val="auto"/>
        </w:rPr>
      </w:pPr>
    </w:p>
    <w:p>
      <w:pPr>
        <w:ind w:left="140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 grant of options to each of Prof. Arie Belldegrun, Dr. Stuart Holden, Dr. Pini Orbach and Mr. Ran Nussbaum, to purchase 10,000 of our ordinary shares at an exercise price of $17.67;</w:t>
      </w:r>
    </w:p>
    <w:p>
      <w:pPr>
        <w:spacing w:after="0" w:line="22" w:lineRule="exact"/>
        <w:rPr>
          <w:rFonts w:ascii="MS PGothic" w:cs="MS PGothic" w:eastAsia="MS PGothic" w:hAnsi="MS PGothic"/>
          <w:sz w:val="13"/>
          <w:szCs w:val="13"/>
          <w:color w:val="auto"/>
        </w:rPr>
      </w:pPr>
    </w:p>
    <w:p>
      <w:pPr>
        <w:ind w:left="1400" w:right="2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 grant of options to Prof. Arie Belldegrun, as Chairman of our board of directors, to purchase an additional 40,000 of our ordinary shares at an exercise price of $43.67; and</w:t>
      </w:r>
    </w:p>
    <w:p>
      <w:pPr>
        <w:spacing w:after="0" w:line="22" w:lineRule="exact"/>
        <w:rPr>
          <w:rFonts w:ascii="MS PGothic" w:cs="MS PGothic" w:eastAsia="MS PGothic" w:hAnsi="MS PGothic"/>
          <w:sz w:val="13"/>
          <w:szCs w:val="13"/>
          <w:color w:val="auto"/>
        </w:rPr>
      </w:pPr>
    </w:p>
    <w:p>
      <w:pPr>
        <w:ind w:left="1400" w:right="140" w:hanging="426"/>
        <w:spacing w:after="0" w:line="238"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 grant of options to each of Ms. Kathryn Falberg and Dr. Fred Cohen, to purchase 40,000 of our ordinary shares, and a grant of options to Ms. Cynthia Butitta to purchase 50,000 of our ordinary shares at exercise prices of $13.00, $16.99 and $30.66, respectively.</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The following officer compensation:</w:t>
      </w:r>
    </w:p>
    <w:p>
      <w:pPr>
        <w:spacing w:after="0" w:line="34" w:lineRule="exact"/>
        <w:rPr>
          <w:rFonts w:ascii="MS PGothic" w:cs="MS PGothic" w:eastAsia="MS PGothic" w:hAnsi="MS PGothic"/>
          <w:sz w:val="13"/>
          <w:szCs w:val="13"/>
          <w:color w:val="auto"/>
        </w:rPr>
      </w:pPr>
    </w:p>
    <w:p>
      <w:pPr>
        <w:ind w:left="1400" w:hanging="426"/>
        <w:spacing w:after="0"/>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an annual base salary of $535,000 and a 50% annual target bonus to Ron Bentsur;</w:t>
      </w:r>
    </w:p>
    <w:p>
      <w:pPr>
        <w:spacing w:after="0" w:line="34" w:lineRule="exact"/>
        <w:rPr>
          <w:rFonts w:ascii="MS PGothic" w:cs="MS PGothic" w:eastAsia="MS PGothic" w:hAnsi="MS PGothic"/>
          <w:sz w:val="13"/>
          <w:szCs w:val="13"/>
          <w:color w:val="auto"/>
        </w:rPr>
      </w:pPr>
    </w:p>
    <w:p>
      <w:pPr>
        <w:ind w:left="1400" w:right="40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an annual base salary of $360,000, a 40% annual target bonus, and an additional $100,000 bonus in connection with the our initial public offering to Gil Hakim;</w:t>
      </w:r>
    </w:p>
    <w:p>
      <w:pPr>
        <w:spacing w:after="0" w:line="22" w:lineRule="exact"/>
        <w:rPr>
          <w:rFonts w:ascii="MS PGothic" w:cs="MS PGothic" w:eastAsia="MS PGothic" w:hAnsi="MS PGothic"/>
          <w:sz w:val="13"/>
          <w:szCs w:val="13"/>
          <w:color w:val="auto"/>
        </w:rPr>
      </w:pPr>
    </w:p>
    <w:p>
      <w:pPr>
        <w:ind w:left="1400" w:hanging="426"/>
        <w:spacing w:after="0"/>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an annual base salary of $360,000 and a 40% annual target bonus to Gary Titus;</w:t>
      </w:r>
    </w:p>
    <w:p>
      <w:pPr>
        <w:spacing w:after="0" w:line="34" w:lineRule="exact"/>
        <w:rPr>
          <w:rFonts w:ascii="MS PGothic" w:cs="MS PGothic" w:eastAsia="MS PGothic" w:hAnsi="MS PGothic"/>
          <w:sz w:val="13"/>
          <w:szCs w:val="13"/>
          <w:color w:val="auto"/>
        </w:rPr>
      </w:pPr>
    </w:p>
    <w:p>
      <w:pPr>
        <w:ind w:left="1400" w:right="46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an annual base salary of $200,000 until December 7, 2018 and thereafter an annual base salary of $450,000, a 50% annual target bonus and a $75,000 signing bonus to Prof. Mark Schoenberg;</w:t>
      </w:r>
    </w:p>
    <w:p>
      <w:pPr>
        <w:spacing w:after="0" w:line="22" w:lineRule="exact"/>
        <w:rPr>
          <w:rFonts w:ascii="MS PGothic" w:cs="MS PGothic" w:eastAsia="MS PGothic" w:hAnsi="MS PGothic"/>
          <w:sz w:val="13"/>
          <w:szCs w:val="13"/>
          <w:color w:val="auto"/>
        </w:rPr>
      </w:pPr>
    </w:p>
    <w:p>
      <w:pPr>
        <w:ind w:left="1400" w:right="40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 grant of options to Ron Bentsur to purchase 80,000 of our ordinary shares at an exercise price of $19.55 and 50,000 of our ordinary shares at an exercise price of $43.67;</w:t>
      </w:r>
    </w:p>
    <w:p>
      <w:pPr>
        <w:spacing w:after="0" w:line="22" w:lineRule="exact"/>
        <w:rPr>
          <w:rFonts w:ascii="MS PGothic" w:cs="MS PGothic" w:eastAsia="MS PGothic" w:hAnsi="MS PGothic"/>
          <w:sz w:val="13"/>
          <w:szCs w:val="13"/>
          <w:color w:val="auto"/>
        </w:rPr>
      </w:pPr>
    </w:p>
    <w:p>
      <w:pPr>
        <w:ind w:left="1400" w:right="620" w:hanging="426"/>
        <w:spacing w:after="0" w:line="243" w:lineRule="auto"/>
        <w:tabs>
          <w:tab w:leader="none" w:pos="1400" w:val="left"/>
        </w:tabs>
        <w:numPr>
          <w:ilvl w:val="1"/>
          <w:numId w:val="84"/>
        </w:numPr>
        <w:rPr>
          <w:rFonts w:ascii="MS PGothic" w:cs="MS PGothic" w:eastAsia="MS PGothic" w:hAnsi="MS PGothic"/>
          <w:sz w:val="13"/>
          <w:szCs w:val="13"/>
          <w:color w:val="auto"/>
        </w:rPr>
      </w:pPr>
      <w:r>
        <w:rPr>
          <w:rFonts w:ascii="Arial" w:cs="Arial" w:eastAsia="Arial" w:hAnsi="Arial"/>
          <w:sz w:val="17"/>
          <w:szCs w:val="17"/>
          <w:color w:val="auto"/>
        </w:rPr>
        <w:t>a grant of options to Gil Hakim to purchase 50,000 of our ordinary shares at an exercise price of $19.55 and 30,000 of our ordinary shares at an exercise price of $43.67;</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400" w:right="560" w:hanging="426"/>
        <w:spacing w:after="0" w:line="243" w:lineRule="auto"/>
        <w:tabs>
          <w:tab w:leader="none" w:pos="140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grant of options to Gary Titus to purchase 40,000 of our ordinary shares at an exercise price of $19.55 and 25,000 of our ordinary shares at an exercise price of $43.67;</w:t>
      </w:r>
    </w:p>
    <w:p>
      <w:pPr>
        <w:spacing w:after="0" w:line="22" w:lineRule="exact"/>
        <w:rPr>
          <w:rFonts w:ascii="MS PGothic" w:cs="MS PGothic" w:eastAsia="MS PGothic" w:hAnsi="MS PGothic"/>
          <w:sz w:val="13"/>
          <w:szCs w:val="13"/>
          <w:color w:val="auto"/>
        </w:rPr>
      </w:pPr>
    </w:p>
    <w:p>
      <w:pPr>
        <w:ind w:left="1400" w:right="60" w:hanging="426"/>
        <w:spacing w:after="0" w:line="243" w:lineRule="auto"/>
        <w:tabs>
          <w:tab w:leader="none" w:pos="140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grant of options to Prof. Mark Schoenberg to purchase 15,000 of our ordinary shares at an exercise price of $39.26 and 12,500 restricted stock units;</w:t>
      </w:r>
    </w:p>
    <w:p>
      <w:pPr>
        <w:spacing w:after="0" w:line="22" w:lineRule="exact"/>
        <w:rPr>
          <w:rFonts w:ascii="MS PGothic" w:cs="MS PGothic" w:eastAsia="MS PGothic" w:hAnsi="MS PGothic"/>
          <w:sz w:val="13"/>
          <w:szCs w:val="13"/>
          <w:color w:val="auto"/>
        </w:rPr>
      </w:pPr>
    </w:p>
    <w:p>
      <w:pPr>
        <w:ind w:left="1400" w:hanging="426"/>
        <w:spacing w:after="0"/>
        <w:tabs>
          <w:tab w:leader="none" w:pos="140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2017 bonus in the amount of $247,500 to Ron Bentsur;</w:t>
      </w:r>
    </w:p>
    <w:p>
      <w:pPr>
        <w:spacing w:after="0" w:line="34" w:lineRule="exact"/>
        <w:rPr>
          <w:rFonts w:ascii="MS PGothic" w:cs="MS PGothic" w:eastAsia="MS PGothic" w:hAnsi="MS PGothic"/>
          <w:sz w:val="13"/>
          <w:szCs w:val="13"/>
          <w:color w:val="auto"/>
        </w:rPr>
      </w:pPr>
    </w:p>
    <w:p>
      <w:pPr>
        <w:ind w:left="1400" w:hanging="426"/>
        <w:spacing w:after="0"/>
        <w:tabs>
          <w:tab w:leader="none" w:pos="140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2017 bonus in the amount of $125,125 to Gil Hakim; and</w:t>
      </w:r>
    </w:p>
    <w:p>
      <w:pPr>
        <w:spacing w:after="0" w:line="34" w:lineRule="exact"/>
        <w:rPr>
          <w:rFonts w:ascii="MS PGothic" w:cs="MS PGothic" w:eastAsia="MS PGothic" w:hAnsi="MS PGothic"/>
          <w:sz w:val="13"/>
          <w:szCs w:val="13"/>
          <w:color w:val="auto"/>
        </w:rPr>
      </w:pPr>
    </w:p>
    <w:p>
      <w:pPr>
        <w:ind w:left="1400" w:hanging="426"/>
        <w:spacing w:after="0"/>
        <w:tabs>
          <w:tab w:leader="none" w:pos="140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2017 bonus in the amount of $125,125 to Gary Titus.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Executive Officers; Consulting and Directorship Services Provided by Directors</w:t>
      </w:r>
    </w:p>
    <w:p>
      <w:pPr>
        <w:spacing w:after="0" w:line="93" w:lineRule="exact"/>
        <w:rPr>
          <w:sz w:val="20"/>
          <w:szCs w:val="20"/>
          <w:color w:val="auto"/>
        </w:rPr>
      </w:pPr>
    </w:p>
    <w:p>
      <w:pPr>
        <w:ind w:left="200" w:right="260"/>
        <w:spacing w:after="0" w:line="234" w:lineRule="auto"/>
        <w:rPr>
          <w:sz w:val="20"/>
          <w:szCs w:val="20"/>
          <w:color w:val="auto"/>
        </w:rPr>
      </w:pPr>
      <w:r>
        <w:rPr>
          <w:rFonts w:ascii="Arial" w:cs="Arial" w:eastAsia="Arial" w:hAnsi="Arial"/>
          <w:sz w:val="17"/>
          <w:szCs w:val="17"/>
          <w:color w:val="auto"/>
        </w:rPr>
        <w:t>We have entered into written employment agreements with all of our executive officers. These agreements contain standard provisions for a company in our industry regarding non-solicitation, confidentiality of information, non-competition and assignment of inventions. Our executive officers will not receive benefits upon the termination of their respective employment with us, other than payment of salary and benefits (and limited accrual of vacation days) during the required notice period for termination of their employment, which varies for each individual. In addition, we have entered into an agreement for management services with the chairman of our board of directors. See “Certain Relationships and Related Party Transactions—Agreements and Arrangements with, and Compensation of, Directors and Executive Officers” for additional information.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41"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Our board of directors adopted our 2017 Equity Incentive Plan, or our 2017 Plan, in March 2017 and our shareholders approved our 2017 Plan in April 2017. Our 2017 Plan provides for the grant of incentive stock options to our employees and for the grant of nonstatutory stock options, stock appreciation rights, restricted stock awards, restricted stock unit awards, performance stock awards, performance cash awards, and other forms of stock awards to our employees, directors and consultants.</w:t>
      </w:r>
    </w:p>
    <w:p>
      <w:pPr>
        <w:spacing w:after="0" w:line="131" w:lineRule="exact"/>
        <w:rPr>
          <w:sz w:val="20"/>
          <w:szCs w:val="20"/>
          <w:color w:val="auto"/>
        </w:rPr>
      </w:pPr>
    </w:p>
    <w:p>
      <w:pPr>
        <w:ind w:left="200" w:right="240"/>
        <w:spacing w:after="0" w:line="239"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maximum number of ordinary shares that may be issued under our 2017 Plan as of the date of this prospectus is</w:t>
      </w:r>
      <w:r>
        <w:rPr>
          <w:rFonts w:ascii="Arial" w:cs="Arial" w:eastAsia="Arial" w:hAnsi="Arial"/>
          <w:sz w:val="17"/>
          <w:szCs w:val="17"/>
          <w:i w:val="1"/>
          <w:iCs w:val="1"/>
          <w:color w:val="auto"/>
        </w:rPr>
        <w:t xml:space="preserve"> </w:t>
      </w:r>
      <w:r>
        <w:rPr>
          <w:rFonts w:ascii="Arial" w:cs="Arial" w:eastAsia="Arial" w:hAnsi="Arial"/>
          <w:sz w:val="17"/>
          <w:szCs w:val="17"/>
          <w:color w:val="auto"/>
        </w:rPr>
        <w:t>1,400,000. In addition, the number of ordinary shares reserved for issuance under our 2017 Plan will automatically increase on January 1st of each calendar year, from January 1, 2018 through January 1, 2026, so that the number of such shares reserved for issuance will equal 12% of the total number of ordinary shares outstanding on the last day of the calendar month prior to the date of each automatic increase, or a lesser number of shares determined by our board of directors. The maximum number of ordinary shares that may be issued upon the exercise of incentive stock options under our 2017 Plan is 5,600,000.</w:t>
      </w:r>
    </w:p>
    <w:p>
      <w:pPr>
        <w:spacing w:after="0" w:line="147"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Ordinary Shares subject to stock awards granted under our 2017 Plan that expire or terminate without being exercised in full, or that are paid out in cash rather than in shares, do not reduce the number of shares available for issuance under our 2017 Plan. Additionally, shares issued pursuant to stock awards under our 2017 Plan that we repurchase or that are forfeited, as well as shares used to pay the exercise price of a stock award or to satisfy the tax withholding obligations related to a stock award, become available for future grant under our 2017 Plan.</w:t>
      </w:r>
    </w:p>
    <w:p>
      <w:pPr>
        <w:spacing w:after="0" w:line="131" w:lineRule="exact"/>
        <w:rPr>
          <w:sz w:val="20"/>
          <w:szCs w:val="20"/>
          <w:color w:val="auto"/>
        </w:rPr>
      </w:pPr>
    </w:p>
    <w:p>
      <w:pPr>
        <w:ind w:left="200" w:right="40"/>
        <w:spacing w:after="0" w:line="23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board of directors, or a duly authorized committee of our board of directors, administers our 2017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also delegate to one or more of our officers the authority to (1) designate employees (other than officers) to receive specified stock awards and (2) determine the number of shares subject to such stock awards. Under the 2017 Plan, our board of directors has the authority to determine the terms of awards, including recipients, the exercise, purchase or strike price of stock awards, if any, the number of shares subject to each stock award, the fair market value of an Ordinary Share, the vesting schedule applicable to the awards, together with any vesting acceleration, the form of consideration, if any, payable upon exercise or settlement of the award and the terms of the award agreements.</w:t>
      </w:r>
    </w:p>
    <w:p>
      <w:pPr>
        <w:spacing w:after="0" w:line="129"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i w:val="1"/>
          <w:iCs w:val="1"/>
          <w:color w:val="auto"/>
        </w:rPr>
        <w:t xml:space="preserve">Section 162(m) Limits. </w:t>
      </w:r>
      <w:r>
        <w:rPr>
          <w:rFonts w:ascii="Arial" w:cs="Arial" w:eastAsia="Arial" w:hAnsi="Arial"/>
          <w:sz w:val="17"/>
          <w:szCs w:val="17"/>
          <w:color w:val="auto"/>
        </w:rPr>
        <w:t>At such time as necessary for compliance with Section 162(m) of the Code, no participant may be granted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covering more than 230,000 of our ordinary shares under the 2017 Plan during any calendar year pursuant to stock options, stock appreciation rights and other stock awards whose value is determined by reference to an increase over an exercise price or strike price of at least 100% of the fair market value of our</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240"/>
        <w:spacing w:after="0" w:line="236" w:lineRule="auto"/>
        <w:rPr>
          <w:sz w:val="20"/>
          <w:szCs w:val="20"/>
          <w:color w:val="auto"/>
        </w:rPr>
      </w:pPr>
      <w:r>
        <w:rPr>
          <w:rFonts w:ascii="Arial" w:cs="Arial" w:eastAsia="Arial" w:hAnsi="Arial"/>
          <w:sz w:val="17"/>
          <w:szCs w:val="17"/>
          <w:color w:val="auto"/>
        </w:rPr>
        <w:t>ordinary shares on the date of grant. Additionally, no participant may be granted in a calendar year a performance stock award covering more than 230,000 of our ordinary shares or a performance cash award having a maximum value in excess of $3.0 million under our 2017 Plan. The limitations are designed to allow us to grant compensation that will not be subject to the $1,000,000 annual limitation on the income tax deductibility of compensation paid to a covered executive officer imposed by Section 162(m) of the Code.</w:t>
      </w:r>
    </w:p>
    <w:p>
      <w:pPr>
        <w:spacing w:after="0" w:line="131"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2017 Plan, provided that the exercise price of a stock option generally cannot be less than 100% of the fair market value of our Ordinary Shares on the date of grant. Options granted under the 2017 Plan vest at the rate specified in the stock option agreement as determined by the plan administrator.</w:t>
      </w:r>
    </w:p>
    <w:p>
      <w:pPr>
        <w:spacing w:after="0" w:line="127"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 awards are granted pursuant to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or a duly authorized committee of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29"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A restricted stock award may be awarded in consideration for cash, check, bank draft or money order, past services to us or any other form of legal consideration that may be acceptable to our board of directors, or a duly authorized committee of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Ordinary Shares held by the participant that have not vested as of the date the participant terminates service with us.</w:t>
      </w:r>
    </w:p>
    <w:p>
      <w:pPr>
        <w:spacing w:after="0" w:line="129"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are granted pursuant to stock appreciation grant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purchase price or strike price for a stock appreciation right, which generally cannot be less than 100% of the fair market value of our Ordinary Shares on the date of grant. A stock appreciation right granted under the 2017 Plan vests at the rate specified in the stock appreciation right agreement as determined by the plan administrator.</w:t>
      </w:r>
    </w:p>
    <w:p>
      <w:pPr>
        <w:spacing w:after="0" w:line="127" w:lineRule="exact"/>
        <w:rPr>
          <w:sz w:val="20"/>
          <w:szCs w:val="20"/>
          <w:color w:val="auto"/>
        </w:rPr>
      </w:pPr>
    </w:p>
    <w:p>
      <w:pPr>
        <w:ind w:left="200" w:right="360"/>
        <w:spacing w:after="0" w:line="243"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The 2017 Plan permits the grant of performance-based stock and cash awards that may qualify as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that is not subject to the $1,000,000 limitation on the income tax deductibility imposed by Section 162(m) of the Code. Our compensation committee may structure awards so that the stock or cash will be issued or paid only following the achievement of certain pre-established performance goals during a designated performance period.</w:t>
      </w:r>
    </w:p>
    <w:p>
      <w:pPr>
        <w:spacing w:after="0" w:line="127" w:lineRule="exact"/>
        <w:rPr>
          <w:sz w:val="20"/>
          <w:szCs w:val="20"/>
          <w:color w:val="auto"/>
        </w:rPr>
      </w:pPr>
    </w:p>
    <w:p>
      <w:pPr>
        <w:ind w:left="200" w:right="400"/>
        <w:spacing w:after="0" w:line="265"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Ordinary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09"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(1) the class and maximum number of shares reserved for issuance under the 2017 Plan, (2) the class and maximum number of shares by which the share reserve may increase automatically each year, (3) the class and maximum number of shares that may be issued upon the exercise of incentive stock options, (4) the class and maximum number of shares subject to stock awards that can be granted in a calendar year (as established under the 2017 Plan pursuant to Section 162(m) of the Code) and (5) the class and number of shares and exercise price, strike price or purchase price, if applicable, of all outstanding stock awards.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Our 2017 Plan provides that in the event of certain specified significant transactions, including: (1) a sale of all or substantially all of</w:t>
      </w:r>
      <w:r>
        <w:rPr>
          <w:rFonts w:ascii="Arial" w:cs="Arial" w:eastAsia="Arial" w:hAnsi="Arial"/>
          <w:sz w:val="17"/>
          <w:szCs w:val="17"/>
          <w:i w:val="1"/>
          <w:iCs w:val="1"/>
          <w:color w:val="auto"/>
        </w:rPr>
        <w:t xml:space="preserve"> </w:t>
      </w:r>
      <w:r>
        <w:rPr>
          <w:rFonts w:ascii="Arial" w:cs="Arial" w:eastAsia="Arial" w:hAnsi="Arial"/>
          <w:sz w:val="17"/>
          <w:szCs w:val="17"/>
          <w:color w:val="auto"/>
        </w:rPr>
        <w:t>our assets, (2) the sale or disposition of more than 50% of our outstanding securities, (3) the consummation of a merger or consolidation where we do not survive the transaction and (4) the consummation of a merger or consolidation where we do survive the transaction but our Ordinary Shares outstanding prior to such transaction are converted or exchanged into other property by virtue of the transaction, unless otherwise provided in an award agreement or other written agreement between us and the award holder, the administrator may take one or more of the following actions with respect to such stock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 (4) arrange for the lapse, in whole or in part, of any reacquisition or repurchase rights held by us, (5) cancel or arrange for the cancellation of the stock award prior to the transaction in exchange for a cash payment, if any, determined by the board or (6) make a payment, in the form determined by the board, equal to the excess, if any, of the value of the property the participant would have received upon exercise of the awards prior to the transaction over any exercise price payable by the participant in connection with the exercise.</w:t>
      </w:r>
    </w:p>
    <w:p>
      <w:pPr>
        <w:spacing w:after="0" w:line="152"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the event of a change in control, awards granted under the 2017 Plan will not receive automatic acceleration of vesting and exercisability, although this treatment may be provided for in an award agreement. Under the 2017 Plan, a change in control is defined to include (1) the acquisition by any person or company of more than 50% of the combined voting power of our then outstanding stock, (2) a merger, consolidation or similar transaction in which our stockholders immediately prior to the transaction do not own, directly or indirectly, more than 50% of the combined voting power of the surviving entity (or the parent of the surviving entity), (3) a sale, lease, exclusive license or other disposition of all or substantially all of our assets other than to an entity more than 50% of the combined voting power of which is owned by our stockholders, (4) our stockholders approve and the board approves a plan of complete dissolution or liquidation or a complete dissolution or liquidation of the Company otherwise occurs except for a liquidation into a parent corporation and (5) a circumstance in which the members of the Incumbent Board (as defined in the 2017 Plan) no longer constitute a majority of the members of the board.</w:t>
      </w:r>
    </w:p>
    <w:p>
      <w:pPr>
        <w:spacing w:after="0" w:line="130" w:lineRule="exact"/>
        <w:rPr>
          <w:sz w:val="20"/>
          <w:szCs w:val="20"/>
          <w:color w:val="auto"/>
        </w:rPr>
      </w:pPr>
    </w:p>
    <w:p>
      <w:pPr>
        <w:ind w:left="200" w:right="460"/>
        <w:spacing w:after="0" w:line="265"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 participant may not transfer stock awards under our 2017 Plan other than by will, the laws of descent and distribution or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under our 2017 Plan.</w:t>
      </w:r>
    </w:p>
    <w:p>
      <w:pPr>
        <w:spacing w:after="0" w:line="109"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2017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2017 Plan. No stock awards may be granted under our 2017 Plan while it is suspended or after it is terminated.</w:t>
      </w:r>
    </w:p>
    <w:p>
      <w:pPr>
        <w:spacing w:after="0" w:line="127"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i w:val="1"/>
          <w:iCs w:val="1"/>
          <w:color w:val="auto"/>
        </w:rPr>
        <w:t>Acceleration Upon Death</w:t>
      </w:r>
      <w:r>
        <w:rPr>
          <w:rFonts w:ascii="Arial" w:cs="Arial" w:eastAsia="Arial" w:hAnsi="Arial"/>
          <w:sz w:val="17"/>
          <w:szCs w:val="17"/>
          <w:color w:val="auto"/>
        </w:rPr>
        <w:t>. Our 2017 Plan provides that if a participant dies while in a service relationship with us, all vested options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held by the participant as of the date of death shall be exercisable by the participant’s estate, by a person who acquired the right to exercise the option or stock appreciation right by bequest or inheritance, or by a person designated to exercise the option or stock appreciation right upon the participant’s death, but only within the period ending on the earlier of (i) the date 18 months following the date of death (or such longer or shorter period specified in the participant’s award agreement), and (ii) the expiration of the term of such option or stock appreciation right as set forth in the award agreement.</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2017 Israeli Equity Incentive Sub Plan</w:t>
      </w:r>
    </w:p>
    <w:p>
      <w:pPr>
        <w:spacing w:after="0" w:line="39"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Our 2017 Israeli Equity Incentive Sub Plan governs equity awards granted to our Israeli employees, directors and service providers. The 2017 Israeli Equity Incentive Sub Plan was adopted under our 2017 Equity Incentive Plan. The 2017 Israeli Equity Incentive Sub Plan provides for the grant by us of awards pursuant to Sections 102 and 3(i) of the Israeli Income Tax Ordinance New Version, 5721—1961, or the Ordinance, and the rules and regulations promulgated thereunder. in June 2017, we submitted the 2017 Israeli Equity Incentive Sub Plan to the Israeli Tax Authority, or the ITA, and it is effective with respect to awards granted from 30 days thereafter. The 2017 Israeli Equity Incentive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7"/>
          <w:szCs w:val="17"/>
          <w:color w:val="auto"/>
        </w:rPr>
        <w:t>For more information regarding the “capital gains track,” see “—2010 Israeli Share Option Plan.” The 2017 Israeli Equity Incentive Sub Plan also provides for the grant of awards under Section 3(i) of the Ordinance to our Israeli non-employee service providers and Controlling Shareholders, who are not eligible for such special tax treatment.</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2010 Israeli Share Option Plan</w:t>
      </w:r>
    </w:p>
    <w:p>
      <w:pPr>
        <w:spacing w:after="0" w:line="41"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In September 2010, we adopted our 2010 Israeli Share Option Plan, or the 2010 Plan. The 2010 Plan provides for the grant of share options and restricted share units to our company’s employees, non-employee directors and consultants. The reserved pool of shares under the 2010 Plan is 2,701,579 shares. On March 29, 2017, our board resolved that as of the consummation of our initial public offering, shares that are forfeited, cancelled, terminated or expire unexercised under the 2010 Plan shall not be available for issuance under new awards.</w:t>
      </w:r>
    </w:p>
    <w:p>
      <w:pPr>
        <w:spacing w:after="0" w:line="149"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The 2010 Plan provides for the grant by us of awards pursuant to Sections 102 and 3(i) of the Ordinance and the rules and regulations promulgated thereunder. Section 102 of the Ordinance allows employees, directors and officers who are not controlling shareholders and who are Israeli residents,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gains track.” In order to comply with the terms of the capital gains track, all options granted under a specific plan and subject to the provisions of Section 102 of the Ordinance, as well as the shares issued upon exercise of such options and other shares received following any realization of rights with respect to such options, such as share dividends and share splits, must be registered in the name of a trustee selected by the board of directors and held in trust for the benefit of the relevant employee, director or officer. The trustee may not release these options or shares to the relevant grantee before the second anniversary of the registration of the options in the name of the trustee. However, under this track, we are not allowed to deduct an expense with respect to the issuance of the options or shares.</w:t>
      </w:r>
    </w:p>
    <w:p>
      <w:pPr>
        <w:spacing w:after="0" w:line="154"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The 2010 Plan provides for awards to be granted to our employees or those of our affiliates,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The 2010 Plan also provides for the grant of awards under Section 3(i) of the Ordinance to our Israeli non-employee service providers and controlling shareholders, who are not eligible for such special tax treatment.</w:t>
      </w:r>
    </w:p>
    <w:p>
      <w:pPr>
        <w:spacing w:after="0" w:line="150"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The 2010 Plan is administered by our board of directors. Although awards under the 2010 Plan may be granted until 10 years after the effective date of the 2010 Plan, as of the consummation of our initial public offering, we stopped granting additional awards under the 2010 Plan.</w:t>
      </w:r>
    </w:p>
    <w:p>
      <w:pPr>
        <w:spacing w:after="0" w:line="144"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 terms of options granted under the 2010 Plan, including the exercise price, vesting provisions and the duration are determined by our board of directors and set forth in an award agreement. Except as provided in the applicable award agreement, or in the discretion of the compensation committee, an option may be exercised only to the extent that it is then exercisable and, generally, shall expire for employees 90 days following termination of the service of the grantee, and in the case of retiring directors, not later than nine months following our listing on the NASDAQ Global Market.</w:t>
      </w:r>
    </w:p>
    <w:p>
      <w:pPr>
        <w:spacing w:after="0" w:line="150" w:lineRule="exact"/>
        <w:rPr>
          <w:sz w:val="20"/>
          <w:szCs w:val="20"/>
          <w:color w:val="auto"/>
        </w:rPr>
      </w:pPr>
    </w:p>
    <w:p>
      <w:pPr>
        <w:ind w:left="200" w:right="360"/>
        <w:spacing w:after="0" w:line="238" w:lineRule="auto"/>
        <w:rPr>
          <w:sz w:val="20"/>
          <w:szCs w:val="20"/>
          <w:color w:val="auto"/>
        </w:rPr>
      </w:pPr>
      <w:r>
        <w:rPr>
          <w:rFonts w:ascii="Arial" w:cs="Arial" w:eastAsia="Arial" w:hAnsi="Arial"/>
          <w:sz w:val="17"/>
          <w:szCs w:val="17"/>
          <w:color w:val="auto"/>
        </w:rPr>
        <w:t>Restricted share units are awards covering a number of hypothetical units with respect to shares that are granted subject to such vesting and transfer restrictions and conditions of payment as our board of directors may determine in an award agreement. Restricted share units are payable in cash, ordinary shares of equivalent value or a combination thereof.</w:t>
      </w:r>
    </w:p>
    <w:p>
      <w:pPr>
        <w:spacing w:after="0" w:line="148"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board of directors will make any such adjustments in such manner as it may deem equitable, including any or all of the following: (i) adjusting the number of shares available for grant under the 2010 Plan, and (ii) providing for a substitution or assumption of awards.</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All unvested options shall vest in their entirety upon (i) the sale of all or substantially all of the shares of the Company, (ii) a merger, consolidation or reorganization in which the Company is not the surviving entity, or (iii) the sale, transfer or disposition of all or substantially all of the assets of the Company. Further, in such event the optionholders may elect to exchange the options for ordinary shares on a cashless exercise basis.</w:t>
      </w:r>
    </w:p>
    <w:p>
      <w:pPr>
        <w:spacing w:after="0" w:line="14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24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SHAREHOLDERS</w:t>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December 31, 2017 by:</w:t>
      </w:r>
    </w:p>
    <w:p>
      <w:pPr>
        <w:spacing w:after="0" w:line="196" w:lineRule="exact"/>
        <w:rPr>
          <w:sz w:val="20"/>
          <w:szCs w:val="20"/>
          <w:color w:val="auto"/>
        </w:rPr>
      </w:pPr>
    </w:p>
    <w:p>
      <w:pPr>
        <w:ind w:left="960" w:hanging="432"/>
        <w:spacing w:after="0"/>
        <w:tabs>
          <w:tab w:leader="none" w:pos="96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each person or entity known by us to own beneficially 5% or more of our outstanding ordinary shares;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each of our directors and executive officers individually;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The beneficial ownership of our ordinary shares is determined in accordance with the rules of the SEC and generally includes any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December 31, 2017 to be outstanding and to be beneficially owned by the person holding the options for the purposes of computing the percentage ownership of that person, but we do not treat them as outstanding for the purpose of computing the percentage ownership of any other person.</w:t>
      </w:r>
    </w:p>
    <w:p>
      <w:pPr>
        <w:spacing w:after="0" w:line="150" w:lineRule="exact"/>
        <w:rPr>
          <w:sz w:val="20"/>
          <w:szCs w:val="20"/>
          <w:color w:val="auto"/>
        </w:rPr>
      </w:pPr>
    </w:p>
    <w:p>
      <w:pPr>
        <w:ind w:left="200" w:right="300"/>
        <w:spacing w:after="0" w:line="243" w:lineRule="auto"/>
        <w:rPr>
          <w:sz w:val="20"/>
          <w:szCs w:val="20"/>
          <w:color w:val="auto"/>
        </w:rPr>
      </w:pPr>
      <w:r>
        <w:rPr>
          <w:rFonts w:ascii="Arial" w:cs="Arial" w:eastAsia="Arial" w:hAnsi="Arial"/>
          <w:sz w:val="17"/>
          <w:szCs w:val="17"/>
          <w:color w:val="auto"/>
        </w:rPr>
        <w:t>The percentage of shares beneficially owned has been computed on the basis of 13,751,390 ordinary shares outstanding as of December 31, 2017.</w:t>
      </w:r>
    </w:p>
    <w:p>
      <w:pPr>
        <w:spacing w:after="0" w:line="144"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As of December 31, 2017 and based on their reported registered office, there are 11 record holders in the United States, holding in aggregate approximately 1.2% of our outstanding ordinary shares immediately prior to this offering. These do not include outstanding ordinary shares held in street name. Except where otherwise indicated, we believe, based on information furnished to us by such owners, that the beneficial owners of the ordinary shares listed below have sole investment and voting power with respect to such shares.</w:t>
      </w:r>
    </w:p>
    <w:p>
      <w:pPr>
        <w:spacing w:after="0" w:line="149"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All of our shareholders, including the shareholders listed below, have the same voting rights attached to their ordinary shares, and neither our principal shareholders nor our directors and executive officers have different or special voting rights with respect to their ordinary shares. See “Description of Share Capital—Voting Rights.” A description of any material relationship that our principal shareholders have had with us or any of our predecessors or affiliates within the past three years is included under “Certain Relationships and Related Party Transactions.”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480"/>
        <w:spacing w:after="0" w:line="243" w:lineRule="auto"/>
        <w:rPr>
          <w:sz w:val="20"/>
          <w:szCs w:val="20"/>
          <w:color w:val="auto"/>
        </w:rPr>
      </w:pPr>
      <w:r>
        <w:rPr>
          <w:rFonts w:ascii="Arial" w:cs="Arial" w:eastAsia="Arial" w:hAnsi="Arial"/>
          <w:sz w:val="17"/>
          <w:szCs w:val="17"/>
          <w:color w:val="auto"/>
        </w:rPr>
        <w:t>Unless otherwise noted below, the address of each shareholder, director and executive officer is c/o UroGen Pharma Ltd., 9 Ha’Ta’asiya St., Ra’anana 4365007,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NUMBER AND</w:t>
            </w:r>
          </w:p>
        </w:tc>
        <w:tc>
          <w:tcPr>
            <w:tcW w:w="260" w:type="dxa"/>
            <w:vAlign w:val="bottom"/>
          </w:tcPr>
          <w:p>
            <w:pPr>
              <w:spacing w:after="0"/>
              <w:rPr>
                <w:sz w:val="14"/>
                <w:szCs w:val="14"/>
                <w:color w:val="auto"/>
              </w:rPr>
            </w:pPr>
          </w:p>
        </w:tc>
        <w:tc>
          <w:tcPr>
            <w:tcW w:w="2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PERCENTAGE OF ORDINARY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4"/>
                <w:szCs w:val="14"/>
                <w:color w:val="auto"/>
              </w:rPr>
            </w:pPr>
          </w:p>
        </w:tc>
        <w:tc>
          <w:tcPr>
            <w:tcW w:w="2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OF ORDINARY SHARES</w:t>
            </w:r>
          </w:p>
        </w:tc>
        <w:tc>
          <w:tcPr>
            <w:tcW w:w="260" w:type="dxa"/>
            <w:vAlign w:val="bottom"/>
          </w:tcPr>
          <w:p>
            <w:pPr>
              <w:spacing w:after="0"/>
              <w:rPr>
                <w:sz w:val="14"/>
                <w:szCs w:val="14"/>
                <w:color w:val="auto"/>
              </w:rPr>
            </w:pPr>
          </w:p>
        </w:tc>
        <w:tc>
          <w:tcPr>
            <w:tcW w:w="2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OWNED AFTER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BENEFICIALLY OWNED</w:t>
            </w:r>
          </w:p>
        </w:tc>
        <w:tc>
          <w:tcPr>
            <w:tcW w:w="260" w:type="dxa"/>
            <w:vAlign w:val="bottom"/>
          </w:tcPr>
          <w:p>
            <w:pPr>
              <w:spacing w:after="0"/>
              <w:rPr>
                <w:sz w:val="15"/>
                <w:szCs w:val="15"/>
                <w:color w:val="auto"/>
              </w:rPr>
            </w:pPr>
          </w:p>
        </w:tc>
        <w:tc>
          <w:tcPr>
            <w:tcW w:w="1680" w:type="dxa"/>
            <w:vAlign w:val="bottom"/>
            <w:gridSpan w:val="2"/>
          </w:tcPr>
          <w:p>
            <w:pPr>
              <w:jc w:val="center"/>
              <w:ind w:left="788"/>
              <w:spacing w:after="0"/>
              <w:rPr>
                <w:sz w:val="20"/>
                <w:szCs w:val="20"/>
                <w:color w:val="auto"/>
              </w:rPr>
            </w:pPr>
            <w:r>
              <w:rPr>
                <w:rFonts w:ascii="Arial" w:cs="Arial" w:eastAsia="Arial" w:hAnsi="Arial"/>
                <w:sz w:val="14"/>
                <w:szCs w:val="14"/>
                <w:b w:val="1"/>
                <w:bCs w:val="1"/>
                <w:color w:val="auto"/>
              </w:rPr>
              <w:t>OFFERING</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ASSUMING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ASSUMING</w:t>
            </w:r>
          </w:p>
        </w:tc>
        <w:tc>
          <w:tcPr>
            <w:tcW w:w="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jc w:val="center"/>
              <w:ind w:right="620"/>
              <w:spacing w:after="0" w:line="159" w:lineRule="exact"/>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rPr>
              <w:t>NUMBER</w:t>
            </w:r>
          </w:p>
        </w:tc>
        <w:tc>
          <w:tcPr>
            <w:tcW w:w="16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PERCENT</w:t>
            </w:r>
          </w:p>
        </w:tc>
        <w:tc>
          <w:tcPr>
            <w:tcW w:w="1940" w:type="dxa"/>
            <w:vAlign w:val="bottom"/>
            <w:gridSpan w:val="3"/>
          </w:tcPr>
          <w:p>
            <w:pPr>
              <w:jc w:val="center"/>
              <w:ind w:right="360"/>
              <w:spacing w:after="0" w:line="179" w:lineRule="exact"/>
              <w:rPr>
                <w:sz w:val="20"/>
                <w:szCs w:val="20"/>
                <w:color w:val="auto"/>
              </w:rPr>
            </w:pPr>
            <w:r>
              <w:rPr>
                <w:rFonts w:ascii="Arial" w:cs="Arial" w:eastAsia="Arial" w:hAnsi="Arial"/>
                <w:sz w:val="12"/>
                <w:szCs w:val="12"/>
                <w:b w:val="1"/>
                <w:bCs w:val="1"/>
                <w:color w:val="auto"/>
              </w:rPr>
              <w:t xml:space="preserve">OF OPTION </w:t>
            </w:r>
            <w:r>
              <w:rPr>
                <w:rFonts w:ascii="Arial" w:cs="Arial" w:eastAsia="Arial" w:hAnsi="Arial"/>
                <w:sz w:val="20"/>
                <w:szCs w:val="20"/>
                <w:b w:val="1"/>
                <w:bCs w:val="1"/>
                <w:color w:val="auto"/>
                <w:vertAlign w:val="superscript"/>
              </w:rPr>
              <w:t>(17)</w:t>
            </w:r>
          </w:p>
        </w:tc>
        <w:tc>
          <w:tcPr>
            <w:tcW w:w="1080" w:type="dxa"/>
            <w:vAlign w:val="bottom"/>
            <w:gridSpan w:val="3"/>
          </w:tcPr>
          <w:p>
            <w:pPr>
              <w:jc w:val="center"/>
              <w:ind w:right="160"/>
              <w:spacing w:after="0" w:line="179" w:lineRule="exact"/>
              <w:rPr>
                <w:sz w:val="20"/>
                <w:szCs w:val="20"/>
                <w:color w:val="auto"/>
              </w:rPr>
            </w:pPr>
            <w:r>
              <w:rPr>
                <w:rFonts w:ascii="Arial" w:cs="Arial" w:eastAsia="Arial" w:hAnsi="Arial"/>
                <w:sz w:val="12"/>
                <w:szCs w:val="12"/>
                <w:b w:val="1"/>
                <w:bCs w:val="1"/>
                <w:color w:val="auto"/>
              </w:rPr>
              <w:t xml:space="preserve">OPTION </w:t>
            </w:r>
            <w:r>
              <w:rPr>
                <w:rFonts w:ascii="Arial" w:cs="Arial" w:eastAsia="Arial" w:hAnsi="Arial"/>
                <w:sz w:val="20"/>
                <w:szCs w:val="20"/>
                <w:b w:val="1"/>
                <w:bCs w:val="1"/>
                <w:color w:val="auto"/>
                <w:vertAlign w:val="superscript"/>
              </w:rPr>
              <w:t>(17)</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PERCENT</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54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Shareholders</w:t>
            </w: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Arkin Communication Ltd. </w:t>
            </w:r>
            <w:r>
              <w:rPr>
                <w:rFonts w:ascii="Arial" w:cs="Arial" w:eastAsia="Arial" w:hAnsi="Arial"/>
                <w:sz w:val="14"/>
                <w:szCs w:val="14"/>
                <w:color w:val="auto"/>
              </w:rPr>
              <w:t>(1)</w:t>
            </w:r>
          </w:p>
        </w:tc>
        <w:tc>
          <w:tcPr>
            <w:tcW w:w="820" w:type="dxa"/>
            <w:vAlign w:val="bottom"/>
          </w:tcPr>
          <w:p>
            <w:pPr>
              <w:jc w:val="right"/>
              <w:spacing w:after="0"/>
              <w:rPr>
                <w:sz w:val="20"/>
                <w:szCs w:val="20"/>
                <w:color w:val="auto"/>
              </w:rPr>
            </w:pPr>
            <w:r>
              <w:rPr>
                <w:rFonts w:ascii="Arial" w:cs="Arial" w:eastAsia="Arial" w:hAnsi="Arial"/>
                <w:sz w:val="17"/>
                <w:szCs w:val="17"/>
                <w:color w:val="auto"/>
              </w:rPr>
              <w:t>1,643,658</w:t>
            </w:r>
          </w:p>
        </w:tc>
        <w:tc>
          <w:tcPr>
            <w:tcW w:w="1640" w:type="dxa"/>
            <w:vAlign w:val="bottom"/>
            <w:gridSpan w:val="3"/>
          </w:tcPr>
          <w:p>
            <w:pPr>
              <w:jc w:val="right"/>
              <w:ind w:right="260"/>
              <w:spacing w:after="0"/>
              <w:rPr>
                <w:sz w:val="20"/>
                <w:szCs w:val="20"/>
                <w:color w:val="auto"/>
              </w:rPr>
            </w:pPr>
            <w:r>
              <w:rPr>
                <w:rFonts w:ascii="Arial" w:cs="Arial" w:eastAsia="Arial" w:hAnsi="Arial"/>
                <w:sz w:val="17"/>
                <w:szCs w:val="17"/>
                <w:color w:val="auto"/>
              </w:rPr>
              <w:t>12.0%</w:t>
            </w:r>
          </w:p>
        </w:tc>
        <w:tc>
          <w:tcPr>
            <w:tcW w:w="1940" w:type="dxa"/>
            <w:vAlign w:val="bottom"/>
            <w:gridSpan w:val="3"/>
          </w:tcPr>
          <w:p>
            <w:pPr>
              <w:jc w:val="right"/>
              <w:ind w:right="480"/>
              <w:spacing w:after="0"/>
              <w:rPr>
                <w:sz w:val="20"/>
                <w:szCs w:val="20"/>
                <w:color w:val="auto"/>
              </w:rPr>
            </w:pPr>
            <w:r>
              <w:rPr>
                <w:rFonts w:ascii="Arial" w:cs="Arial" w:eastAsia="Arial" w:hAnsi="Arial"/>
                <w:sz w:val="17"/>
                <w:szCs w:val="17"/>
                <w:color w:val="auto"/>
              </w:rPr>
              <w:t>11.0%</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Menora Mivtachim Holdings Ltd. </w:t>
            </w:r>
            <w:r>
              <w:rPr>
                <w:rFonts w:ascii="Arial" w:cs="Arial" w:eastAsia="Arial" w:hAnsi="Arial"/>
                <w:sz w:val="14"/>
                <w:szCs w:val="14"/>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1,338,762</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9.7%</w:t>
            </w: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9.0%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Pontifax (Israel) III Limited Partnership </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998,171</w:t>
            </w:r>
          </w:p>
        </w:tc>
        <w:tc>
          <w:tcPr>
            <w:tcW w:w="1640" w:type="dxa"/>
            <w:vAlign w:val="bottom"/>
            <w:gridSpan w:val="3"/>
          </w:tcPr>
          <w:p>
            <w:pPr>
              <w:jc w:val="right"/>
              <w:ind w:right="260"/>
              <w:spacing w:after="0"/>
              <w:rPr>
                <w:sz w:val="20"/>
                <w:szCs w:val="20"/>
                <w:color w:val="auto"/>
              </w:rPr>
            </w:pPr>
            <w:r>
              <w:rPr>
                <w:rFonts w:ascii="Arial" w:cs="Arial" w:eastAsia="Arial" w:hAnsi="Arial"/>
                <w:sz w:val="17"/>
                <w:szCs w:val="17"/>
                <w:color w:val="auto"/>
              </w:rPr>
              <w:t>7.2%</w:t>
            </w:r>
          </w:p>
        </w:tc>
        <w:tc>
          <w:tcPr>
            <w:tcW w:w="1940" w:type="dxa"/>
            <w:vAlign w:val="bottom"/>
            <w:gridSpan w:val="3"/>
          </w:tcPr>
          <w:p>
            <w:pPr>
              <w:jc w:val="right"/>
              <w:ind w:right="480"/>
              <w:spacing w:after="0"/>
              <w:rPr>
                <w:sz w:val="20"/>
                <w:szCs w:val="20"/>
                <w:color w:val="auto"/>
              </w:rPr>
            </w:pPr>
            <w:r>
              <w:rPr>
                <w:rFonts w:ascii="Arial" w:cs="Arial" w:eastAsia="Arial" w:hAnsi="Arial"/>
                <w:sz w:val="17"/>
                <w:szCs w:val="17"/>
                <w:color w:val="auto"/>
              </w:rPr>
              <w:t>6.7%</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Pontifax Cayman III Limited Partnership </w:t>
            </w:r>
            <w:r>
              <w:rPr>
                <w:rFonts w:ascii="Arial" w:cs="Arial" w:eastAsia="Arial" w:hAnsi="Arial"/>
                <w:sz w:val="14"/>
                <w:szCs w:val="14"/>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465,998</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3.4%</w:t>
            </w: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ProQuest Investments IV, L.P. </w:t>
            </w:r>
            <w:r>
              <w:rPr>
                <w:rFonts w:ascii="Arial" w:cs="Arial" w:eastAsia="Arial" w:hAnsi="Arial"/>
                <w:sz w:val="14"/>
                <w:szCs w:val="14"/>
                <w:color w:val="auto"/>
              </w:rPr>
              <w:t>(5)</w:t>
            </w:r>
          </w:p>
        </w:tc>
        <w:tc>
          <w:tcPr>
            <w:tcW w:w="820" w:type="dxa"/>
            <w:vAlign w:val="bottom"/>
          </w:tcPr>
          <w:p>
            <w:pPr>
              <w:jc w:val="right"/>
              <w:spacing w:after="0"/>
              <w:rPr>
                <w:sz w:val="20"/>
                <w:szCs w:val="20"/>
                <w:color w:val="auto"/>
              </w:rPr>
            </w:pPr>
            <w:r>
              <w:rPr>
                <w:rFonts w:ascii="Arial" w:cs="Arial" w:eastAsia="Arial" w:hAnsi="Arial"/>
                <w:sz w:val="17"/>
                <w:szCs w:val="17"/>
                <w:color w:val="auto"/>
              </w:rPr>
              <w:t>1,451,329</w:t>
            </w:r>
          </w:p>
        </w:tc>
        <w:tc>
          <w:tcPr>
            <w:tcW w:w="1640" w:type="dxa"/>
            <w:vAlign w:val="bottom"/>
            <w:gridSpan w:val="3"/>
          </w:tcPr>
          <w:p>
            <w:pPr>
              <w:jc w:val="right"/>
              <w:ind w:right="260"/>
              <w:spacing w:after="0"/>
              <w:rPr>
                <w:sz w:val="20"/>
                <w:szCs w:val="20"/>
                <w:color w:val="auto"/>
              </w:rPr>
            </w:pPr>
            <w:r>
              <w:rPr>
                <w:rFonts w:ascii="Arial" w:cs="Arial" w:eastAsia="Arial" w:hAnsi="Arial"/>
                <w:sz w:val="17"/>
                <w:szCs w:val="17"/>
                <w:color w:val="auto"/>
              </w:rPr>
              <w:t>10.6%</w:t>
            </w:r>
          </w:p>
        </w:tc>
        <w:tc>
          <w:tcPr>
            <w:tcW w:w="1940" w:type="dxa"/>
            <w:vAlign w:val="bottom"/>
            <w:gridSpan w:val="3"/>
          </w:tcPr>
          <w:p>
            <w:pPr>
              <w:jc w:val="right"/>
              <w:ind w:right="480"/>
              <w:spacing w:after="0"/>
              <w:rPr>
                <w:sz w:val="20"/>
                <w:szCs w:val="20"/>
                <w:color w:val="auto"/>
              </w:rPr>
            </w:pPr>
            <w:r>
              <w:rPr>
                <w:rFonts w:ascii="Arial" w:cs="Arial" w:eastAsia="Arial" w:hAnsi="Arial"/>
                <w:sz w:val="17"/>
                <w:szCs w:val="17"/>
                <w:color w:val="auto"/>
              </w:rPr>
              <w:t>9.8%</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Arie Belldegrun, M.D. </w:t>
            </w:r>
            <w:r>
              <w:rPr>
                <w:rFonts w:ascii="Arial" w:cs="Arial" w:eastAsia="Arial" w:hAnsi="Arial"/>
                <w:sz w:val="14"/>
                <w:szCs w:val="14"/>
                <w:color w:val="auto"/>
              </w:rPr>
              <w:t>(6)</w:t>
            </w:r>
          </w:p>
        </w:tc>
        <w:tc>
          <w:tcPr>
            <w:tcW w:w="820" w:type="dxa"/>
            <w:vAlign w:val="bottom"/>
          </w:tcPr>
          <w:p>
            <w:pPr>
              <w:jc w:val="right"/>
              <w:spacing w:after="0"/>
              <w:rPr>
                <w:sz w:val="20"/>
                <w:szCs w:val="20"/>
                <w:color w:val="auto"/>
              </w:rPr>
            </w:pPr>
            <w:r>
              <w:rPr>
                <w:rFonts w:ascii="Arial" w:cs="Arial" w:eastAsia="Arial" w:hAnsi="Arial"/>
                <w:sz w:val="17"/>
                <w:szCs w:val="17"/>
                <w:color w:val="auto"/>
              </w:rPr>
              <w:t>303,693</w:t>
            </w:r>
          </w:p>
        </w:tc>
        <w:tc>
          <w:tcPr>
            <w:tcW w:w="1640" w:type="dxa"/>
            <w:vAlign w:val="bottom"/>
            <w:gridSpan w:val="3"/>
          </w:tcPr>
          <w:p>
            <w:pPr>
              <w:jc w:val="right"/>
              <w:ind w:right="260"/>
              <w:spacing w:after="0"/>
              <w:rPr>
                <w:sz w:val="20"/>
                <w:szCs w:val="20"/>
                <w:color w:val="auto"/>
              </w:rPr>
            </w:pPr>
            <w:r>
              <w:rPr>
                <w:rFonts w:ascii="Arial" w:cs="Arial" w:eastAsia="Arial" w:hAnsi="Arial"/>
                <w:sz w:val="17"/>
                <w:szCs w:val="17"/>
                <w:color w:val="auto"/>
              </w:rPr>
              <w:t>2.2%</w:t>
            </w:r>
          </w:p>
        </w:tc>
        <w:tc>
          <w:tcPr>
            <w:tcW w:w="1940" w:type="dxa"/>
            <w:vAlign w:val="bottom"/>
            <w:gridSpan w:val="3"/>
          </w:tcPr>
          <w:p>
            <w:pPr>
              <w:jc w:val="right"/>
              <w:ind w:right="480"/>
              <w:spacing w:after="0"/>
              <w:rPr>
                <w:sz w:val="20"/>
                <w:szCs w:val="20"/>
                <w:color w:val="auto"/>
              </w:rPr>
            </w:pPr>
            <w:r>
              <w:rPr>
                <w:rFonts w:ascii="Arial" w:cs="Arial" w:eastAsia="Arial" w:hAnsi="Arial"/>
                <w:sz w:val="17"/>
                <w:szCs w:val="17"/>
                <w:color w:val="auto"/>
              </w:rPr>
              <w:t>2.0%</w:t>
            </w:r>
          </w:p>
        </w:tc>
        <w:tc>
          <w:tcPr>
            <w:tcW w:w="108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Ron Bentsur </w:t>
            </w:r>
            <w:r>
              <w:rPr>
                <w:rFonts w:ascii="Arial" w:cs="Arial" w:eastAsia="Arial" w:hAnsi="Arial"/>
                <w:sz w:val="14"/>
                <w:szCs w:val="14"/>
                <w:color w:val="auto"/>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Fred Cohen, M.D. </w:t>
            </w:r>
            <w:r>
              <w:rPr>
                <w:rFonts w:ascii="Arial" w:cs="Arial" w:eastAsia="Arial" w:hAnsi="Arial"/>
                <w:sz w:val="14"/>
                <w:szCs w:val="14"/>
                <w:color w:val="auto"/>
              </w:rPr>
              <w:t>(8)</w:t>
            </w:r>
          </w:p>
        </w:tc>
        <w:tc>
          <w:tcPr>
            <w:tcW w:w="820" w:type="dxa"/>
            <w:vAlign w:val="bottom"/>
          </w:tcPr>
          <w:p>
            <w:pPr>
              <w:jc w:val="right"/>
              <w:spacing w:after="0"/>
              <w:rPr>
                <w:sz w:val="20"/>
                <w:szCs w:val="20"/>
                <w:color w:val="auto"/>
              </w:rPr>
            </w:pPr>
            <w:r>
              <w:rPr>
                <w:rFonts w:ascii="Arial" w:cs="Arial" w:eastAsia="Arial" w:hAnsi="Arial"/>
                <w:sz w:val="17"/>
                <w:szCs w:val="17"/>
                <w:color w:val="auto"/>
              </w:rPr>
              <w:t>7,500</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Kathryn Falberg </w:t>
            </w:r>
            <w:r>
              <w:rPr>
                <w:rFonts w:ascii="Arial" w:cs="Arial" w:eastAsia="Arial" w:hAnsi="Arial"/>
                <w:sz w:val="14"/>
                <w:szCs w:val="14"/>
                <w:color w:val="auto"/>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Cynthia Butitta </w:t>
            </w:r>
            <w:r>
              <w:rPr>
                <w:rFonts w:ascii="Arial" w:cs="Arial" w:eastAsia="Arial" w:hAnsi="Arial"/>
                <w:sz w:val="14"/>
                <w:szCs w:val="14"/>
                <w:color w:val="auto"/>
              </w:rPr>
              <w:t>(10)</w:t>
            </w:r>
          </w:p>
        </w:tc>
        <w:tc>
          <w:tcPr>
            <w:tcW w:w="820" w:type="dxa"/>
            <w:vAlign w:val="bottom"/>
          </w:tcPr>
          <w:p>
            <w:pPr>
              <w:jc w:val="right"/>
              <w:spacing w:after="0"/>
              <w:rPr>
                <w:sz w:val="20"/>
                <w:szCs w:val="20"/>
                <w:color w:val="auto"/>
              </w:rPr>
            </w:pPr>
            <w:r>
              <w:rPr>
                <w:rFonts w:ascii="Arial" w:cs="Arial" w:eastAsia="Arial" w:hAnsi="Arial"/>
                <w:sz w:val="17"/>
                <w:szCs w:val="17"/>
                <w:color w:val="auto"/>
              </w:rPr>
              <w:t>4,167</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Pini Orbach, Ph.D. </w:t>
            </w:r>
            <w:r>
              <w:rPr>
                <w:rFonts w:ascii="Arial" w:cs="Arial" w:eastAsia="Arial" w:hAnsi="Arial"/>
                <w:sz w:val="14"/>
                <w:szCs w:val="14"/>
                <w:color w:val="auto"/>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40,241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Stuart Holden, M.D. </w:t>
            </w:r>
            <w:r>
              <w:rPr>
                <w:rFonts w:ascii="Arial" w:cs="Arial" w:eastAsia="Arial" w:hAnsi="Arial"/>
                <w:sz w:val="14"/>
                <w:szCs w:val="14"/>
                <w:color w:val="auto"/>
              </w:rPr>
              <w:t>(12)</w:t>
            </w:r>
          </w:p>
        </w:tc>
        <w:tc>
          <w:tcPr>
            <w:tcW w:w="820" w:type="dxa"/>
            <w:vAlign w:val="bottom"/>
          </w:tcPr>
          <w:p>
            <w:pPr>
              <w:jc w:val="right"/>
              <w:spacing w:after="0"/>
              <w:rPr>
                <w:sz w:val="20"/>
                <w:szCs w:val="20"/>
                <w:color w:val="auto"/>
              </w:rPr>
            </w:pPr>
            <w:r>
              <w:rPr>
                <w:rFonts w:ascii="Arial" w:cs="Arial" w:eastAsia="Arial" w:hAnsi="Arial"/>
                <w:sz w:val="17"/>
                <w:szCs w:val="17"/>
                <w:color w:val="auto"/>
              </w:rPr>
              <w:t>37,000</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Gil Hakim </w:t>
            </w:r>
            <w:r>
              <w:rPr>
                <w:rFonts w:ascii="Arial" w:cs="Arial" w:eastAsia="Arial" w:hAnsi="Arial"/>
                <w:sz w:val="14"/>
                <w:szCs w:val="14"/>
                <w:color w:val="auto"/>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159,602</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w:t>
            </w: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Gary Titus </w:t>
            </w:r>
            <w:r>
              <w:rPr>
                <w:rFonts w:ascii="Arial" w:cs="Arial" w:eastAsia="Arial" w:hAnsi="Arial"/>
                <w:sz w:val="14"/>
                <w:szCs w:val="14"/>
                <w:color w:val="auto"/>
              </w:rPr>
              <w:t>(14)</w:t>
            </w:r>
          </w:p>
        </w:tc>
        <w:tc>
          <w:tcPr>
            <w:tcW w:w="820" w:type="dxa"/>
            <w:vAlign w:val="bottom"/>
          </w:tcPr>
          <w:p>
            <w:pPr>
              <w:jc w:val="right"/>
              <w:spacing w:after="0"/>
              <w:rPr>
                <w:sz w:val="20"/>
                <w:szCs w:val="20"/>
                <w:color w:val="auto"/>
              </w:rPr>
            </w:pPr>
            <w:r>
              <w:rPr>
                <w:rFonts w:ascii="Arial" w:cs="Arial" w:eastAsia="Arial" w:hAnsi="Arial"/>
                <w:sz w:val="17"/>
                <w:szCs w:val="17"/>
                <w:color w:val="auto"/>
              </w:rPr>
              <w:t>17,467</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Ran Nussbaum </w:t>
            </w:r>
            <w:r>
              <w:rPr>
                <w:rFonts w:ascii="Arial" w:cs="Arial" w:eastAsia="Arial" w:hAnsi="Arial"/>
                <w:sz w:val="14"/>
                <w:szCs w:val="14"/>
                <w:color w:val="auto"/>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1,464,169</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10.6%</w:t>
            </w: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9.8%</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 xml:space="preserve">Mark Schoenberg, M.D. </w:t>
            </w:r>
            <w:r>
              <w:rPr>
                <w:rFonts w:ascii="Arial" w:cs="Arial" w:eastAsia="Arial" w:hAnsi="Arial"/>
                <w:sz w:val="14"/>
                <w:szCs w:val="14"/>
                <w:color w:val="auto"/>
              </w:rPr>
              <w:t>(16)</w:t>
            </w:r>
          </w:p>
        </w:tc>
        <w:tc>
          <w:tcPr>
            <w:tcW w:w="820" w:type="dxa"/>
            <w:vAlign w:val="bottom"/>
          </w:tcPr>
          <w:p>
            <w:pPr>
              <w:jc w:val="right"/>
              <w:spacing w:after="0"/>
              <w:rPr>
                <w:sz w:val="20"/>
                <w:szCs w:val="20"/>
                <w:color w:val="auto"/>
              </w:rPr>
            </w:pPr>
            <w:r>
              <w:rPr>
                <w:rFonts w:ascii="Arial" w:cs="Arial" w:eastAsia="Arial" w:hAnsi="Arial"/>
                <w:sz w:val="17"/>
                <w:szCs w:val="17"/>
                <w:color w:val="auto"/>
              </w:rPr>
              <w:t>88,600</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All directors and executive officers as a group (11 persons)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2,179,456</w:t>
            </w:r>
          </w:p>
        </w:tc>
        <w:tc>
          <w:tcPr>
            <w:tcW w:w="164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15.2%</w:t>
            </w:r>
          </w:p>
        </w:tc>
        <w:tc>
          <w:tcPr>
            <w:tcW w:w="1940" w:type="dxa"/>
            <w:vAlign w:val="bottom"/>
            <w:gridSpan w:val="3"/>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14.1%</w:t>
            </w:r>
          </w:p>
        </w:tc>
        <w:tc>
          <w:tcPr>
            <w:tcW w:w="10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5" w:lineRule="exact"/>
        <w:rPr>
          <w:sz w:val="20"/>
          <w:szCs w:val="20"/>
          <w:color w:val="auto"/>
        </w:rPr>
      </w:pPr>
    </w:p>
    <w:p>
      <w:pPr>
        <w:ind w:left="520" w:hanging="156"/>
        <w:spacing w:after="0"/>
        <w:tabs>
          <w:tab w:leader="none" w:pos="520" w:val="left"/>
        </w:tabs>
        <w:numPr>
          <w:ilvl w:val="1"/>
          <w:numId w:val="87"/>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ordinary shares outstanding.</w:t>
      </w:r>
    </w:p>
    <w:p>
      <w:pPr>
        <w:spacing w:after="0" w:line="1" w:lineRule="exact"/>
        <w:rPr>
          <w:rFonts w:ascii="Arial" w:cs="Arial" w:eastAsia="Arial" w:hAnsi="Arial"/>
          <w:sz w:val="14"/>
          <w:szCs w:val="14"/>
          <w:color w:val="auto"/>
        </w:rPr>
      </w:pPr>
    </w:p>
    <w:p>
      <w:pPr>
        <w:ind w:left="520" w:right="240" w:hanging="289"/>
        <w:spacing w:after="0" w:line="182" w:lineRule="auto"/>
        <w:tabs>
          <w:tab w:leader="none" w:pos="520" w:val="left"/>
        </w:tabs>
        <w:numPr>
          <w:ilvl w:val="0"/>
          <w:numId w:val="87"/>
        </w:numPr>
        <w:rPr>
          <w:rFonts w:ascii="Arial" w:cs="Arial" w:eastAsia="Arial" w:hAnsi="Arial"/>
          <w:sz w:val="23"/>
          <w:szCs w:val="23"/>
          <w:color w:val="auto"/>
          <w:vertAlign w:val="superscript"/>
        </w:rPr>
      </w:pPr>
      <w:r>
        <w:rPr>
          <w:rFonts w:ascii="Arial" w:cs="Arial" w:eastAsia="Arial" w:hAnsi="Arial"/>
          <w:sz w:val="14"/>
          <w:szCs w:val="14"/>
          <w:color w:val="auto"/>
        </w:rPr>
        <w:t>Consists of 1,643,658 ordinary shares. Mr. Moshe Arkin is the sole beneficial owner of Arkin Communication Ltd. The percentage ownership of Arkin Communication Ltd. decreased from 21.0% as of March 31, 2017. The address of Arkin Communication Ltd. is 6 HaChoshlim St., Bldg. C, Herzliya 46724, Israel.</w:t>
      </w:r>
    </w:p>
    <w:p>
      <w:pPr>
        <w:spacing w:after="0" w:line="1" w:lineRule="exact"/>
        <w:rPr>
          <w:rFonts w:ascii="Arial" w:cs="Arial" w:eastAsia="Arial" w:hAnsi="Arial"/>
          <w:sz w:val="23"/>
          <w:szCs w:val="23"/>
          <w:color w:val="auto"/>
          <w:vertAlign w:val="superscript"/>
        </w:rPr>
      </w:pPr>
    </w:p>
    <w:p>
      <w:pPr>
        <w:jc w:val="both"/>
        <w:ind w:left="520" w:right="140" w:hanging="289"/>
        <w:spacing w:after="0" w:line="195"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Represents ordinary shares beneficially owned as of December 31, 2016, based on a Schedule 13G/A filed on December 6, 2017, by Menora Mivtachim Holdings Ltd. In such filing, Menora Mivtachim Holdings Ltd. lists its address as Menora House, 115 Allenby St., Tel Aviv 61008, Israel, and indicates that it has shared voting power with respect to 1,338,762 ordinary shares and shared dispositive power with respect to 1,338,762 ordinary shares.</w:t>
      </w:r>
    </w:p>
    <w:p>
      <w:pPr>
        <w:ind w:left="520" w:right="60" w:hanging="289"/>
        <w:spacing w:after="0" w:line="211"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968,525 ordinary shares and 29,646 ordinary shares issuable upon exercise of outstanding options. Does not include 14,316 ordinary shares issuable upon exercise of outstanding options which have not vested. Pontifax Management Fund III L.P. is the general partner of Pontifax (Israel) III Limited Partnership, and Pontifax Management III G.P. (2011) Ltd. is the general partner of Pontifax Management Fund III L.P. Tomer Kariv and Ran Nussbaum are directors of Pontifax Management GP and, as such, hold voting and/or dispositive power over the shares held by Pontifax (Israel) III Limited Partnership. The percentage ownership of Pontifax (Israel) III Limited Partnership decreased from 11.4% as of March 31, 2017. The address of Pontifax (Israel) III Limited Partnership is 14 Shenkar St., Herzliya 4672514, Israel.</w:t>
      </w:r>
    </w:p>
    <w:p>
      <w:pPr>
        <w:spacing w:after="0" w:line="1" w:lineRule="exact"/>
        <w:rPr>
          <w:rFonts w:ascii="Arial" w:cs="Arial" w:eastAsia="Arial" w:hAnsi="Arial"/>
          <w:sz w:val="24"/>
          <w:szCs w:val="24"/>
          <w:color w:val="auto"/>
          <w:vertAlign w:val="superscript"/>
        </w:rPr>
      </w:pPr>
    </w:p>
    <w:p>
      <w:pPr>
        <w:ind w:left="520" w:right="120" w:hanging="289"/>
        <w:spacing w:after="0"/>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452,162 ordinary shares and 13,836 ordinary shares issuable upon exercise of outstanding options. Does not include 6,683 ordinary shares issuable upon exercise of outstanding options which have not vested. Pontifax Management Fund III L.P. is the general partner of Pontifax Cayman III Limited Partnership, and Pontifax Management III G.P. (2011) Ltd. is the general partner of Pontifax Management Fund III L.P. Tomer Kariv and Ran Nussbaum are directors of Pontifax Management GP and, as such, hold voting and/or dispositive power over the shares held by Pontifax Cayman III Limited Partnership. The percentage ownership of Pontifax (Israel) III Limited Partnership decreased from 5.3% as of March 31, 2017. The address of Pontifax Cayman III Limited Partnership is 14 Shenkar St., Herzliya 4672514, Israel.</w:t>
      </w:r>
    </w:p>
    <w:p>
      <w:pPr>
        <w:spacing w:after="0" w:line="52" w:lineRule="exact"/>
        <w:rPr>
          <w:rFonts w:ascii="Arial" w:cs="Arial" w:eastAsia="Arial" w:hAnsi="Arial"/>
          <w:sz w:val="24"/>
          <w:szCs w:val="24"/>
          <w:color w:val="auto"/>
          <w:vertAlign w:val="superscript"/>
        </w:rPr>
      </w:pPr>
    </w:p>
    <w:p>
      <w:pPr>
        <w:ind w:left="520" w:right="20" w:hanging="289"/>
        <w:spacing w:after="0" w:line="199" w:lineRule="auto"/>
        <w:tabs>
          <w:tab w:leader="none" w:pos="52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Consists of 1,451,329 ordinary shares. ProQuest Associates IV LLC is the managing member and sole general partner of ProQuest Investments VI, L.P. Jay Moorin and Alain Schreiber are the managing members of ProQuest Associates IV LLC and, as such, hold voting and/or dispositive power over the shares held by ProQuest Investments IV, L.P. The percentage ownership of ProQuest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20" w:right="220"/>
        <w:spacing w:after="0" w:line="236" w:lineRule="auto"/>
        <w:rPr>
          <w:sz w:val="20"/>
          <w:szCs w:val="20"/>
          <w:color w:val="auto"/>
        </w:rPr>
      </w:pPr>
      <w:r>
        <w:rPr>
          <w:rFonts w:ascii="Arial" w:cs="Arial" w:eastAsia="Arial" w:hAnsi="Arial"/>
          <w:sz w:val="14"/>
          <w:szCs w:val="14"/>
          <w:color w:val="auto"/>
        </w:rPr>
        <w:t>Investments IV, L.P. increased from 10.2% as of March 31, 2017. The address of ProQuest Investments IV, L.P. is 2430 Vanderbilt Beach Road, 108-190, Naples, FL 34109, USA.</w:t>
      </w:r>
    </w:p>
    <w:p>
      <w:pPr>
        <w:spacing w:after="0" w:line="8" w:lineRule="exact"/>
        <w:rPr>
          <w:sz w:val="20"/>
          <w:szCs w:val="20"/>
          <w:color w:val="auto"/>
        </w:rPr>
      </w:pPr>
    </w:p>
    <w:p>
      <w:pPr>
        <w:ind w:left="520" w:right="60" w:hanging="289"/>
        <w:spacing w:after="0" w:line="182" w:lineRule="auto"/>
        <w:tabs>
          <w:tab w:leader="none" w:pos="520" w:val="left"/>
        </w:tabs>
        <w:numPr>
          <w:ilvl w:val="0"/>
          <w:numId w:val="88"/>
        </w:numPr>
        <w:rPr>
          <w:rFonts w:ascii="Arial" w:cs="Arial" w:eastAsia="Arial" w:hAnsi="Arial"/>
          <w:sz w:val="23"/>
          <w:szCs w:val="23"/>
          <w:color w:val="auto"/>
          <w:vertAlign w:val="superscript"/>
        </w:rPr>
      </w:pPr>
      <w:r>
        <w:rPr>
          <w:rFonts w:ascii="Arial" w:cs="Arial" w:eastAsia="Arial" w:hAnsi="Arial"/>
          <w:sz w:val="14"/>
          <w:szCs w:val="14"/>
          <w:color w:val="auto"/>
        </w:rPr>
        <w:t>Consists of 84,211 ordinary shares and 219,482 ordinary shares issuable upon exercise of outstanding options. Does not include 85,000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20" w:right="140" w:hanging="289"/>
        <w:spacing w:after="0" w:line="182" w:lineRule="auto"/>
        <w:tabs>
          <w:tab w:leader="none" w:pos="520" w:val="left"/>
        </w:tabs>
        <w:numPr>
          <w:ilvl w:val="0"/>
          <w:numId w:val="88"/>
        </w:numPr>
        <w:rPr>
          <w:rFonts w:ascii="Arial" w:cs="Arial" w:eastAsia="Arial" w:hAnsi="Arial"/>
          <w:sz w:val="23"/>
          <w:szCs w:val="23"/>
          <w:color w:val="auto"/>
          <w:vertAlign w:val="superscript"/>
        </w:rPr>
      </w:pPr>
      <w:r>
        <w:rPr>
          <w:rFonts w:ascii="Arial" w:cs="Arial" w:eastAsia="Arial" w:hAnsi="Arial"/>
          <w:sz w:val="14"/>
          <w:szCs w:val="14"/>
          <w:color w:val="auto"/>
        </w:rPr>
        <w:t>Consists of 33,683 ordinary shares and 13,334 ordinary shares issuable upon exercise of outstanding options. Does not include 66,666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20" w:right="480" w:hanging="289"/>
        <w:spacing w:after="0" w:line="182" w:lineRule="auto"/>
        <w:tabs>
          <w:tab w:leader="none" w:pos="520" w:val="left"/>
        </w:tabs>
        <w:numPr>
          <w:ilvl w:val="0"/>
          <w:numId w:val="88"/>
        </w:numPr>
        <w:rPr>
          <w:rFonts w:ascii="Arial" w:cs="Arial" w:eastAsia="Arial" w:hAnsi="Arial"/>
          <w:sz w:val="23"/>
          <w:szCs w:val="23"/>
          <w:color w:val="auto"/>
          <w:vertAlign w:val="superscript"/>
        </w:rPr>
      </w:pPr>
      <w:r>
        <w:rPr>
          <w:rFonts w:ascii="Arial" w:cs="Arial" w:eastAsia="Arial" w:hAnsi="Arial"/>
          <w:sz w:val="14"/>
          <w:szCs w:val="14"/>
          <w:color w:val="auto"/>
        </w:rPr>
        <w:t>Consists of 7,500 ordinary shares issuable upon exercise of outstanding options. Does not include 32,500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20" w:hanging="289"/>
        <w:spacing w:after="0" w:line="187" w:lineRule="auto"/>
        <w:tabs>
          <w:tab w:leader="none" w:pos="520" w:val="left"/>
        </w:tabs>
        <w:numPr>
          <w:ilvl w:val="0"/>
          <w:numId w:val="88"/>
        </w:numPr>
        <w:rPr>
          <w:rFonts w:ascii="Arial" w:cs="Arial" w:eastAsia="Arial" w:hAnsi="Arial"/>
          <w:sz w:val="18"/>
          <w:szCs w:val="18"/>
          <w:color w:val="auto"/>
          <w:vertAlign w:val="superscript"/>
        </w:rPr>
      </w:pPr>
      <w:r>
        <w:rPr>
          <w:rFonts w:ascii="Arial" w:cs="Arial" w:eastAsia="Arial" w:hAnsi="Arial"/>
          <w:sz w:val="11"/>
          <w:szCs w:val="11"/>
          <w:color w:val="auto"/>
        </w:rPr>
        <w:t>Consists of 10,000 ordinary shares issuable upon exercise of outstanding options. Does not include 30,000 ordinary shares issuable upon exercise of outstanding</w:t>
      </w:r>
    </w:p>
    <w:p>
      <w:pPr>
        <w:ind w:left="520"/>
        <w:spacing w:after="0" w:line="231" w:lineRule="auto"/>
        <w:rPr>
          <w:sz w:val="20"/>
          <w:szCs w:val="20"/>
          <w:color w:val="auto"/>
        </w:rPr>
      </w:pPr>
      <w:r>
        <w:rPr>
          <w:rFonts w:ascii="Arial" w:cs="Arial" w:eastAsia="Arial" w:hAnsi="Arial"/>
          <w:sz w:val="14"/>
          <w:szCs w:val="14"/>
          <w:color w:val="auto"/>
        </w:rPr>
        <w:t>options which have not vested.</w:t>
      </w:r>
    </w:p>
    <w:p>
      <w:pPr>
        <w:spacing w:after="0" w:line="8" w:lineRule="exact"/>
        <w:rPr>
          <w:sz w:val="20"/>
          <w:szCs w:val="20"/>
          <w:color w:val="auto"/>
        </w:rPr>
      </w:pPr>
    </w:p>
    <w:p>
      <w:pPr>
        <w:ind w:left="580" w:right="42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4,167 ordinary shares issuable upon exercise of outstanding options. Does not include 45,833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80" w:right="34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40,241 ordinary shares issuable upon exercise of outstanding options. Does not include 21,000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80" w:right="34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37,000 ordinary shares issuable upon exercise of outstanding options. Does not include 21,000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8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23,033 ordinary shares and 136,569 ordinary shares issuable upon exercise of outstanding options. Does not include 74,333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80" w:right="34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17,467 ordinary shares issuable upon exercise of outstanding options. Does not include 67,733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80" w:right="20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beneficial ownership of securities held by Pontifax (Israel) III Limited Partnership and Pontifax Cayman III Limited Partnership described in notes 3 and 4 above.</w:t>
      </w:r>
    </w:p>
    <w:p>
      <w:pPr>
        <w:spacing w:after="0" w:line="1" w:lineRule="exact"/>
        <w:rPr>
          <w:rFonts w:ascii="Arial" w:cs="Arial" w:eastAsia="Arial" w:hAnsi="Arial"/>
          <w:sz w:val="23"/>
          <w:szCs w:val="23"/>
          <w:color w:val="auto"/>
          <w:vertAlign w:val="superscript"/>
        </w:rPr>
      </w:pPr>
    </w:p>
    <w:p>
      <w:pPr>
        <w:ind w:left="580" w:right="340" w:hanging="363"/>
        <w:spacing w:after="0" w:line="182" w:lineRule="auto"/>
        <w:tabs>
          <w:tab w:leader="none" w:pos="58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Consists of 88,600 ordinary shares issuable upon exercise of outstanding options. Does not include 43,200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580" w:hanging="363"/>
        <w:spacing w:after="0" w:line="189" w:lineRule="auto"/>
        <w:tabs>
          <w:tab w:leader="none" w:pos="580" w:val="left"/>
        </w:tabs>
        <w:numPr>
          <w:ilvl w:val="0"/>
          <w:numId w:val="89"/>
        </w:numPr>
        <w:rPr>
          <w:rFonts w:ascii="Arial" w:cs="Arial" w:eastAsia="Arial" w:hAnsi="Arial"/>
          <w:sz w:val="19"/>
          <w:szCs w:val="19"/>
          <w:color w:val="auto"/>
          <w:vertAlign w:val="superscript"/>
        </w:rPr>
      </w:pPr>
      <w:r>
        <w:rPr>
          <w:rFonts w:ascii="Arial" w:cs="Arial" w:eastAsia="Arial" w:hAnsi="Arial"/>
          <w:sz w:val="12"/>
          <w:szCs w:val="12"/>
          <w:color w:val="auto"/>
        </w:rPr>
        <w:t>Underwriters’ option to purchase additional ordinary shares, as set out on the cover page of this prospectus.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Shareholders</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54"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We have entered into an investors’ rights agreement dated September 18, 2014, as amended on October 1, 2015 and on April 12, 2016, or the Registration Rights Agreement, with certain of our shareholders. The Registration Rights Agreement provides that certain holders of our ordinary shares have the right to demand that we file a registration statement or request that their ordinary shares be covered by a registration statement that we are otherwise filing. Any registration rights with respect to this offering have been waived. The registration rights are described in more detail under “Description of Share Capital—Registration Rights.” All rights under the Registration Rights Agreement, other than the registration rights, terminated upon the closing of our initial public offering.</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Telormedix SA agreement</w:t>
      </w:r>
    </w:p>
    <w:p>
      <w:pPr>
        <w:spacing w:after="0" w:line="54"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We have entered into an asset purchase agreement, or the agreement, dated as of October 1, 2015, with Telormedix SA. Also on October 1, 2015, we entered into the 2015 Share Purchase Agreement, as further described below, pursuant to which ProQuest, which beneficially owns 62.6% of Telormedix, became a 10% beneficial owner of the company. Pursuant to the 2015 Share Purchase Agreement, ProQuest appointed Stuart Holden, M.D., who was a member of the board of directors of Telormedix, to our board of directors. Pursuant to the agreement, we purchased all of the intellectual property assets of Telormedix in consideration for an aggregate amount of 691,200 Series A preferred shares, which converted to ordinary shares in connection with our initial public offering. Upon the occurrence of each of three specified regulatory milestones, we are required to issue an additional 92,800 ordinary shares to Telormedix, for an aggregate potential maximum amount of 278,400 ordinary shares. In April 2017, Telormedix transferred 135,200 Series A preferred shares and the right to receive an additional aggregate of 54,462 Series A preferred shares upon the occurrence of the milestones to ProQuest, and 80,800 Series A preferred shares and the right to receive an additional 32,538 Series A preferred shares upon the occurrence of the milestones to Aravis Venture I L.P.</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54"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contain customary provisions and representations, including confidentiality, non-competition, non-solicitation and inventions assignment undertakings by the executive officers. However, the enforceability of the non-competition provisions may be limited under applicable law. The agreements are terminable by us at will, subject to prior notice, which varies for each individual. Our executive officers will not receive benefits upon termination of their respective employment with us, other than payment of salary and benefits (and limited accrual of vacation days) during the required notice period for termination of their employment. However, Ron Bentsur, our Chief Executive Officer, Gary Titus, our Chief Financial Officer, and Mark Schoenberg, our Chief Medical Officer will be entitled to accelerated vesting of their restricted stock units and stock options, respectively, in the event of termination without cause.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Consulting and option agreements</w:t>
      </w:r>
    </w:p>
    <w:p>
      <w:pPr>
        <w:spacing w:after="0" w:line="5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entered into an agreement with our chairman of the board of directors, Arie Belldegrun, M.D., for management services pertaining to the development of our business. These services included serving as chairman of the board of directors, assisting us in our financing activities and overseeing our clinical development activities. In consideration of these services, as of December 31, 2016, we had issued Dr. Belldegrun options under our 2010 Israeli Share Option Plan to purchase 128,000 ordinary shares at $4.02 per share and 166,482 ordinary shares at $5.00 per share. The agreement had no fixed term and was terminable at will (i) by Dr. Belldegrun upon 30 days’ prior written notice and (ii) by us at any time pursuant to the directions of our board of directors or shareholders. The agreement contained customary provisions and representations, including confidentiality and inventions assignment undertakings by Dr. Belldegrun. On March 29, 2017, our board resolved to terminate the agreement.</w:t>
      </w:r>
    </w:p>
    <w:p>
      <w:pPr>
        <w:spacing w:after="0" w:line="150" w:lineRule="exact"/>
        <w:rPr>
          <w:sz w:val="20"/>
          <w:szCs w:val="20"/>
          <w:color w:val="auto"/>
        </w:rPr>
      </w:pPr>
    </w:p>
    <w:p>
      <w:pPr>
        <w:ind w:left="200" w:right="280"/>
        <w:spacing w:after="0" w:line="238" w:lineRule="auto"/>
        <w:rPr>
          <w:sz w:val="20"/>
          <w:szCs w:val="20"/>
          <w:color w:val="auto"/>
        </w:rPr>
      </w:pPr>
      <w:r>
        <w:rPr>
          <w:rFonts w:ascii="Arial" w:cs="Arial" w:eastAsia="Arial" w:hAnsi="Arial"/>
          <w:sz w:val="17"/>
          <w:szCs w:val="17"/>
          <w:color w:val="auto"/>
        </w:rPr>
        <w:t>We have also entered into an option agreement with our non-executive directors Pini Orbach and Stuart Holden and option agreements with Pontifax (Israel) III Limited Partnership and Pontifax Cayman III Limited Partnership, which are represented by our non-executive director Ran Nussbaum, according to which each was granted options under</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80"/>
          </w:cols>
          <w:pgMar w:left="24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2010 Israeli Share Option Plan in the number and on the terms set out in the section above titled “Principal Shareholders.”</w:t>
      </w:r>
    </w:p>
    <w:p>
      <w:pPr>
        <w:spacing w:after="0" w:line="156"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We have also entered into an option agreement with our non-executive directors Pini Orbach, Kathryn E. Falberg, Fred Cohen, Cynthia Butitta and Stuart Holden and option agreements with Pontifax (Israel) III Limited Partnership and Pontifax Cayman III Limited Partnership, which are represented by our non-executive director Ran Nussbaum, pursuant to which each was granted options under our 2017 Equity Incentive Plan in the amount and on the terms set out in the “Principal Shareholders” table above.</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Financing agreements</w:t>
      </w:r>
    </w:p>
    <w:p>
      <w:pPr>
        <w:spacing w:after="0" w:line="4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Between 2012 and 2015, Arkin Communications Ltd. or Arkin, which appointed Pini Orbach, Ph.D., to our board of directors, Pontifax (Israel) III Limited Partnership, or Pontifax IL, and Pontifax Cayman III Limited Partnership, or Pontifax CM, which appointed Ran Nussbaum to our board of directors, Shirat HaChaim Ltd., or Shirat HaChaim, a company controlled by Chaim Hurvitz, who served as our director until December 2017, Bellco Capital LLC, or Bellco, through several entities controlled by it (the beneficial owners of Bellco Capital are Rebecka Belldegrun, M.D. and our chairman Arie Belldegrun, M.D.) and ProQuest Investments IV, L.P., or ProQuest, which appointed Stuart Holden, M.D. to our board of directors, invested in the company an aggregate amount of approximately $22.4 million in consideration of the securities described below:</w:t>
      </w:r>
    </w:p>
    <w:p>
      <w:pPr>
        <w:spacing w:after="0" w:line="148"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From January 2012 through July 2013, we entered into share purchase agreements with Pontifax IL, Pontifax CM, Shirat HaChaim and other investors, pursuant to which the company issued to the investors 1,375,233 ordinary shares at $5.00 per share, of which 272,691, 127,308 and 100,000 ordinary shares were issued to Pontifax IL, Pontifax CM and Shirat HaChaim, respectively.</w:t>
      </w:r>
    </w:p>
    <w:p>
      <w:pPr>
        <w:spacing w:after="0" w:line="148" w:lineRule="exact"/>
        <w:rPr>
          <w:sz w:val="20"/>
          <w:szCs w:val="20"/>
          <w:color w:val="auto"/>
        </w:rPr>
      </w:pPr>
    </w:p>
    <w:p>
      <w:pPr>
        <w:jc w:val="both"/>
        <w:ind w:left="200" w:right="120"/>
        <w:spacing w:after="0" w:line="236" w:lineRule="auto"/>
        <w:rPr>
          <w:sz w:val="20"/>
          <w:szCs w:val="20"/>
          <w:color w:val="auto"/>
        </w:rPr>
      </w:pPr>
      <w:r>
        <w:rPr>
          <w:rFonts w:ascii="Arial" w:cs="Arial" w:eastAsia="Arial" w:hAnsi="Arial"/>
          <w:sz w:val="17"/>
          <w:szCs w:val="17"/>
          <w:color w:val="auto"/>
        </w:rPr>
        <w:t>On September 18, 2014, we entered into the 2014 Share Purchase Agreement with Arkin, Pontifax IL, Pontifax CM, Shirat HaChaim and other investors, pursuant to which the company issued to the investors 1,456,573 Series A preferred shares at $5.94 per share and 728,312 warrants exercisable into shares of Series A-1 preferred shares at $7.81 per share, of which 757,894, 172,224, 80,402 and 84,210 shares and 378,950, 86,112, 40,204 and 42,105 warrants were issued to Arkin, Pontifax IL, Pontifax CM and Shirat HaChaim, respectively.</w:t>
      </w:r>
    </w:p>
    <w:p>
      <w:pPr>
        <w:spacing w:after="0" w:line="149" w:lineRule="exact"/>
        <w:rPr>
          <w:sz w:val="20"/>
          <w:szCs w:val="20"/>
          <w:color w:val="auto"/>
        </w:rPr>
      </w:pPr>
    </w:p>
    <w:p>
      <w:pPr>
        <w:ind w:left="200" w:right="300"/>
        <w:spacing w:after="0" w:line="236" w:lineRule="auto"/>
        <w:rPr>
          <w:sz w:val="20"/>
          <w:szCs w:val="20"/>
          <w:color w:val="auto"/>
        </w:rPr>
      </w:pPr>
      <w:r>
        <w:rPr>
          <w:rFonts w:ascii="Arial" w:cs="Arial" w:eastAsia="Arial" w:hAnsi="Arial"/>
          <w:sz w:val="17"/>
          <w:szCs w:val="17"/>
          <w:color w:val="auto"/>
        </w:rPr>
        <w:t>On October 1, 2015, we entered into the 2015 Share Purchase Agreement with ProQuest, Arkin, Pontifax IL, Pontifax CM, Shirat HaChaim, Bellco and other investors, pursuant to which the company issued to the investors 3,045,654 Series A preferred shares at $5.94 per share, of which 842,105, 589,475, 390,380, 182,252, 168,422 and 84,211 shares were issued to ProQuest, Arkin, Pontifax IL, Pontifax CM, Shirat HaChaim and Bellco, respectively.</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Lease agreement</w:t>
      </w:r>
    </w:p>
    <w:p>
      <w:pPr>
        <w:spacing w:after="0" w:line="41"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Our U.S. subsidiary, UroGen Pharma, Inc., entered into a lease agreement, dated as of September 15, 2017 and commencing as of October 2017, for office space in New York, which serves as the headquarters for our U.S. subsidiary. Prior to that, our U.S. subsidiary entered into a lease agreement, dated as of November 2015 and commencing as of May 2016, for office space in New York, which served as the headquarters for our U.S. subsidiary. Our U.S. subsidiary shared the office space equitably with Kite Pharma, Inc., a Delaware corporation, who was a co-signatory to such lease agreement. Arie Belldegrun, M.D., our chairman, served until November 2017 as the Chairman and Chief Executive Officer of Kite Pharma until its acquisition in November 2017 by Gilead Sciences, Inc.</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4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60"/>
          </w:cols>
          <w:pgMar w:left="24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Family members of Chaim Hurvitz, our former director, beneficially own more than 10% of Pontifax IL and Pontifax CM.</w:t>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219"/>
          </w:cols>
          <w:pgMar w:left="240" w:top="460" w:right="1440"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SHARE CAPITAL</w:t>
      </w:r>
    </w:p>
    <w:p>
      <w:pPr>
        <w:spacing w:after="0" w:line="336" w:lineRule="exact"/>
        <w:rPr>
          <w:sz w:val="20"/>
          <w:szCs w:val="20"/>
          <w:color w:val="auto"/>
        </w:rPr>
      </w:pPr>
    </w:p>
    <w:p>
      <w:pPr>
        <w:ind w:left="200" w:right="220"/>
        <w:spacing w:after="0" w:line="238" w:lineRule="auto"/>
        <w:rPr>
          <w:sz w:val="20"/>
          <w:szCs w:val="20"/>
          <w:color w:val="auto"/>
        </w:rPr>
      </w:pPr>
      <w:r>
        <w:rPr>
          <w:rFonts w:ascii="Arial" w:cs="Arial" w:eastAsia="Arial" w:hAnsi="Arial"/>
          <w:sz w:val="17"/>
          <w:szCs w:val="17"/>
          <w:color w:val="auto"/>
        </w:rPr>
        <w:t>The following descriptions of our share capital and provisions of our amended and restated articles of association are summaries and do not purport to be complete. Our amended and restated articles of incorporation are filed with the SEC as an exhibit to our registration statement, of which this prospectus forms a part.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Our authorized share capital consists of 100,000,000 ordinary shares, par value NIS 0.01 per share, of which 13,751,390 shares are issued and outstanding as of December 31, 2017.</w:t>
      </w:r>
    </w:p>
    <w:p>
      <w:pPr>
        <w:spacing w:after="0" w:line="144"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color w:val="auto"/>
        </w:rPr>
        <w:t>All of our outstanding ordinary shares are validly issued, fully paid and non-assessable. Our ordinary shares are not redeemable and do not have any preemptive rights.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ordinary shares have identical voting and other rights in all respects.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Number and Purpose of the Company</w:t>
      </w:r>
    </w:p>
    <w:p>
      <w:pPr>
        <w:spacing w:after="0" w:line="80"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Our registration number with the Israeli Registrar of Companies is 513537621. Our purpose as set forth in our amended and restated articles of association is to engage in any lawful activity.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Shares</w:t>
      </w:r>
    </w:p>
    <w:p>
      <w:pPr>
        <w:spacing w:after="0" w:line="8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Directors</w:t>
      </w:r>
    </w:p>
    <w:p>
      <w:pPr>
        <w:spacing w:after="0" w:line="93"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meeting of shareholders have the power to elect all of our directors.</w:t>
      </w:r>
    </w:p>
    <w:p>
      <w:pPr>
        <w:spacing w:after="0" w:line="144"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Under our amended and restated articles of association, our board of directors must consist of at least five and not more than nine directors. Our board of directors consists of eight directors.</w:t>
      </w:r>
    </w:p>
    <w:p>
      <w:pPr>
        <w:spacing w:after="0" w:line="14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Pursuant to our amended and restated articles of association, each of our directors is appointed by a simple majority vote of holders of our ordinary shares, participating and voting at an annual general meeting of our shareholders. Each director serves until the next annual general meeting following his or her election and his or her successor is duly elected and qualified or until his or her earlier death, resignation or removal by a vote of the majority of the aggregate voting power of our company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 maximum number of directors permitted under our articles of association, to serve until the next annual general meeting of shareholders. Our amended and restated articles of association do not have a retirement age requirement for our directors.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and Liquidation Rights</w:t>
      </w:r>
    </w:p>
    <w:p>
      <w:pPr>
        <w:spacing w:after="0" w:line="80"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48" w:lineRule="exact"/>
        <w:rPr>
          <w:sz w:val="20"/>
          <w:szCs w:val="20"/>
          <w:color w:val="auto"/>
        </w:rPr>
      </w:pPr>
    </w:p>
    <w:p>
      <w:pPr>
        <w:jc w:val="both"/>
        <w:ind w:left="200" w:right="440"/>
        <w:spacing w:after="0" w:line="238" w:lineRule="auto"/>
        <w:rPr>
          <w:sz w:val="20"/>
          <w:szCs w:val="20"/>
          <w:color w:val="auto"/>
        </w:rPr>
      </w:pPr>
      <w:r>
        <w:rPr>
          <w:rFonts w:ascii="Arial" w:cs="Arial" w:eastAsia="Arial" w:hAnsi="Arial"/>
          <w:sz w:val="17"/>
          <w:szCs w:val="17"/>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Controls</w:t>
      </w:r>
    </w:p>
    <w:p>
      <w:pPr>
        <w:spacing w:after="0" w:line="93"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Meetings</w:t>
      </w:r>
    </w:p>
    <w:p>
      <w:pPr>
        <w:spacing w:after="0" w:line="80"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meetings. Our board of directors may call extraordinary meetings whenever it sees fit, at such time and place, within or outside of Israel, as it may determine. In addition, the Israeli Companies Law provides that our board of directors is required to convene an extraordinary meeting upon the written request of (i) any two or more of our directors or one-quarter or more of the members of our board of directors, or (ii) one or more shareholders holding, in the aggregate, either (a) 5% or more of our outstanding issued shares and 1% of our outstanding voting power, or (b) 5% or more of our outstanding voting power.</w:t>
      </w:r>
    </w:p>
    <w:p>
      <w:pPr>
        <w:spacing w:after="0" w:line="151"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90" w:lineRule="exact"/>
        <w:rPr>
          <w:sz w:val="20"/>
          <w:szCs w:val="20"/>
          <w:color w:val="auto"/>
        </w:rPr>
      </w:pPr>
    </w:p>
    <w:p>
      <w:pPr>
        <w:ind w:left="960" w:hanging="432"/>
        <w:spacing w:after="0"/>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amendments to our articles of association;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appointment or termination of our auditors;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appointment of external directors (if applicable);</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approval of certain related party transactions;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increases or reductions of our authorized share capital;</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 merger; and</w:t>
      </w:r>
    </w:p>
    <w:p>
      <w:pPr>
        <w:spacing w:after="0" w:line="34" w:lineRule="exact"/>
        <w:rPr>
          <w:rFonts w:ascii="MS PGothic" w:cs="MS PGothic" w:eastAsia="MS PGothic" w:hAnsi="MS PGothic"/>
          <w:sz w:val="13"/>
          <w:szCs w:val="13"/>
          <w:color w:val="auto"/>
        </w:rPr>
      </w:pPr>
    </w:p>
    <w:p>
      <w:pPr>
        <w:ind w:left="960" w:right="280" w:hanging="432"/>
        <w:spacing w:after="0" w:line="243" w:lineRule="auto"/>
        <w:tabs>
          <w:tab w:leader="none" w:pos="96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the exercise of our board of director’s powers by a general meeting, if our board of directors is unable to exercise its powers and the exercise of any of its powers is required for our proper management.</w:t>
      </w:r>
    </w:p>
    <w:p>
      <w:pPr>
        <w:spacing w:after="0" w:line="144"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The Israeli Companies Law requires that a notice of any annual general meeting or extraordinary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48" w:lineRule="exact"/>
        <w:rPr>
          <w:sz w:val="20"/>
          <w:szCs w:val="20"/>
          <w:color w:val="auto"/>
        </w:rPr>
      </w:pPr>
    </w:p>
    <w:p>
      <w:pPr>
        <w:ind w:left="200" w:right="640"/>
        <w:spacing w:after="0" w:line="243" w:lineRule="auto"/>
        <w:rPr>
          <w:sz w:val="20"/>
          <w:szCs w:val="20"/>
          <w:color w:val="auto"/>
        </w:rPr>
      </w:pPr>
      <w:r>
        <w:rPr>
          <w:rFonts w:ascii="Arial" w:cs="Arial" w:eastAsia="Arial" w:hAnsi="Arial"/>
          <w:sz w:val="17"/>
          <w:szCs w:val="17"/>
          <w:color w:val="auto"/>
        </w:rPr>
        <w:t>Under the Israeli Companies Law, shareholders of a public company are not permitted to take action by way of written consent in lieu of a meeting.</w:t>
      </w:r>
    </w:p>
    <w:p>
      <w:pPr>
        <w:spacing w:after="0" w:line="14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7"/>
          <w:szCs w:val="17"/>
          <w:color w:val="auto"/>
        </w:rPr>
        <w:t>Under Israeli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Quorum Requirements</w:t>
      </w:r>
    </w:p>
    <w:p>
      <w:pPr>
        <w:spacing w:after="0" w:line="54"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by other voting instrument in accordance with the Israeli Companies Law who hold or represent between them at least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Vote Requirements</w:t>
      </w:r>
    </w:p>
    <w:p>
      <w:pPr>
        <w:spacing w:after="0" w:line="54"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Law—Fiduciary Duties of Directors and Executive Officers— Disclosure of Personal Interests of Controlling Shareholders and Approval of Certain Transactions.” Additionally, (i) the approval and extension of a compensation policy and certain deviations therefrom require the approvals described above under “Management—Compensation, Nominating and Corporate Governance Committee and Compensation Policy—Israeli Companies Law Requirements,” and (ii) the terms of employment or other engagement of the chief executive officer of the company require the approvals described above under “Management—Approval of Related Party Transactions under Israeli Law—Fiduciary Duties of Directors and Executive Officers—Disclosure of Personal Interests of an Office Holder and Approval of Certain Transactions.” Under our amended and restated articles of association, (i) the removal of a director from office requires the adoption of a resolution at a general meeting of shareholders by a majority of the aggregate voting rights of our company, and (ii)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52" w:lineRule="exact"/>
        <w:rPr>
          <w:sz w:val="20"/>
          <w:szCs w:val="20"/>
          <w:color w:val="auto"/>
        </w:rPr>
      </w:pPr>
    </w:p>
    <w:p>
      <w:pPr>
        <w:ind w:left="200" w:right="200"/>
        <w:spacing w:after="0" w:line="236" w:lineRule="auto"/>
        <w:rPr>
          <w:sz w:val="20"/>
          <w:szCs w:val="20"/>
          <w:color w:val="auto"/>
        </w:rPr>
      </w:pPr>
      <w:r>
        <w:rPr>
          <w:rFonts w:ascii="Arial" w:cs="Arial" w:eastAsia="Arial" w:hAnsi="Arial"/>
          <w:sz w:val="17"/>
          <w:szCs w:val="17"/>
          <w:color w:val="auto"/>
        </w:rPr>
        <w:t>Further exceptions to the simple majority vote requirement are a resolution for the voluntary winding up, or an approval of a scheme of arrangement or reorganization, of the company pursuant to Section 350 of the Israeli Companies Law, that governs the settlement of debts and reorganization of a company, which requires the approval of holders of 75% of the voting rights represented at the meeting and voting on the resolution.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Access to Corporate Records</w:t>
      </w:r>
    </w:p>
    <w:p>
      <w:pPr>
        <w:spacing w:after="0" w:line="5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Class Rights</w:t>
      </w:r>
    </w:p>
    <w:p>
      <w:pPr>
        <w:spacing w:after="0" w:line="80"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Under the Israeli Companies Law and our amended and restated articles of association, 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have entered into the Registration Rights Agreement with certain of our shareholders as part of the 2014 Share Purchase Agreement. As of the date of this prospectus, holders of a total of 4,515,674 of our ordinary shares have the right to require us to register these shares under the Securities Act under specified circumstances and have incidental registration rights as described below. After registration pursuant to these rights, these shares will become freely tradable without restriction under the Securities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If at any time after 180 days after the effective date of our initial public offering registration statement, we receive a request from holders of at least 30% of the registrable securities then outstanding that we file a Form F-1 registration statement with respect to registrable securities then outstanding having an anticipated aggregate offering price of at least $5.0 million, then we shall (a) within 10 days after the date such request is given, give demand notice to all holders other than the initiating holders; and (b) as soon as practicable, and in any event within 60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us within 20 days of the date the demand notice is given.</w:t>
      </w:r>
    </w:p>
    <w:p>
      <w:pPr>
        <w:spacing w:after="0" w:line="15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will not be obligated to file a registration statement at such time if in the good faith judgment of our board of directors, such registration would be materially detrimental to us and our shareholders, because such action would (a) materially interfere with a significant acquisition, corporate reorganization, or other similar transaction involving us; (b) require premature disclosure of material information that we have a bona fide business purpose for preserving as confidential; or (c) render us unable to comply with requirements under the Securities Act or Exchange Act. In such event we may defer the requested filing for a period of not more than 60 days. We may not invoke this right more than once in any 12-month period and, during such 60 day period, we shall not register any securities for our own account or that of any other shareholder other than in an “Excluded Registration”: (i) a registration relating to the sale of securities to our or a subsidiary’s employees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are ordinary shares issuable upon conversion of debt securities that are also being registered.</w:t>
      </w:r>
    </w:p>
    <w:p>
      <w:pPr>
        <w:spacing w:after="0" w:line="154"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In addition we shall not be obligated to effect, or to take any action to effect, any demand registration (a) during the period that is 60 days before our good faith estimate of the date of filing of, and ending on a date that is 180 days after the effective date of, our initiated registration, provided that we are actively employing in good faith commercially reasonable efforts to cause such registration statement to become effective; (b) after we have effected two demand registrations; or (c) if the initiating holders propose to dispose of shares of registrable securities that may be immediately registered on Form F-3.</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Form F-3 Registration Rights</w:t>
      </w:r>
    </w:p>
    <w:p>
      <w:pPr>
        <w:spacing w:after="0" w:line="54"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If at any time when we are eligible to use a Form F-3 registration statement, we receive a request from holders of the registrable securities then outstanding that we file a Form F-3 registration statement with respect to outstanding registrable securities of such holders having an anticipated aggregate offering price of at least $3.0 million, then we shall (a) within 10 days after the date such request is given, give a demand notice to all holders other than the initiating holders; and (b) as soon as practicable, and in any event within 45 days after the date such request is given by the initiating holders, file a Form F-3 registration statement under the Securities Act covering all registrable securities requested to be included in such registration by any other holders, as specified by notice given by each such holder to us within 20 days of the date the demand notice is given.</w:t>
      </w:r>
    </w:p>
    <w:p>
      <w:pPr>
        <w:spacing w:after="0" w:line="15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We shall not be obligated to effect, or to take any action to effect, any Form F-3 registration (a) during the period that is 30 days before our good faith estimate of the date of filing of, and ending on a date that is 90 days after the effective date of, our initiated registration, provided that we are actively employing in good faith commercially reasonable efforts to cause such registration statement to become effective; or (b) if we have effected two Form F-3 demand registrations within the 12-month period immediately preceding the date of such request. A Form F-3 registration shall not be counted as “effected” until such time as the applicable registration statement has been</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declared effective by the SEC, unless the initiating holders withdraw their request for such registration, elect not to pay the registration expenses therefor, and forfeit their right to one demand registration statement, in which case such withdrawn registration statement shall be counted as “effected.”</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1"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addition, if we propose to register (including, for this purpose, a registration effected by us for shareholders other than the holders) any of our securities under the Securities Act in connection with the public offering of such securities solely for cash (other than in an Excluded Registration), we shall, at such time, promptly give each holder notice of such registration. Upon the request of each holder given within 20 days after such notice is given by us, we shall, subject to underwriter requirements, cause to be registered all of the registrable securities that each such holder has requested to be included in such registration. We shall have the right to terminate or withdraw any registration initiated by us before the effectiveness of such registration, whether or not any holder has elected to include registrable securities in such registration. The expenses of such withdrawn registration shall be borne by us. Any piggyback registration rights with respect to this offering have been waived.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Other Provisions</w:t>
      </w:r>
    </w:p>
    <w:p>
      <w:pPr>
        <w:spacing w:after="0" w:line="41" w:lineRule="exact"/>
        <w:rPr>
          <w:sz w:val="20"/>
          <w:szCs w:val="20"/>
          <w:color w:val="auto"/>
        </w:rPr>
      </w:pPr>
    </w:p>
    <w:p>
      <w:pPr>
        <w:ind w:left="200" w:right="180"/>
        <w:spacing w:after="0" w:line="23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or piggyback registration. The demand, Form F-3 and piggyback registration rights described above will expire with respect to each holder of registrable securities upon such time as Rule 144 or another similar exemption under the Securities Act is available for the sale of all of such holder’s shares without limitation during a three-month period without registration.</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No holder shall be entitled to exercise any registration rights after, and all such rights shall terminate upon the earlier to occur of (a) (i) any dissolution or liquidation of us; (ii) the proper commencement, by or against us, of any bankruptcy or insolvency proceeding under any bankruptcy or insolvency or similar law, whether voluntary or involuntary and (iii) the appointment of a receiver or liquidator to all or substantially all of our assets, and (b) the fifth anniversary of the completion of our initial public offering.</w:t>
      </w:r>
    </w:p>
    <w:p>
      <w:pPr>
        <w:spacing w:after="0" w:line="149" w:lineRule="exact"/>
        <w:rPr>
          <w:sz w:val="20"/>
          <w:szCs w:val="20"/>
          <w:color w:val="auto"/>
        </w:rPr>
      </w:pPr>
    </w:p>
    <w:p>
      <w:pPr>
        <w:ind w:left="200" w:right="200"/>
        <w:spacing w:after="0" w:line="238" w:lineRule="auto"/>
        <w:rPr>
          <w:sz w:val="20"/>
          <w:szCs w:val="20"/>
          <w:color w:val="auto"/>
        </w:rPr>
      </w:pPr>
      <w:r>
        <w:rPr>
          <w:rFonts w:ascii="Arial" w:cs="Arial" w:eastAsia="Arial" w:hAnsi="Arial"/>
          <w:sz w:val="17"/>
          <w:szCs w:val="17"/>
          <w:color w:val="auto"/>
        </w:rPr>
        <w:t>In addition, the registration rights shall terminate as to any shares of registrable securities when such shares have been (i) registered under the Securities Act pursuant to an effective registration statement filed thereunder and disposed of in accordance with the registration statement covering them, or (ii) publicly sold pursuant to Rule 144.</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Acquisitions under Israeli Law</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Full Tender Offer</w:t>
      </w:r>
    </w:p>
    <w:p>
      <w:pPr>
        <w:spacing w:after="0" w:line="5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48"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If (i) the shareholders who did not respond to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Special Tender Offer</w:t>
      </w:r>
    </w:p>
    <w:p>
      <w:pPr>
        <w:spacing w:after="0" w:line="41"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48"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Merger</w:t>
      </w:r>
    </w:p>
    <w:p>
      <w:pPr>
        <w:spacing w:after="0" w:line="41"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8"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“Management—Approval of Related Party Transactions under Israeli Law—Disclosure of Personal Interests of Controlling Shareholders and Approval of Certain Transactions”).</w:t>
      </w:r>
    </w:p>
    <w:p>
      <w:pPr>
        <w:spacing w:after="0" w:line="151"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49"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Upon the request of a creditor of either party to the proposed merger, the court may delay or prevent the merger if it concludes that there exists a reasonable concern that, as a result of the merger, the surviving company will be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unable to satisfy the obligations of the merging entities, and may further give instructions to secure the rights of creditors.</w:t>
      </w:r>
    </w:p>
    <w:p>
      <w:pPr>
        <w:spacing w:after="0" w:line="156"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Anti-Takeover Measures under Israeli Law</w:t>
      </w:r>
    </w:p>
    <w:p>
      <w:pPr>
        <w:spacing w:after="0" w:line="41"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and voting at a general meeting. The convening of the meeting, the shareholders entitled to participate and the majority vote required to be obtained at such a meeting will be subject to the requirements set forth in the Israeli Companies Law as described above in “— Voting Rights.”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Borrowing Powers</w:t>
      </w:r>
    </w:p>
    <w:p>
      <w:pPr>
        <w:spacing w:after="0" w:line="93"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Capital</w:t>
      </w:r>
    </w:p>
    <w:p>
      <w:pPr>
        <w:spacing w:after="0" w:line="80"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80"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The transfer agent and registrar for our ordinary shares is Computershare Trust Company, N.A. Its address is 250 Royall Street, Canton, MA 02021. Its telephone number is +1 (201) 680-4503.</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ordinary shares are listed on the NASDAQ Global Market under the symbol “URGN.”</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40"/>
          </w:cols>
          <w:pgMar w:left="24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200" w:right="80"/>
        <w:spacing w:after="0" w:line="234" w:lineRule="auto"/>
        <w:rPr>
          <w:sz w:val="20"/>
          <w:szCs w:val="20"/>
          <w:color w:val="auto"/>
        </w:rPr>
      </w:pPr>
      <w:r>
        <w:rPr>
          <w:rFonts w:ascii="Arial" w:cs="Arial" w:eastAsia="Arial" w:hAnsi="Arial"/>
          <w:sz w:val="17"/>
          <w:szCs w:val="17"/>
          <w:color w:val="auto"/>
        </w:rPr>
        <w:t>Sales of substantial amounts of our ordinary shares, or the perception that these sales could occur, could adversely affect prevailing market prices of our ordinary shares and could impair our future ability to obtain capital, especially through an offering of equity securities. Assuming that the underwriters do not exercise their option to purchase additional ordinary shares with respect to this offering and assuming no exercise of options outstanding following this offering, we will have an aggregate of 14,887,237 ordinary shares outstanding upon the closing of this offering based upon the number of outstanding shares as of December 31, 2017. Of these shares, 11,681,965 ordinary shares will be freely tradable without restriction or further registration under the Securities Act, unless owned by “affiliates” (as that term is defined under Rule 144 of the Securities Act, or Rule 144), who may sell only the volume of shares described below and whose sales would be subject to additional restrictions described below, or purchased by certain existing investors and their affiliated entities who are subject to lock-up agreements.</w:t>
      </w:r>
    </w:p>
    <w:p>
      <w:pPr>
        <w:spacing w:after="0" w:line="150"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3,205,272 ordinary shares will be held by our existing affiliates and will be deemed to be “restricted securities” under Rule 144. Subject to certain contractual restrictions, including the lock-up agreements described below, restricted securities may only be sold in the public market pursuant to an effective registration statement under the Securities Act or pursuant to an exemption from registration under Rule 144, Rule 701 or Rule 904 under the Securities Act. These rules are summarized below. Sales of these shares in the public market after the restrictions under the lock-up agreements lapse, or the perception that those sales may occur, could cause the prevailing market price of our ordinary shares to decrease or to be lower than it might be in the absence of those sales or perceptions.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93" w:lineRule="exact"/>
        <w:rPr>
          <w:sz w:val="20"/>
          <w:szCs w:val="20"/>
          <w:color w:val="auto"/>
        </w:rPr>
      </w:pPr>
    </w:p>
    <w:p>
      <w:pPr>
        <w:ind w:left="200" w:right="220"/>
        <w:spacing w:after="0" w:line="236" w:lineRule="auto"/>
        <w:rPr>
          <w:sz w:val="20"/>
          <w:szCs w:val="20"/>
          <w:color w:val="auto"/>
        </w:rPr>
      </w:pPr>
      <w:r>
        <w:rPr>
          <w:rFonts w:ascii="Arial" w:cs="Arial" w:eastAsia="Arial" w:hAnsi="Arial"/>
          <w:sz w:val="17"/>
          <w:szCs w:val="17"/>
          <w:color w:val="auto"/>
        </w:rPr>
        <w:t>Approximately 3,205,272 of our ordinary shares will be eligible for resale pursuant to Rule 144 after 90 days following the pricing of this offering with respect to affiliates of our company who will hold an aggregate of 3,205,272 ordinary shares upon the consummation of this offering, following the expiration of an affiliate’s six-month holding period and subject to our compliance with the current public information requirements under Rule 144, and subject to the volume, manner of sale and other limitations under Rule 144 applicable to securities held by affiliates.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8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All of our directors and executive officers and certain shareholders affiliated with our directors have signed lock-up agreements. Pursuant to such lock-up agreements, such persons have agreed, subject to certain exceptions, not to sell or otherwise dispose of ordinary shares or any securities convertible into or exchangeable for ordinary shares for a period of 90 days after the date of this prospectus without the prior written consent of Jefferies LLC. Jefferies LLC may, in its sole discretion, at any time without prior notice, release all or any portion of the ordinary shares from the restrictions in any such agreement.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Shares Held for Six Months</w:t>
      </w:r>
    </w:p>
    <w:p>
      <w:pPr>
        <w:spacing w:after="0" w:line="54"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In general, under Rule 144 as currently in effect, and subject to the terms of any lock-up agreement, commencing 90 days after the closing of this offering, a person (or persons whose shares are aggregated), including an affiliate, who has beneficially owned our ordinary shares for six months or more, including the holding period of any prior owner other than one of our affiliates (</w:t>
      </w:r>
      <w:r>
        <w:rPr>
          <w:rFonts w:ascii="Arial" w:cs="Arial" w:eastAsia="Arial" w:hAnsi="Arial"/>
          <w:sz w:val="17"/>
          <w:szCs w:val="17"/>
          <w:i w:val="1"/>
          <w:iCs w:val="1"/>
          <w:color w:val="auto"/>
        </w:rPr>
        <w:t>i.e.</w:t>
      </w:r>
      <w:r>
        <w:rPr>
          <w:rFonts w:ascii="Arial" w:cs="Arial" w:eastAsia="Arial" w:hAnsi="Arial"/>
          <w:sz w:val="17"/>
          <w:szCs w:val="17"/>
          <w:color w:val="auto"/>
        </w:rPr>
        <w:t>, commencing when the shares were acquired from our company or from an affiliate of our company as restricted securities), is entitled to sell our shares, subject to the availability of current public information about us. In the case of an affiliate shareholder, the right to sell is also subject to the fulfillment of certain additional conditions, including manner of sale provisions and notice requirements, and to a volume limitation that limits the number of shares to be sold thereby, within any three-month period, to the greater of:</w:t>
      </w:r>
    </w:p>
    <w:p>
      <w:pPr>
        <w:spacing w:after="0" w:line="192" w:lineRule="exact"/>
        <w:rPr>
          <w:sz w:val="20"/>
          <w:szCs w:val="20"/>
          <w:color w:val="auto"/>
        </w:rPr>
      </w:pPr>
    </w:p>
    <w:p>
      <w:pPr>
        <w:ind w:left="960" w:hanging="432"/>
        <w:spacing w:after="0"/>
        <w:tabs>
          <w:tab w:leader="none" w:pos="96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1% of the number of ordinary shares then outstanding; or</w:t>
      </w:r>
    </w:p>
    <w:p>
      <w:pPr>
        <w:spacing w:after="0" w:line="34" w:lineRule="exact"/>
        <w:rPr>
          <w:rFonts w:ascii="MS PGothic" w:cs="MS PGothic" w:eastAsia="MS PGothic" w:hAnsi="MS PGothic"/>
          <w:sz w:val="13"/>
          <w:szCs w:val="13"/>
          <w:color w:val="auto"/>
        </w:rPr>
      </w:pPr>
    </w:p>
    <w:p>
      <w:pPr>
        <w:ind w:left="960" w:right="40" w:hanging="432"/>
        <w:spacing w:after="0" w:line="243" w:lineRule="auto"/>
        <w:tabs>
          <w:tab w:leader="none" w:pos="96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ordinary shares on the NASDAQ Global Market during the four calendar weeks preceding the filing of a notice on Form 144 with respect to the sale.</w:t>
      </w:r>
    </w:p>
    <w:p>
      <w:pPr>
        <w:spacing w:after="0" w:line="144" w:lineRule="exact"/>
        <w:rPr>
          <w:sz w:val="20"/>
          <w:szCs w:val="20"/>
          <w:color w:val="auto"/>
        </w:rPr>
      </w:pPr>
    </w:p>
    <w:p>
      <w:pPr>
        <w:ind w:left="200" w:right="100"/>
        <w:spacing w:after="0" w:line="243" w:lineRule="auto"/>
        <w:rPr>
          <w:sz w:val="20"/>
          <w:szCs w:val="20"/>
          <w:color w:val="auto"/>
        </w:rPr>
      </w:pPr>
      <w:r>
        <w:rPr>
          <w:rFonts w:ascii="Arial" w:cs="Arial" w:eastAsia="Arial" w:hAnsi="Arial"/>
          <w:sz w:val="17"/>
          <w:szCs w:val="17"/>
          <w:color w:val="auto"/>
        </w:rPr>
        <w:t>The six month holding period of Rule 144 does not apply to sales of unrestricted securities. Accordingly, persons who hold unrestricted securities may sell them under the requirements of Rule 144 described above without regard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to the six-month holding period, even if they were considered our affiliates at the time of the sale or at any time during the ninety days preceding such date.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Shares Held by Non-Affiliates for One Year</w:t>
      </w:r>
    </w:p>
    <w:p>
      <w:pPr>
        <w:spacing w:after="0" w:line="41" w:lineRule="exact"/>
        <w:rPr>
          <w:sz w:val="20"/>
          <w:szCs w:val="20"/>
          <w:color w:val="auto"/>
        </w:rPr>
      </w:pPr>
    </w:p>
    <w:p>
      <w:pPr>
        <w:ind w:left="200" w:right="280"/>
        <w:spacing w:after="0" w:line="235" w:lineRule="auto"/>
        <w:rPr>
          <w:sz w:val="20"/>
          <w:szCs w:val="20"/>
          <w:color w:val="auto"/>
        </w:rPr>
      </w:pPr>
      <w:r>
        <w:rPr>
          <w:rFonts w:ascii="Arial" w:cs="Arial" w:eastAsia="Arial" w:hAnsi="Arial"/>
          <w:sz w:val="17"/>
          <w:szCs w:val="17"/>
          <w:color w:val="auto"/>
        </w:rPr>
        <w:t>Under Rule 144 as currently in effect, a person (or persons whose shares are aggregated) who is not considered to have been one of our affiliates at any time during the 90 days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this offering.</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In general, under Rule 701, any of our employees, directors, officers, consultants or advisors who received or purchased ordinary shares from us under our 2010 Israeli Share Option Plan or other written agreement before the closing of our initial public offering is entitled to resell these shares.</w:t>
      </w:r>
    </w:p>
    <w:p>
      <w:pPr>
        <w:spacing w:after="0" w:line="148" w:lineRule="exact"/>
        <w:rPr>
          <w:sz w:val="20"/>
          <w:szCs w:val="20"/>
          <w:color w:val="auto"/>
        </w:rPr>
      </w:pPr>
    </w:p>
    <w:p>
      <w:pPr>
        <w:ind w:left="200" w:right="340"/>
        <w:spacing w:after="0" w:line="23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in “Underwriting—Lock-up Agreements,” may be sold beginning 90 days after the closing of our initial public offering in reliance on Rule 144 by:</w:t>
      </w:r>
    </w:p>
    <w:p>
      <w:pPr>
        <w:spacing w:after="0" w:line="190" w:lineRule="exact"/>
        <w:rPr>
          <w:sz w:val="20"/>
          <w:szCs w:val="20"/>
          <w:color w:val="auto"/>
        </w:rPr>
      </w:pPr>
    </w:p>
    <w:p>
      <w:pPr>
        <w:ind w:left="960" w:hanging="432"/>
        <w:spacing w:after="0"/>
        <w:tabs>
          <w:tab w:leader="none" w:pos="96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persons other than affiliates, without restriction; and</w:t>
      </w:r>
    </w:p>
    <w:p>
      <w:pPr>
        <w:spacing w:after="0" w:line="34" w:lineRule="exact"/>
        <w:rPr>
          <w:rFonts w:ascii="MS PGothic" w:cs="MS PGothic" w:eastAsia="MS PGothic" w:hAnsi="MS PGothic"/>
          <w:sz w:val="13"/>
          <w:szCs w:val="13"/>
          <w:color w:val="auto"/>
        </w:rPr>
      </w:pPr>
    </w:p>
    <w:p>
      <w:pPr>
        <w:ind w:left="960" w:hanging="432"/>
        <w:spacing w:after="0" w:line="243" w:lineRule="auto"/>
        <w:tabs>
          <w:tab w:leader="none" w:pos="96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 and RSUs</w:t>
      </w:r>
    </w:p>
    <w:p>
      <w:pPr>
        <w:spacing w:after="0" w:line="80" w:lineRule="exact"/>
        <w:rPr>
          <w:sz w:val="20"/>
          <w:szCs w:val="20"/>
          <w:color w:val="auto"/>
        </w:rPr>
      </w:pPr>
    </w:p>
    <w:p>
      <w:pPr>
        <w:ind w:left="200" w:right="180"/>
        <w:spacing w:after="0" w:line="238" w:lineRule="auto"/>
        <w:rPr>
          <w:sz w:val="20"/>
          <w:szCs w:val="20"/>
          <w:color w:val="auto"/>
        </w:rPr>
      </w:pPr>
      <w:r>
        <w:rPr>
          <w:rFonts w:ascii="Arial" w:cs="Arial" w:eastAsia="Arial" w:hAnsi="Arial"/>
          <w:sz w:val="17"/>
          <w:szCs w:val="17"/>
          <w:color w:val="auto"/>
        </w:rPr>
        <w:t>As of December 31, 2017, restricted share units and options to purchase a total of 2,560,091 ordinary shares were issued and outstanding. Substantially all of our ordinary shares issuable under these options or restricted share units are subject to contractual lock-up agreements with us or the underwriters.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w:t>
      </w:r>
    </w:p>
    <w:p>
      <w:pPr>
        <w:spacing w:after="0" w:line="80"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We have filed a registration statement on Form S-8 under the Securities Act to register up to 1,400,000 ordinary shares, in the aggregate, issued or reserved for issuance under the 2017 Equity Incentive Plan.</w:t>
      </w:r>
    </w:p>
    <w:p>
      <w:pPr>
        <w:spacing w:after="0" w:line="144"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We have filed a registration statement on Form S-8 under the Securities Act to register up to 2,486,858 ordinary shares, in the aggregate, issued or reserved for issuance under the 2010 Israeli Share Option Plan.</w:t>
      </w:r>
    </w:p>
    <w:p>
      <w:pPr>
        <w:spacing w:after="0" w:line="144"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Ordinary shares issued upon exercise of a share option and registered pursuant to the Form S-8 registration statement are, subject to vesting provisions and Rule 144 volume limitations applicable to our affiliates, available for sale in the open market immediately unless they are subject to a lock-up period or, if subject to the lock-up, immediately after the lock-up period expires. See “Management—Equity Incentive Plans—2017 Equity Incentive Plan” and “Management—Equity Incentive Plans—2010 Israeli Share Option Plan.”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jc w:val="both"/>
        <w:ind w:left="200" w:right="380"/>
        <w:spacing w:after="0" w:line="236" w:lineRule="auto"/>
        <w:rPr>
          <w:sz w:val="20"/>
          <w:szCs w:val="20"/>
          <w:color w:val="auto"/>
        </w:rPr>
      </w:pPr>
      <w:r>
        <w:rPr>
          <w:rFonts w:ascii="Arial" w:cs="Arial" w:eastAsia="Arial" w:hAnsi="Arial"/>
          <w:sz w:val="17"/>
          <w:szCs w:val="17"/>
          <w:color w:val="auto"/>
        </w:rPr>
        <w:t>Holders of a total of 4,515,674 ordinary shares have the right to require us to register these shares under the Securities Act under specified circumstances and will have incidental registration rights. After registration pursuant to these rights, these shares will become freely tradable without restriction under the Securities Act. For more information on these registration rights, see “Description of Share Capital—Registration Rights.”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TAXATION</w:t>
      </w:r>
    </w:p>
    <w:p>
      <w:pPr>
        <w:spacing w:after="0" w:line="318" w:lineRule="exact"/>
        <w:rPr>
          <w:sz w:val="20"/>
          <w:szCs w:val="20"/>
          <w:color w:val="auto"/>
        </w:rPr>
      </w:pPr>
    </w:p>
    <w:p>
      <w:pPr>
        <w:ind w:left="200" w:right="40"/>
        <w:spacing w:after="0" w:line="248" w:lineRule="auto"/>
        <w:rPr>
          <w:sz w:val="20"/>
          <w:szCs w:val="20"/>
          <w:color w:val="auto"/>
        </w:rPr>
      </w:pPr>
      <w:r>
        <w:rPr>
          <w:rFonts w:ascii="Arial" w:cs="Arial" w:eastAsia="Arial" w:hAnsi="Arial"/>
          <w:sz w:val="17"/>
          <w:szCs w:val="17"/>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in your particular situation, as well as any tax consequences that may arise under the laws of any state, local, foreign or other taxing jurisdiction.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93"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This summary does not discuss certain tax benefits, including under the Law for Encouragement of Capital Investments, 5719-1959, to which we may become eligible in the future if we establish a manufacturing facility for our products in Israel. This summary also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the appropriate tax authorities or the courts may not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General Corporate Tax Structure in Israel</w:t>
      </w:r>
    </w:p>
    <w:p>
      <w:pPr>
        <w:spacing w:after="0" w:line="54"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As of 2018, Israeli companies are generally subject to corporate tax at the rate of 23% of a company’s taxable income (reduced from 24% in 2017). In addition, capital gains realized by Israeli companies are subject to tax at the regular corporate tax rate.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Taxation of our Shareholders</w:t>
      </w:r>
    </w:p>
    <w:p>
      <w:pPr>
        <w:spacing w:after="0" w:line="36"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As of 2018, capital gain is generally subject to tax at the corporate tax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23% (reduced from 24% in 2017) if generated by a company, or at the rate of 25% if generated by an individual, or 30% in the case of sale of shares by a substantial shareholder at the time of sale or at any time during the preceding 12-month period. A person is considered to be a substantial shareholder if it holds, directly or indirectly, alone or together with another affiliated party, 10% or more of a company’s means of control, which include, among other things, voting rights, the right to receive profits of the company, the right to receive proceeds upon liquidation and the right to appoint a director.</w:t>
      </w:r>
    </w:p>
    <w:p>
      <w:pPr>
        <w:spacing w:after="0" w:line="147"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Notwithstanding the foregoing, a non-Israeli resident who derives capital gains from the sale of our shares that were purchased after the shares were listed for trading on the NASDAQ is exempt from Israeli tax on such capital gains so long as they were not attributable to a permanent establishment that the non-resident maintains in Israel. In the case of a shareholder that is a corporation, in order for it to qualify as a non-Israeli resident for these purposes, it must be incorporated in, as well as managed and controlled from, a jurisdiction other than the State of Israel, and persons who are Israeli residents may not either: (i) have a controlling interest (directly or indirectly, alone or together with another, or together with another Israeli resident) exceeding 25% in one or more of the means of control in such corporation or (ii) be the beneficiaries of, or entitled to, 25% or more of the revenues or profits of such corporation, whether directly or indirectly. Such exemption is not applicable to a person whose gains from selling or otherwise disposing of the shares are deemed to be business income.</w:t>
      </w:r>
    </w:p>
    <w:p>
      <w:pPr>
        <w:spacing w:after="0" w:line="150" w:lineRule="exact"/>
        <w:rPr>
          <w:sz w:val="20"/>
          <w:szCs w:val="20"/>
          <w:color w:val="auto"/>
        </w:rPr>
      </w:pPr>
    </w:p>
    <w:p>
      <w:pPr>
        <w:ind w:left="200" w:right="400"/>
        <w:spacing w:after="0" w:line="243" w:lineRule="auto"/>
        <w:rPr>
          <w:sz w:val="20"/>
          <w:szCs w:val="20"/>
          <w:color w:val="auto"/>
        </w:rPr>
      </w:pPr>
      <w:r>
        <w:rPr>
          <w:rFonts w:ascii="Arial" w:cs="Arial" w:eastAsia="Arial" w:hAnsi="Arial"/>
          <w:sz w:val="17"/>
          <w:szCs w:val="17"/>
          <w:color w:val="auto"/>
        </w:rPr>
        <w:t>Additionally, a sale of shares by a non-Israeli resident may be exempt from Israeli capital gains tax under the provisions of an applicable tax treaty.</w:t>
      </w:r>
    </w:p>
    <w:p>
      <w:pPr>
        <w:spacing w:after="0" w:line="144"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Shareholders may be required to demonstrate that they are exempt from tax on their capital gains in order to avoid withholding at source at the time of sale. In transactions involving a sale of all of the shares of an Israeli resident company, such as a merger or other transaction, the Israel Tax Authority may, among other things, require from shareholders who are not liable for Israeli tax the execution of a declaration in the form specified by that authority or</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20"/>
          </w:cols>
          <w:pgMar w:left="240" w:top="460" w:right="5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a specific exemption from the Israeli Tax Authority to confirm their status as non-Israeli residents may be required to be presented, and, in the absence of such declaration or exemption, may require the purchaser of the shares to withhold taxes.</w:t>
      </w:r>
    </w:p>
    <w:p>
      <w:pPr>
        <w:spacing w:after="0" w:line="144"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w:t>
      </w:r>
    </w:p>
    <w:p>
      <w:pPr>
        <w:spacing w:after="0" w:line="132" w:lineRule="exact"/>
        <w:rPr>
          <w:sz w:val="20"/>
          <w:szCs w:val="20"/>
          <w:color w:val="auto"/>
        </w:rPr>
      </w:pPr>
    </w:p>
    <w:p>
      <w:pPr>
        <w:ind w:left="200" w:right="80"/>
        <w:spacing w:after="0"/>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 withholding tax on the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paid on our ordinary shares at the rate of 25%, unless relief is provided in a treaty between Israel and the shareholder’s country of residence (subject to the receipt of a valid certificate from the Israel Tax Authority, allowing for such reduced withholding tax rate). With respect to a person who is considered a substantial shareholder at the time of receiving the dividend or at any time during the preceding 12 months, subject to the terms of an applicable tax treaty, the applicable withholding tax rate is 30%.</w:t>
      </w:r>
    </w:p>
    <w:p>
      <w:pPr>
        <w:spacing w:after="0" w:line="148"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Under the Convention between the Government of the United States of America and the Government of the State of Israel with respect to Taxes on Income, or the U.S.-Israel Tax Treaty, the maximum rate of tax withheld at source in Israel on dividends paid to a holder of our ordinary shares who is a U.S. resident (for the purposes of the U.S.-Israel Tax Treaty) is 25%. However, with regard to dividends paid to a U.S. resident corporation which held 10% or more of our outstanding voting rights throughout the taxable year in which the dividend was distributed and which maintained its shareholdings at or above such threshold during the entire previous taxable year, the maximum rate of withholding tax is generally 12.5%, provided that no more than 25% of our gross income for such preceding year consists of certain types of dividends and interest.</w:t>
      </w:r>
    </w:p>
    <w:p>
      <w:pPr>
        <w:spacing w:after="0" w:line="148" w:lineRule="exact"/>
        <w:rPr>
          <w:sz w:val="20"/>
          <w:szCs w:val="20"/>
          <w:color w:val="auto"/>
        </w:rPr>
      </w:pPr>
    </w:p>
    <w:p>
      <w:pPr>
        <w:ind w:left="200" w:right="700"/>
        <w:spacing w:after="0" w:line="243" w:lineRule="auto"/>
        <w:rPr>
          <w:sz w:val="20"/>
          <w:szCs w:val="20"/>
          <w:color w:val="auto"/>
        </w:rPr>
      </w:pPr>
      <w:r>
        <w:rPr>
          <w:rFonts w:ascii="Arial" w:cs="Arial" w:eastAsia="Arial" w:hAnsi="Arial"/>
          <w:sz w:val="17"/>
          <w:szCs w:val="17"/>
          <w:color w:val="auto"/>
        </w:rPr>
        <w:t>U.S. residents who are subject to Israeli withholding tax on a dividend may be entitled to a credit or deduction for U.S. federal income tax purposes in the amount of the taxes withheld, subject to detailed limitations under U.S. laws applicable to foreign tax credits.</w:t>
      </w:r>
    </w:p>
    <w:p>
      <w:pPr>
        <w:spacing w:after="0" w:line="126" w:lineRule="exact"/>
        <w:rPr>
          <w:sz w:val="20"/>
          <w:szCs w:val="20"/>
          <w:color w:val="auto"/>
        </w:rPr>
      </w:pPr>
    </w:p>
    <w:p>
      <w:pPr>
        <w:ind w:left="200" w:right="180"/>
        <w:spacing w:after="0" w:line="248" w:lineRule="auto"/>
        <w:rPr>
          <w:sz w:val="20"/>
          <w:szCs w:val="20"/>
          <w:color w:val="auto"/>
        </w:rPr>
      </w:pPr>
      <w:r>
        <w:rPr>
          <w:rFonts w:ascii="Arial" w:cs="Arial" w:eastAsia="Arial" w:hAnsi="Arial"/>
          <w:sz w:val="17"/>
          <w:szCs w:val="17"/>
          <w:i w:val="1"/>
          <w:iCs w:val="1"/>
          <w:color w:val="auto"/>
        </w:rPr>
        <w:t xml:space="preserve">Excess Tax. </w:t>
      </w:r>
      <w:r>
        <w:rPr>
          <w:rFonts w:ascii="Arial" w:cs="Arial" w:eastAsia="Arial" w:hAnsi="Arial"/>
          <w:sz w:val="17"/>
          <w:szCs w:val="17"/>
          <w:color w:val="auto"/>
        </w:rPr>
        <w:t>Individuals who are subject to tax in Israel, whether an Israeli resident or a non-Israeli resident, are also subject to an additional tax</w:t>
      </w:r>
      <w:r>
        <w:rPr>
          <w:rFonts w:ascii="Arial" w:cs="Arial" w:eastAsia="Arial" w:hAnsi="Arial"/>
          <w:sz w:val="17"/>
          <w:szCs w:val="17"/>
          <w:i w:val="1"/>
          <w:iCs w:val="1"/>
          <w:color w:val="auto"/>
        </w:rPr>
        <w:t xml:space="preserve"> </w:t>
      </w:r>
      <w:r>
        <w:rPr>
          <w:rFonts w:ascii="Arial" w:cs="Arial" w:eastAsia="Arial" w:hAnsi="Arial"/>
          <w:sz w:val="17"/>
          <w:szCs w:val="17"/>
          <w:color w:val="auto"/>
        </w:rPr>
        <w:t>on annual income exceeding NIS 640,000 in 2017 and thereafter (linked to the Israeli consumer price index) at a rate of 3%, including, but not limited to, dividends, interest and capital gain, subject to the provisions of an applicable tax treaty.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93"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following discussion describes the material U.S. federal income tax consequences to U.S. Holders (as defined below) under present law of an investment in our ordinary shares. The effects of any applicable state or local laws, or other U.S. federal tax laws such as estate and gift tax laws are not discussed. This summary applies only to investors who hold the ordinary shares as capital assets (generally, property held for investment) and who have the U.S. dollar as their functional currency. This discussion is based on the Internal Revenue Code of 1986, as amended, or the Code, U.S. Treasury regulations promulgated thereunder, judicial decisions, published rulings and administrative pronouncements of the U.S. Internal Revenue Service, or the IRS, and the U.S.-Israel Tax Treaty, all as in effect as of the date of this offering. All of the foregoing authorities are subject to change, which change could apply retroactively and could affect the tax consequences described below.</w:t>
      </w:r>
    </w:p>
    <w:p>
      <w:pPr>
        <w:spacing w:after="0" w:line="151"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The following discussion does not address all U.S. federal income tax consequences relevant to a holder’s particular circumstances or to holders subject to particular rules, including:</w:t>
      </w:r>
    </w:p>
    <w:p>
      <w:pPr>
        <w:spacing w:after="0" w:line="185" w:lineRule="exact"/>
        <w:rPr>
          <w:sz w:val="20"/>
          <w:szCs w:val="20"/>
          <w:color w:val="auto"/>
        </w:rPr>
      </w:pPr>
    </w:p>
    <w:p>
      <w:pPr>
        <w:ind w:left="960" w:hanging="432"/>
        <w:spacing w:after="0"/>
        <w:tabs>
          <w:tab w:leader="none" w:pos="96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U.S. expatriates and certain former citizens or long-term residents of the United States;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60" w:right="180" w:hanging="432"/>
        <w:spacing w:after="0" w:line="243" w:lineRule="auto"/>
        <w:tabs>
          <w:tab w:leader="none" w:pos="96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persons holding our ordinary shares as part of a hedge, straddle or other risk reduction strategy or as part of a conversion transaction or other integrated investment for U.S. federal income tax purposes;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banks, insurance companies, and other financial institutions;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real estate investment trusts and regulated investment companies;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brokers, dealers, and traders in securities, commodities or currencies;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partnerships, S corporations, and other entities or arrangements treated as partnerships for U.S. federal income tax purposes;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tax-exempt organizations and governmental organizations;</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persons who acquired our ordinary shares pursuant to the exercise of any employee share option or otherwise as compensation;</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persons that own, directly, indirectly or constructively 10% or more of our stock;</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persons that hold their shares through a permanent establishment or fixed base outside the United States;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persons deemed to sell our ordinary shares under the constructive sale provisions of the Code.</w:t>
      </w:r>
    </w:p>
    <w:p>
      <w:pPr>
        <w:spacing w:after="0" w:line="136" w:lineRule="exact"/>
        <w:rPr>
          <w:sz w:val="20"/>
          <w:szCs w:val="20"/>
          <w:color w:val="auto"/>
        </w:rPr>
      </w:pPr>
    </w:p>
    <w:p>
      <w:pPr>
        <w:jc w:val="both"/>
        <w:ind w:left="200" w:right="100"/>
        <w:spacing w:after="0" w:line="250" w:lineRule="auto"/>
        <w:rPr>
          <w:sz w:val="20"/>
          <w:szCs w:val="20"/>
          <w:color w:val="auto"/>
        </w:rPr>
      </w:pPr>
      <w:r>
        <w:rPr>
          <w:rFonts w:ascii="Arial" w:cs="Arial" w:eastAsia="Arial" w:hAnsi="Arial"/>
          <w:sz w:val="17"/>
          <w:szCs w:val="17"/>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ORDINARY SHARES.</w:t>
      </w:r>
    </w:p>
    <w:p>
      <w:pPr>
        <w:spacing w:after="0" w:line="138" w:lineRule="exact"/>
        <w:rPr>
          <w:sz w:val="20"/>
          <w:szCs w:val="20"/>
          <w:color w:val="auto"/>
        </w:rPr>
      </w:pPr>
    </w:p>
    <w:p>
      <w:pPr>
        <w:ind w:left="200" w:right="320"/>
        <w:spacing w:after="0" w:line="243" w:lineRule="auto"/>
        <w:rPr>
          <w:sz w:val="20"/>
          <w:szCs w:val="20"/>
          <w:color w:val="auto"/>
        </w:rPr>
      </w:pPr>
      <w:r>
        <w:rPr>
          <w:rFonts w:ascii="Arial" w:cs="Arial" w:eastAsia="Arial" w:hAnsi="Arial"/>
          <w:sz w:val="17"/>
          <w:szCs w:val="17"/>
          <w:color w:val="auto"/>
        </w:rPr>
        <w:t>For purposes of this discussion, a “U.S. Holder” is a beneficial owner of our ordinary shares that, for U.S. federal income tax purposes, is or is treated as any of the following:</w:t>
      </w:r>
    </w:p>
    <w:p>
      <w:pPr>
        <w:spacing w:after="0" w:line="185" w:lineRule="exact"/>
        <w:rPr>
          <w:sz w:val="20"/>
          <w:szCs w:val="20"/>
          <w:color w:val="auto"/>
        </w:rPr>
      </w:pPr>
    </w:p>
    <w:p>
      <w:pPr>
        <w:ind w:left="960" w:hanging="432"/>
        <w:spacing w:after="0"/>
        <w:tabs>
          <w:tab w:leader="none" w:pos="96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60" w:right="40" w:hanging="432"/>
        <w:spacing w:after="0" w:line="243" w:lineRule="auto"/>
        <w:tabs>
          <w:tab w:leader="none" w:pos="96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 corporation, or entity treated as a corporation for U.S. federal income tax purposes, created or organized under the laws of the United States, any state thereof, or the District of Columbia;</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an estate, the income of which is subject to U.S. federal income tax regardless of its source; or</w:t>
      </w:r>
    </w:p>
    <w:p>
      <w:pPr>
        <w:spacing w:after="0" w:line="34" w:lineRule="exact"/>
        <w:rPr>
          <w:rFonts w:ascii="MS PGothic" w:cs="MS PGothic" w:eastAsia="MS PGothic" w:hAnsi="MS PGothic"/>
          <w:sz w:val="13"/>
          <w:szCs w:val="13"/>
          <w:color w:val="auto"/>
        </w:rPr>
      </w:pPr>
    </w:p>
    <w:p>
      <w:pPr>
        <w:jc w:val="both"/>
        <w:ind w:left="960" w:hanging="432"/>
        <w:spacing w:after="0" w:line="238" w:lineRule="auto"/>
        <w:tabs>
          <w:tab w:leader="none" w:pos="96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 trust that (1) is subject to the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48"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If you are a partner in a partnership (or other entity taxable as a partnership for U.S. federal income tax purposes) that holds our ordinary shares, your tax treatment generally will depend on your status and the activities of the partnership. Partnerships holding our ordinary shares and the partners in such partnerships should consult their tax advisors regarding the U.S. federal income tax consequences applicable to them.</w:t>
      </w:r>
    </w:p>
    <w:p>
      <w:pPr>
        <w:spacing w:after="0" w:line="148" w:lineRule="exact"/>
        <w:rPr>
          <w:sz w:val="20"/>
          <w:szCs w:val="20"/>
          <w:color w:val="auto"/>
        </w:rPr>
      </w:pPr>
    </w:p>
    <w:p>
      <w:pPr>
        <w:ind w:left="200" w:right="720"/>
        <w:spacing w:after="0" w:line="243" w:lineRule="auto"/>
        <w:rPr>
          <w:sz w:val="20"/>
          <w:szCs w:val="20"/>
          <w:color w:val="auto"/>
        </w:rPr>
      </w:pPr>
      <w:r>
        <w:rPr>
          <w:rFonts w:ascii="Arial" w:cs="Arial" w:eastAsia="Arial" w:hAnsi="Arial"/>
          <w:sz w:val="17"/>
          <w:szCs w:val="17"/>
          <w:color w:val="auto"/>
        </w:rPr>
        <w:t>As indicated below, this entire discussion is subject to the discussion of the U.S. federal income tax rules applicable to a “passive foreign investment company,” or a PFIC.</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Passive Foreign Investment Company Considerations</w:t>
      </w:r>
    </w:p>
    <w:p>
      <w:pPr>
        <w:spacing w:after="0" w:line="41" w:lineRule="exact"/>
        <w:rPr>
          <w:sz w:val="20"/>
          <w:szCs w:val="20"/>
          <w:color w:val="auto"/>
        </w:rPr>
      </w:pPr>
    </w:p>
    <w:p>
      <w:pPr>
        <w:ind w:left="200" w:right="60"/>
        <w:spacing w:after="0" w:line="232" w:lineRule="auto"/>
        <w:rPr>
          <w:sz w:val="20"/>
          <w:szCs w:val="20"/>
          <w:color w:val="auto"/>
        </w:rPr>
      </w:pPr>
      <w:r>
        <w:rPr>
          <w:rFonts w:ascii="Arial" w:cs="Arial" w:eastAsia="Arial" w:hAnsi="Arial"/>
          <w:sz w:val="17"/>
          <w:szCs w:val="17"/>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ind w:left="200"/>
        <w:spacing w:after="0" w:line="235" w:lineRule="auto"/>
        <w:rPr>
          <w:sz w:val="20"/>
          <w:szCs w:val="20"/>
          <w:color w:val="auto"/>
        </w:rPr>
      </w:pPr>
      <w:r>
        <w:rPr>
          <w:rFonts w:ascii="Arial" w:cs="Arial" w:eastAsia="Arial" w:hAnsi="Arial"/>
          <w:sz w:val="17"/>
          <w:szCs w:val="17"/>
          <w:color w:val="auto"/>
        </w:rPr>
        <w:t>We must determine our PFIC status annually based on tests (described below) which are factual in nature, and our status will depend on our income, assets and activities each year. In addition, our status as a PFIC may depend on how quickly we use the cash proceeds from this offering in our business. We do not believe that we were classified as a PFIC for the taxable year ended December 31, 2017. However, based upon the expected nature and composition of our income and assets, we presently anticipate that we will be classified as a PFIC for the taxable year ending December 31, 2018. We cannot provide any assurances regarding our PFIC status for the current or future taxable years, and our U.S. tax counsel has not provided any opinion regarding our PFIC status.</w:t>
      </w:r>
    </w:p>
    <w:p>
      <w:pPr>
        <w:spacing w:after="0" w:line="148"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A non-U.S. corporation is classified as a PFIC for U.S. federal income tax purposes in any taxable year in which, after applying certain look-through rules with respect to the income and assets of subsidiaries, either (i) at least 75% of its gross income is “passive income” or (ii) at least 50% of the average quarterly value of its total gross assets (which, assuming we are not a CFC for the year being tested, would be measured by fair market value of the assets, and for which purpose the total value of our assets may be determined in part by the market value of our ordinary</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which is subject to change) is attributable to assets that produce “passive income” or are held for the production of passive income.</w:t>
      </w:r>
    </w:p>
    <w:p>
      <w:pPr>
        <w:spacing w:after="0" w:line="156"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 xml:space="preserve">Passive income for this purpose generally includes dividends, interest, royalties, rents, gains from commodities and securities transactions, the excess of gains over losses from the disposition of assets which produce passive income, and generally includes amounts derived by reason of the temporary investment of funds raised in offerings of our ordinary shares. However, rents and royalties received from unrelated parties in connection with the active conduct of a trade or business are not considered passive income for purposes of the PFIC test.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 unless the holder makes a so-called “purging election” with respect to our ordinary shares. </w:t>
      </w:r>
      <w:r>
        <w:rPr>
          <w:rFonts w:ascii="Arial" w:cs="Arial" w:eastAsia="Arial" w:hAnsi="Arial"/>
          <w:sz w:val="17"/>
          <w:szCs w:val="17"/>
          <w:b w:val="1"/>
          <w:bCs w:val="1"/>
          <w:color w:val="auto"/>
        </w:rPr>
        <w:t>U.S. Holders should consult with their tax advisors regarding the availability and consequences of any PFIC purging</w:t>
      </w:r>
      <w:r>
        <w:rPr>
          <w:rFonts w:ascii="Arial" w:cs="Arial" w:eastAsia="Arial" w:hAnsi="Arial"/>
          <w:sz w:val="17"/>
          <w:szCs w:val="17"/>
          <w:color w:val="auto"/>
        </w:rPr>
        <w:t xml:space="preserve"> </w:t>
      </w:r>
      <w:r>
        <w:rPr>
          <w:rFonts w:ascii="Arial" w:cs="Arial" w:eastAsia="Arial" w:hAnsi="Arial"/>
          <w:sz w:val="17"/>
          <w:szCs w:val="17"/>
          <w:b w:val="1"/>
          <w:bCs w:val="1"/>
          <w:color w:val="auto"/>
        </w:rPr>
        <w:t>elections.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we are a PFIC, and you are a U.S. Holder, then unless you make one of the elections described below, a special tax regime will apply to both</w:t>
      </w:r>
    </w:p>
    <w:p>
      <w:pPr>
        <w:ind w:left="200" w:firstLine="4"/>
        <w:spacing w:after="0" w:line="234" w:lineRule="auto"/>
        <w:tabs>
          <w:tab w:leader="none" w:pos="456"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“excess distribution” by us to you (generally, your ratable portion of aggregate distributions in any year which are greater than 125% of the average annual distribution received by you in the shorter of the three preceding years or your holding period for our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under “Taxation of Dividends and Other Distributions on our Ordinary Shares.”</w:t>
      </w:r>
    </w:p>
    <w:p>
      <w:pPr>
        <w:spacing w:after="0" w:line="147"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 xml:space="preserve">Certain elections exist that may alleviate some of the adverse consequences of PFIC status and would result in an alternative treatment (such as mark-to-market treatment) of our ordinary shares. If a U.S. Holder makes the mark-to-market election, then in lieu of being subject to the tax and interest change rules disclosed above,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 Our ordinary shares will be treated as “regularly traded” in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ordinary shares are traded on a qualified exchange on at least 15 days during each calendar quarter (subject to the rule that trades that have as one of their principle purposes the meeting of the trading requirement are disregarded). The NASDAQ Global Market is a qualified exchange for this purpose and, consequently, if the ordinary shares are regularly traded, the mark-to-market election will be available to a U.S. Holder.</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both"/>
        <w:ind w:left="200" w:right="220"/>
        <w:spacing w:after="0" w:line="250" w:lineRule="auto"/>
        <w:rPr>
          <w:sz w:val="20"/>
          <w:szCs w:val="20"/>
          <w:color w:val="auto"/>
        </w:rPr>
      </w:pPr>
      <w:r>
        <w:rPr>
          <w:rFonts w:ascii="Arial" w:cs="Arial" w:eastAsia="Arial" w:hAnsi="Arial"/>
          <w:sz w:val="17"/>
          <w:szCs w:val="17"/>
          <w:b w:val="1"/>
          <w:bCs w:val="1"/>
          <w:i w:val="1"/>
          <w:iCs w:val="1"/>
          <w:color w:val="auto"/>
        </w:rPr>
        <w:t>We do not currently intend to provide the information necessary for U.S. Holders to make QEF elections. U.S. Holders should consult their tax advisors to determine whether any of these elections would be available and if so, what the consequences of the alternative treatments would be in their particular circumstances.</w:t>
      </w:r>
    </w:p>
    <w:p>
      <w:pPr>
        <w:spacing w:after="0" w:line="138"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If we are determined to be a PFIC, the general tax treatment for U.S. Holders described in this section will apply to indirect distributions and gains deemed to be realized by U.S. Holders in respect of any of our subsidiaries that also may be determined to be PFICs. A mark-to-market election cannot be made with respect to the stock of any of our subsidiaries.</w:t>
      </w:r>
    </w:p>
    <w:p>
      <w:pPr>
        <w:spacing w:after="0" w:line="148"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Each U.S. Holder that is an investor of a PFIC is generally required to file an annual information return on IRS Form 8621 (Information Return by a Shareholder of a Passive Foreign Investment Company or Qualified Electing Fund) containing such information as the U.S. Treasury Department may require. The failure to file IRS Form 8621 could result in the imposition of penalties and the extension of the statute of limitations with respect to U.S. federal income tax. U.S. Holders should consult their tax advisors regarding whether we are a PFIC and the potential application of the PFIC rules.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Taxation of Dividends and Other Distributions on our Ordinary Shares</w:t>
      </w:r>
    </w:p>
    <w:p>
      <w:pPr>
        <w:spacing w:after="0" w:line="41"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Subject to the discussion under “—Passive Foreign Investment Company Considerations,” above, the gross amount of any distribution to you with respect to our ordinary shares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our ordinary shares, and to the extent the amount of the distribution exceeds your tax basis, the excess will be taxed as capital gain. We do not intend to calculate our earnings and profits under U.S. federal income tax principles. Therefore, a U.S. Holder should expect that the entire amount of any distribution will generally be reported as dividend income. Any dividends will not be eligible for the dividends-received deduction allowed to corporations in respect of dividends received from other U.S. corporations.</w:t>
      </w:r>
    </w:p>
    <w:p>
      <w:pPr>
        <w:spacing w:after="0" w:line="150" w:lineRule="exact"/>
        <w:rPr>
          <w:sz w:val="20"/>
          <w:szCs w:val="20"/>
          <w:color w:val="auto"/>
        </w:rPr>
      </w:pPr>
    </w:p>
    <w:p>
      <w:pPr>
        <w:ind w:left="200" w:right="20"/>
        <w:spacing w:after="0" w:line="233" w:lineRule="auto"/>
        <w:rPr>
          <w:sz w:val="20"/>
          <w:szCs w:val="20"/>
          <w:color w:val="auto"/>
        </w:rPr>
      </w:pPr>
      <w:r>
        <w:rPr>
          <w:rFonts w:ascii="Arial" w:cs="Arial" w:eastAsia="Arial" w:hAnsi="Arial"/>
          <w:sz w:val="17"/>
          <w:szCs w:val="17"/>
          <w:color w:val="auto"/>
        </w:rPr>
        <w:t>If we are not a PFIC for a given year in which a dividend is paid and the taxable year preceding the dividend, non-corporate U.S. Holders may qualify for the preferential rates of taxation with respect to dividends on ordinary shares applicable to long-term capital gains (i.e., gains from the sale of capital assets held for more than one year) applicable to qualified dividend income (as discussed below). We believe that we qualify as a resident of Israel for purposes of, and are eligible for the benefits of, the U.S.-Israel Tax Treaty, although there can be no assurance in this regard. Further, the IRS has determined that the U.S.-Israel Tax Treaty is satisfactory for purposes of the qualified dividend rules and that it includes an exchange-of-information program. Therefore, subject to the discussion under “—Passive Foreign Investment Company Considerations” above, if the U.S.-Israel Tax Treaty is applicable, such dividends will generally be “qualified dividend income” in the hands of individual U.S. Holders, provided that certain conditions are met, including holding period and the absence of certain risk reduction transaction requirements. The dividends will not be eligible for the dividends received deduction generally allowed to corporate U.S. Holders. As discussed in “Taxation—Israeli Tax Considerations and Government Programs,” payments of dividends by us may be subject to Israeli withholding tax. For U.S. federal income tax purposes, U.S. Holders will be treated as having received the amount of Israeli taxes withheld by us, and as then having paid over the withheld taxes to the Israeli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 Dividends will generally constitute foreign source income for foreign tax credit limitation purposes. Any tax withheld with respect to distributions on our ordinary shares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our ordinary shares generally will constitute “passive category income” or “general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Taxation of Disposition of the Ordinary Shares</w:t>
      </w:r>
    </w:p>
    <w:p>
      <w:pPr>
        <w:spacing w:after="0" w:line="54"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auto"/>
        </w:rPr>
        <w:t>Subject to the discussion above under “—Passive Foreign Investment Company Considerations,” you will recognize gain or loss on any sale, exchange or other taxable disposition of an ordinary share equal to the difference between the amount realized on the disposition of the ordinary share and your adjusted tax basis in the ordinary share. The tax basis in an ordinary share generally will be the cost of such ordinary share. Any such gain or loss will be capital gain or loss, and will be long-term capital gain or loss if you have held the ordinary share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Additional Medicare Tax</w:t>
      </w:r>
    </w:p>
    <w:p>
      <w:pPr>
        <w:spacing w:after="0" w:line="54"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54" w:lineRule="exact"/>
        <w:rPr>
          <w:sz w:val="20"/>
          <w:szCs w:val="20"/>
          <w:color w:val="auto"/>
        </w:rPr>
      </w:pPr>
    </w:p>
    <w:p>
      <w:pPr>
        <w:ind w:left="200" w:right="80"/>
        <w:spacing w:after="0" w:line="235"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will generally apply to payments of dividends on, and to proceeds from the sale or redemption of, our ordinary shares made within the United States, or by a U.S. payer or U.S. middleman, to a holder of our shares, other than an exempt recipient (including a payee that is not a U.S. person that provides an appropriate certification and certain other persons). Certain U.S. Holders are exempt from backup withholding, including corporations and certain tax-exempt organizations. A U.S. Holder will be subject to backup withholding if such holder is not otherwise exempt and such holder:</w:t>
      </w:r>
    </w:p>
    <w:p>
      <w:pPr>
        <w:spacing w:after="0" w:line="189" w:lineRule="exact"/>
        <w:rPr>
          <w:sz w:val="20"/>
          <w:szCs w:val="20"/>
          <w:color w:val="auto"/>
        </w:rPr>
      </w:pPr>
    </w:p>
    <w:p>
      <w:pPr>
        <w:ind w:left="960" w:hanging="432"/>
        <w:spacing w:after="0"/>
        <w:tabs>
          <w:tab w:leader="none" w:pos="96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fails to furnish the holder’s taxpayer identification number, which for an individual is ordinarily his or her social security number;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furnishes an incorrect taxpayer identification number;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is notified by the IRS that the holder previously failed to properly report payments of interest or dividends; or</w:t>
      </w:r>
    </w:p>
    <w:p>
      <w:pPr>
        <w:spacing w:after="0" w:line="34" w:lineRule="exact"/>
        <w:rPr>
          <w:rFonts w:ascii="MS PGothic" w:cs="MS PGothic" w:eastAsia="MS PGothic" w:hAnsi="MS PGothic"/>
          <w:sz w:val="13"/>
          <w:szCs w:val="13"/>
          <w:color w:val="auto"/>
        </w:rPr>
      </w:pPr>
    </w:p>
    <w:p>
      <w:pPr>
        <w:ind w:left="960" w:right="140" w:hanging="432"/>
        <w:spacing w:after="0" w:line="243" w:lineRule="auto"/>
        <w:tabs>
          <w:tab w:leader="none" w:pos="96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fails to certify under penalties of perjury that the holder has furnished a correct taxpayer identification number and that the IRS has not notified the holder that the holder is subject to backup withholding.</w:t>
      </w:r>
    </w:p>
    <w:p>
      <w:pPr>
        <w:spacing w:after="0" w:line="144" w:lineRule="exact"/>
        <w:rPr>
          <w:sz w:val="20"/>
          <w:szCs w:val="20"/>
          <w:color w:val="auto"/>
        </w:rPr>
      </w:pPr>
    </w:p>
    <w:p>
      <w:pPr>
        <w:ind w:left="200" w:right="300"/>
        <w:spacing w:after="0" w:line="23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Additional Reporting Requirements</w:t>
      </w:r>
    </w:p>
    <w:p>
      <w:pPr>
        <w:spacing w:after="0" w:line="54" w:lineRule="exact"/>
        <w:rPr>
          <w:sz w:val="20"/>
          <w:szCs w:val="20"/>
          <w:color w:val="auto"/>
        </w:rPr>
      </w:pPr>
    </w:p>
    <w:p>
      <w:pPr>
        <w:ind w:left="200" w:right="160"/>
        <w:spacing w:after="0" w:line="236" w:lineRule="auto"/>
        <w:rPr>
          <w:sz w:val="20"/>
          <w:szCs w:val="20"/>
          <w:color w:val="auto"/>
        </w:rPr>
      </w:pPr>
      <w:r>
        <w:rPr>
          <w:rFonts w:ascii="Arial" w:cs="Arial" w:eastAsia="Arial" w:hAnsi="Arial"/>
          <w:sz w:val="17"/>
          <w:szCs w:val="17"/>
          <w:color w:val="auto"/>
        </w:rPr>
        <w:t>Certain U.S. Holders who are individuals (and under proposed regulations, certain entities) are required to report information relating to an interest in our ordinary shares, subject to certain exceptions (including an exception for ordinary shares held in accounts maintained by financial institutions) by filing IRS Form 8938 (Statement of Specified Foreign Financial Assets) with their federal income tax return. U.S. Holders should consult their tax advisors regarding the possible implications of these tax return disclosure obligations.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Subject to the terms and conditions set forth in the underwriting agreement, dated , 2018, Jefferies LLC, 520 Madison Avenue, New York, New York 10022, and Cowen and Company, LLC, 599 Lexington Ave, 27</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are serving as the representatives of the underwriters named below and the joint book-running managers for this offering. Pursuant to such agreement,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133985</wp:posOffset>
            </wp:positionV>
            <wp:extent cx="6997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62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5960" w:type="dxa"/>
            <w:vAlign w:val="bottom"/>
            <w:gridSpan w:val="3"/>
            <w:vMerge w:val="continue"/>
          </w:tcPr>
          <w:p>
            <w:pPr>
              <w:spacing w:after="0"/>
              <w:rPr>
                <w:sz w:val="15"/>
                <w:szCs w:val="15"/>
                <w:color w:val="auto"/>
              </w:rPr>
            </w:pPr>
          </w:p>
        </w:tc>
        <w:tc>
          <w:tcPr>
            <w:tcW w:w="5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7"/>
                <w:szCs w:val="17"/>
                <w:color w:val="auto"/>
                <w:w w:val="97"/>
              </w:rPr>
              <w:t>Jefferies LLC</w:t>
            </w:r>
          </w:p>
        </w:tc>
        <w:tc>
          <w:tcPr>
            <w:tcW w:w="4940" w:type="dxa"/>
            <w:vAlign w:val="bottom"/>
            <w:tcBorders>
              <w:top w:val="single" w:sz="8" w:color="CCEEFF"/>
            </w:tcBorders>
            <w:shd w:val="clear" w:color="auto" w:fill="CCEEFF"/>
          </w:tcPr>
          <w:p>
            <w:pPr>
              <w:spacing w:after="0"/>
              <w:rPr>
                <w:sz w:val="14"/>
                <w:szCs w:val="14"/>
                <w:color w:val="auto"/>
              </w:rPr>
            </w:pPr>
          </w:p>
        </w:tc>
        <w:tc>
          <w:tcPr>
            <w:tcW w:w="36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Arial" w:cs="Arial" w:eastAsia="Arial" w:hAnsi="Arial"/>
                <w:sz w:val="17"/>
                <w:szCs w:val="17"/>
                <w:color w:val="auto"/>
              </w:rPr>
              <w:t>Cowen and Company, LLC</w:t>
            </w:r>
          </w:p>
        </w:tc>
        <w:tc>
          <w:tcPr>
            <w:tcW w:w="36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Oppenheimer &amp; Co. Inc.</w:t>
            </w:r>
          </w:p>
        </w:tc>
        <w:tc>
          <w:tcPr>
            <w:tcW w:w="36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spacing w:after="0" w:line="189" w:lineRule="exact"/>
              <w:rPr>
                <w:sz w:val="20"/>
                <w:szCs w:val="20"/>
                <w:color w:val="auto"/>
              </w:rPr>
            </w:pPr>
            <w:r>
              <w:rPr>
                <w:rFonts w:ascii="Arial" w:cs="Arial" w:eastAsia="Arial" w:hAnsi="Arial"/>
                <w:sz w:val="17"/>
                <w:szCs w:val="17"/>
                <w:color w:val="auto"/>
              </w:rPr>
              <w:t>National Securities Corporation</w:t>
            </w:r>
          </w:p>
        </w:tc>
        <w:tc>
          <w:tcPr>
            <w:tcW w:w="36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5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1,135,847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32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150" w:lineRule="exact"/>
        <w:rPr>
          <w:sz w:val="20"/>
          <w:szCs w:val="20"/>
          <w:color w:val="auto"/>
        </w:rPr>
      </w:pPr>
    </w:p>
    <w:p>
      <w:pPr>
        <w:ind w:left="200" w:right="680"/>
        <w:spacing w:after="0" w:line="238" w:lineRule="auto"/>
        <w:rPr>
          <w:sz w:val="20"/>
          <w:szCs w:val="20"/>
          <w:color w:val="auto"/>
        </w:rPr>
      </w:pPr>
      <w:r>
        <w:rPr>
          <w:rFonts w:ascii="Arial" w:cs="Arial" w:eastAsia="Arial" w:hAnsi="Arial"/>
          <w:sz w:val="17"/>
          <w:szCs w:val="17"/>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200" w:right="420"/>
        <w:spacing w:after="0" w:line="232" w:lineRule="auto"/>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 page of this prospectus and to certain dealers, which may include the underwriters, at that price less a concession not in excess of</w:t>
      </w:r>
    </w:p>
    <w:p>
      <w:pPr>
        <w:ind w:left="200" w:right="40"/>
        <w:spacing w:after="0"/>
        <w:rPr>
          <w:sz w:val="20"/>
          <w:szCs w:val="20"/>
          <w:color w:val="auto"/>
        </w:rPr>
      </w:pPr>
      <w:r>
        <w:rPr>
          <w:rFonts w:ascii="Arial" w:cs="Arial" w:eastAsia="Arial" w:hAnsi="Arial"/>
          <w:sz w:val="17"/>
          <w:szCs w:val="17"/>
          <w:color w:val="auto"/>
        </w:rPr>
        <w:t>$ per ordinary share. The underwriters may allow, and certain dealers may reallow, a discount from the concession not in excess of $ per ordinary share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32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PER ORDINARY SHARE</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5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5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5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50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5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80" w:type="dxa"/>
            <w:vAlign w:val="bottom"/>
            <w:gridSpan w:val="2"/>
          </w:tcPr>
          <w:p>
            <w:pPr>
              <w:ind w:left="980"/>
              <w:spacing w:after="0"/>
              <w:rPr>
                <w:sz w:val="20"/>
                <w:szCs w:val="20"/>
                <w:color w:val="auto"/>
              </w:rPr>
            </w:pPr>
            <w:r>
              <w:rPr>
                <w:rFonts w:ascii="Arial" w:cs="Arial" w:eastAsia="Arial" w:hAnsi="Arial"/>
                <w:sz w:val="14"/>
                <w:szCs w:val="14"/>
                <w:b w:val="1"/>
                <w:bCs w:val="1"/>
                <w:color w:val="auto"/>
              </w:rPr>
              <w:t>ADDITIONAL</w:t>
            </w:r>
          </w:p>
        </w:tc>
        <w:tc>
          <w:tcPr>
            <w:tcW w:w="138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rPr>
              <w:t>ADDITIONAL</w:t>
            </w:r>
          </w:p>
        </w:tc>
        <w:tc>
          <w:tcPr>
            <w:tcW w:w="1420" w:type="dxa"/>
            <w:vAlign w:val="bottom"/>
            <w:gridSpan w:val="2"/>
          </w:tcPr>
          <w:p>
            <w:pPr>
              <w:ind w:left="520"/>
              <w:spacing w:after="0"/>
              <w:rPr>
                <w:sz w:val="20"/>
                <w:szCs w:val="20"/>
                <w:color w:val="auto"/>
              </w:rPr>
            </w:pPr>
            <w:r>
              <w:rPr>
                <w:rFonts w:ascii="Arial" w:cs="Arial" w:eastAsia="Arial" w:hAnsi="Arial"/>
                <w:sz w:val="14"/>
                <w:szCs w:val="14"/>
                <w:b w:val="1"/>
                <w:bCs w:val="1"/>
                <w:color w:val="auto"/>
              </w:rPr>
              <w:t>ADDITIONAL</w:t>
            </w:r>
          </w:p>
        </w:tc>
        <w:tc>
          <w:tcPr>
            <w:tcW w:w="1460" w:type="dxa"/>
            <w:vAlign w:val="bottom"/>
            <w:gridSpan w:val="3"/>
          </w:tcPr>
          <w:p>
            <w:pPr>
              <w:ind w:left="50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5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5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r>
      <w:tr>
        <w:trPr>
          <w:trHeight w:val="183"/>
        </w:trPr>
        <w:tc>
          <w:tcPr>
            <w:tcW w:w="20" w:type="dxa"/>
            <w:vAlign w:val="bottom"/>
          </w:tcPr>
          <w:p>
            <w:pPr>
              <w:spacing w:after="0"/>
              <w:rPr>
                <w:sz w:val="15"/>
                <w:szCs w:val="15"/>
                <w:color w:val="auto"/>
              </w:rPr>
            </w:pPr>
          </w:p>
        </w:tc>
        <w:tc>
          <w:tcPr>
            <w:tcW w:w="48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9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1880" w:type="dxa"/>
            <w:vAlign w:val="bottom"/>
            <w:gridSpan w:val="2"/>
          </w:tcPr>
          <w:p>
            <w:pPr>
              <w:ind w:left="980"/>
              <w:spacing w:after="0" w:line="189" w:lineRule="exact"/>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1880" w:type="dxa"/>
            <w:vAlign w:val="bottom"/>
            <w:gridSpan w:val="2"/>
            <w:shd w:val="clear" w:color="auto" w:fill="CCEEFF"/>
          </w:tcPr>
          <w:p>
            <w:pPr>
              <w:ind w:left="980"/>
              <w:spacing w:after="0" w:line="189"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5" w:lineRule="exact"/>
        <w:rPr>
          <w:sz w:val="20"/>
          <w:szCs w:val="20"/>
          <w:color w:val="auto"/>
        </w:rPr>
      </w:pPr>
    </w:p>
    <w:p>
      <w:pPr>
        <w:ind w:left="200" w:right="220"/>
        <w:spacing w:after="0" w:line="236"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$0.7 million. We also have agreed to reimburse the underwriters for up to $20,000 for certain expenses incurred in connection with this offering, including for their FINRA counsel fee. In accordance with FINRA Rule 5110, these reimbursed expenses are deemed underwriting compensation for this offering.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ordinary shares are listed on the NASDAQ Global Market under the trading symbol “URGN”.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Taxes</w:t>
      </w:r>
    </w:p>
    <w:p>
      <w:pPr>
        <w:spacing w:after="0" w:line="93"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 However, no stamp taxes will be payable to the State of Israel in connection with the sale of shares offered hereby.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80"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170,377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our officers and directors and certain entities affiliated with them have agreed, subject to specified exceptions, not to directly or indirectly:</w:t>
      </w:r>
    </w:p>
    <w:p>
      <w:pPr>
        <w:spacing w:after="0" w:line="196" w:lineRule="exact"/>
        <w:rPr>
          <w:sz w:val="20"/>
          <w:szCs w:val="20"/>
          <w:color w:val="auto"/>
        </w:rPr>
      </w:pPr>
    </w:p>
    <w:p>
      <w:pPr>
        <w:ind w:left="960" w:right="420" w:hanging="432"/>
        <w:spacing w:after="0" w:line="243" w:lineRule="auto"/>
        <w:tabs>
          <w:tab w:leader="none" w:pos="96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16a-1(h) under the Securities Exchange Act of 1934, as amended (the “Exchange Act”), or</w:t>
      </w:r>
    </w:p>
    <w:p>
      <w:pPr>
        <w:spacing w:after="0" w:line="22" w:lineRule="exact"/>
        <w:rPr>
          <w:rFonts w:ascii="MS PGothic" w:cs="MS PGothic" w:eastAsia="MS PGothic" w:hAnsi="MS PGothic"/>
          <w:sz w:val="13"/>
          <w:szCs w:val="13"/>
          <w:color w:val="auto"/>
        </w:rPr>
      </w:pPr>
    </w:p>
    <w:p>
      <w:pPr>
        <w:ind w:left="960" w:right="380" w:hanging="432"/>
        <w:spacing w:after="0" w:line="243" w:lineRule="auto"/>
        <w:tabs>
          <w:tab w:leader="none" w:pos="96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22" w:lineRule="exact"/>
        <w:rPr>
          <w:rFonts w:ascii="MS PGothic" w:cs="MS PGothic" w:eastAsia="MS PGothic" w:hAnsi="MS PGothic"/>
          <w:sz w:val="13"/>
          <w:szCs w:val="13"/>
          <w:color w:val="auto"/>
        </w:rPr>
      </w:pPr>
    </w:p>
    <w:p>
      <w:pPr>
        <w:ind w:left="960" w:right="540" w:hanging="432"/>
        <w:spacing w:after="0" w:line="243" w:lineRule="auto"/>
        <w:tabs>
          <w:tab w:leader="none" w:pos="96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90 days after the date of this prospectus without the prior written consent of Jefferies LLC.</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This restriction terminates after the close of trading of the ordinary shares on and including the 90th day after the date of this prospectus.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right="120"/>
        <w:spacing w:after="0" w:line="243" w:lineRule="auto"/>
        <w:rPr>
          <w:sz w:val="20"/>
          <w:szCs w:val="20"/>
          <w:color w:val="auto"/>
        </w:rPr>
      </w:pPr>
      <w:r>
        <w:rPr>
          <w:rFonts w:ascii="Arial" w:cs="Arial" w:eastAsia="Arial" w:hAnsi="Arial"/>
          <w:sz w:val="17"/>
          <w:szCs w:val="17"/>
          <w:color w:val="auto"/>
        </w:rPr>
        <w:t>Jefferies LLC may, in its sole discretion and at any time or from time to time before the termination of the 90-day period release all or any portion of the securities subject to lock-up agreements.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150" w:lineRule="exact"/>
        <w:rPr>
          <w:sz w:val="20"/>
          <w:szCs w:val="20"/>
          <w:color w:val="auto"/>
        </w:rPr>
      </w:pPr>
    </w:p>
    <w:p>
      <w:pPr>
        <w:ind w:left="200" w:right="20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149"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48"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Distribution</w:t>
      </w:r>
    </w:p>
    <w:p>
      <w:pPr>
        <w:spacing w:after="0" w:line="80" w:lineRule="exact"/>
        <w:rPr>
          <w:sz w:val="20"/>
          <w:szCs w:val="20"/>
          <w:color w:val="auto"/>
        </w:rPr>
      </w:pPr>
    </w:p>
    <w:p>
      <w:pPr>
        <w:ind w:left="200" w:right="20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Activities and Relationships</w:t>
      </w:r>
    </w:p>
    <w:p>
      <w:pPr>
        <w:spacing w:after="0" w:line="93" w:lineRule="exact"/>
        <w:rPr>
          <w:sz w:val="20"/>
          <w:szCs w:val="20"/>
          <w:color w:val="auto"/>
        </w:rPr>
      </w:pPr>
    </w:p>
    <w:p>
      <w:pPr>
        <w:ind w:left="20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60" w:hanging="432"/>
        <w:spacing w:after="0"/>
        <w:tabs>
          <w:tab w:leader="none" w:pos="96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60" w:right="160" w:hanging="432"/>
        <w:spacing w:after="0" w:line="238" w:lineRule="auto"/>
        <w:tabs>
          <w:tab w:leader="none" w:pos="96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6" w:lineRule="exact"/>
        <w:rPr>
          <w:rFonts w:ascii="MS PGothic" w:cs="MS PGothic" w:eastAsia="MS PGothic" w:hAnsi="MS PGothic"/>
          <w:sz w:val="13"/>
          <w:szCs w:val="13"/>
          <w:color w:val="auto"/>
        </w:rPr>
      </w:pPr>
    </w:p>
    <w:p>
      <w:pPr>
        <w:ind w:left="960" w:hanging="432"/>
        <w:spacing w:after="0"/>
        <w:tabs>
          <w:tab w:leader="none" w:pos="96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referred to herein as a Relevant Member State, an offer to the public of any ordinary shares which are the subject of the offering contemplated by this prospectus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90" w:lineRule="exact"/>
        <w:rPr>
          <w:sz w:val="20"/>
          <w:szCs w:val="20"/>
          <w:color w:val="auto"/>
        </w:rPr>
      </w:pPr>
    </w:p>
    <w:p>
      <w:pPr>
        <w:ind w:left="5580" w:right="3720" w:hanging="5052"/>
        <w:spacing w:after="0" w:line="423" w:lineRule="auto"/>
        <w:tabs>
          <w:tab w:leader="none" w:pos="961"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 xml:space="preserve">to any legal entity which is a “qualified investor” as defined in the Prospectus Directive; </w:t>
      </w:r>
      <w:r>
        <w:rPr>
          <w:rFonts w:ascii="Arial" w:cs="Arial" w:eastAsia="Arial" w:hAnsi="Arial"/>
          <w:sz w:val="16"/>
          <w:szCs w:val="16"/>
          <w:color w:val="auto"/>
        </w:rPr>
        <w:t>159</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right="40" w:hanging="432"/>
        <w:spacing w:after="0" w:line="243" w:lineRule="auto"/>
        <w:tabs>
          <w:tab w:leader="none" w:pos="96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3(2) of the Prospectus Directive,</w:t>
      </w:r>
    </w:p>
    <w:p>
      <w:pPr>
        <w:spacing w:after="0" w:line="156"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144"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For the purposes of this provision, the expression “offer to the public” in relation to the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“Prospectus Directive” means Directive 2003/71/EC (and amendments thereto, including Directive 2010/73/EU, the “2010 PD Amending Directive”), and includes any relevant implementing measure in the Relevant Member State, and the expression “2010 PD Amending Directive” means Directive 2010/73/EU.</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200" w:right="2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47"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as defined under Section 275(1), or any person pursuant to Section 275(1A) of the SFA, and in accordance with the conditions, specified in Section 275 of</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SFA, or (iii) otherwise pursuant to, and in accordance with the conditions of any other applicable provision of the SFA.</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96" w:lineRule="exact"/>
        <w:rPr>
          <w:sz w:val="20"/>
          <w:szCs w:val="20"/>
          <w:color w:val="auto"/>
        </w:rPr>
      </w:pPr>
    </w:p>
    <w:p>
      <w:pPr>
        <w:ind w:left="960" w:right="460" w:hanging="432"/>
        <w:spacing w:after="0" w:line="243" w:lineRule="auto"/>
        <w:tabs>
          <w:tab w:leader="none" w:pos="96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60" w:right="40" w:hanging="432"/>
        <w:spacing w:after="0" w:line="243" w:lineRule="auto"/>
        <w:tabs>
          <w:tab w:leader="none" w:pos="96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is an individual who is an accredited investor,</w:t>
      </w:r>
    </w:p>
    <w:p>
      <w:pPr>
        <w:spacing w:after="0" w:line="14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for six months after that corporation or that trust has acquired the securities pursuant to an offer made under Section 275 of the SFA except:</w:t>
      </w:r>
    </w:p>
    <w:p>
      <w:pPr>
        <w:spacing w:after="0" w:line="188" w:lineRule="exact"/>
        <w:rPr>
          <w:sz w:val="20"/>
          <w:szCs w:val="20"/>
          <w:color w:val="auto"/>
        </w:rPr>
      </w:pPr>
    </w:p>
    <w:p>
      <w:pPr>
        <w:ind w:left="960" w:right="120" w:hanging="432"/>
        <w:spacing w:after="0" w:line="243" w:lineRule="auto"/>
        <w:tabs>
          <w:tab w:leader="none" w:pos="96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to an institutional investor under Section 274 of the SFA or to a relevant person defined in Section 275(2) of the SFA, or to any person pursuant to an offer referred to in Section 275(1A) or Section 276(4)(i)(B) of the SFA;</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where no consideration is given for the transfer;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60" w:right="480" w:hanging="432"/>
        <w:spacing w:after="0" w:line="243" w:lineRule="auto"/>
        <w:tabs>
          <w:tab w:leader="none" w:pos="96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150"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Any investment or investment activity to which this prospectus relates is available only to Relevant Persons and will be engaged in only with Relevant Persons.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the State of Israel, this document is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being distributed only to, and is directed only at, and any offer of the ordinary shares is directed only at, (i) a limited number of persons in accordance with the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The distribution of ordinary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ordinary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By purchasing ordinary shares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60" w:right="120" w:hanging="432"/>
        <w:spacing w:after="0" w:line="238" w:lineRule="auto"/>
        <w:tabs>
          <w:tab w:leader="none" w:pos="96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ordinary shares without the benefit of a prospectus qualified under those securities laws as it is an “accredited investor” as defined under National Instrument 45-106—</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Exemptions</w:t>
      </w:r>
      <w:r>
        <w:rPr>
          <w:rFonts w:ascii="Arial" w:cs="Arial" w:eastAsia="Arial" w:hAnsi="Arial"/>
          <w:sz w:val="17"/>
          <w:szCs w:val="17"/>
          <w:color w:val="auto"/>
        </w:rPr>
        <w:t>,</w:t>
      </w:r>
    </w:p>
    <w:p>
      <w:pPr>
        <w:spacing w:after="0" w:line="8" w:lineRule="exact"/>
        <w:rPr>
          <w:rFonts w:ascii="MS PGothic" w:cs="MS PGothic" w:eastAsia="MS PGothic" w:hAnsi="MS PGothic"/>
          <w:sz w:val="13"/>
          <w:szCs w:val="13"/>
          <w:color w:val="auto"/>
        </w:rPr>
      </w:pPr>
    </w:p>
    <w:p>
      <w:pPr>
        <w:ind w:left="960" w:right="240" w:hanging="432"/>
        <w:spacing w:after="0" w:line="256" w:lineRule="auto"/>
        <w:tabs>
          <w:tab w:leader="none" w:pos="96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9" w:lineRule="exact"/>
        <w:rPr>
          <w:rFonts w:ascii="MS PGothic" w:cs="MS PGothic" w:eastAsia="MS PGothic" w:hAnsi="MS PGothic"/>
          <w:sz w:val="13"/>
          <w:szCs w:val="13"/>
          <w:color w:val="auto"/>
        </w:rPr>
      </w:pPr>
    </w:p>
    <w:p>
      <w:pPr>
        <w:ind w:left="960" w:hanging="432"/>
        <w:spacing w:after="0"/>
        <w:tabs>
          <w:tab w:leader="none" w:pos="96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Canadian purchasers are hereby notified that each of the underwriters are relying on the exemption set out in section 3A.3 or 3A.4, if applicable, of National Instrument 33-105—</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200" w:right="8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7"/>
          <w:szCs w:val="17"/>
          <w:color w:val="auto"/>
        </w:rPr>
        <w:t>Canadian purchasers of ordinary shares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OF THIS OFFERING</w:t>
      </w:r>
    </w:p>
    <w:p>
      <w:pPr>
        <w:spacing w:after="0" w:line="336"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us in connection with the sale of our ordinary shares being registered. All amounts are estimates except for the SEC registration fee and the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ITEM</w:t>
            </w:r>
          </w:p>
        </w:tc>
        <w:tc>
          <w:tcPr>
            <w:tcW w:w="7100" w:type="dxa"/>
            <w:vAlign w:val="bottom"/>
            <w:gridSpan w:val="4"/>
          </w:tcPr>
          <w:p>
            <w:pPr>
              <w:jc w:val="center"/>
              <w:ind w:left="6000"/>
              <w:spacing w:after="0"/>
              <w:rPr>
                <w:sz w:val="20"/>
                <w:szCs w:val="20"/>
                <w:color w:val="auto"/>
              </w:rPr>
            </w:pPr>
            <w:r>
              <w:rPr>
                <w:rFonts w:ascii="Arial" w:cs="Arial" w:eastAsia="Arial" w:hAnsi="Arial"/>
                <w:sz w:val="14"/>
                <w:szCs w:val="14"/>
                <w:b w:val="1"/>
                <w:bCs w:val="1"/>
                <w:color w:val="auto"/>
              </w:rPr>
              <w:t>AMOUNT TO</w:t>
            </w:r>
          </w:p>
        </w:tc>
        <w:tc>
          <w:tcPr>
            <w:tcW w:w="0" w:type="dxa"/>
            <w:vAlign w:val="bottom"/>
          </w:tcPr>
          <w:p>
            <w:pPr>
              <w:spacing w:after="0"/>
              <w:rPr>
                <w:sz w:val="1"/>
                <w:szCs w:val="1"/>
                <w:color w:val="auto"/>
              </w:rPr>
            </w:pPr>
          </w:p>
        </w:tc>
      </w:tr>
      <w:tr>
        <w:trPr>
          <w:trHeight w:val="162"/>
        </w:trPr>
        <w:tc>
          <w:tcPr>
            <w:tcW w:w="3940" w:type="dxa"/>
            <w:vAlign w:val="bottom"/>
            <w:gridSpan w:val="3"/>
            <w:vMerge w:val="continue"/>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SEC registration fee</w:t>
            </w:r>
          </w:p>
        </w:tc>
        <w:tc>
          <w:tcPr>
            <w:tcW w:w="6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7,160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7"/>
                <w:szCs w:val="17"/>
                <w:color w:val="auto"/>
              </w:rPr>
              <w:t>FINRA filing fee</w:t>
            </w:r>
          </w:p>
        </w:tc>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9,125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6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7"/>
                <w:szCs w:val="17"/>
                <w:color w:val="auto"/>
              </w:rPr>
              <w:t>Legal fees and expenses</w:t>
            </w:r>
          </w:p>
        </w:tc>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475,000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6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tcPr>
          <w:p>
            <w:pPr>
              <w:spacing w:after="0" w:line="189" w:lineRule="exact"/>
              <w:rPr>
                <w:sz w:val="20"/>
                <w:szCs w:val="20"/>
                <w:color w:val="auto"/>
              </w:rPr>
            </w:pPr>
            <w:r>
              <w:rPr>
                <w:rFonts w:ascii="Arial" w:cs="Arial" w:eastAsia="Arial" w:hAnsi="Arial"/>
                <w:sz w:val="17"/>
                <w:szCs w:val="17"/>
                <w:color w:val="auto"/>
              </w:rPr>
              <w:t>Miscellaneous</w:t>
            </w:r>
          </w:p>
        </w:tc>
        <w:tc>
          <w:tcPr>
            <w:tcW w:w="6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18,715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6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160" w:type="dxa"/>
            <w:vAlign w:val="bottom"/>
          </w:tcPr>
          <w:p>
            <w:pPr>
              <w:jc w:val="right"/>
              <w:ind w:right="4380"/>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 validity of the issuance of our ordinary shares offered in this prospectus and certain other matters of Israeli law will be passed upon for us by Hamburger Evron &amp; Co., Tel Aviv, Israel. As of the date of this prospectus, Hamburger Evron &amp; Co. beneficially owns an aggregate of 83,928 of our ordinary shares issuable upon the exercise of options. Certain matters of U.S. law will be passed upon for us by Cooley LLP, New York, New York. Legal counsel to the underwriters are Gornitzky &amp; Co., Tel Aviv, Israel, with respect to Israeli law, and Covington &amp; Burling LLP, New York, New York, with respect to U.S. law.</w:t>
      </w: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The financial statements as of December 31, 2016 and 2015 and for each of the two years in the period ended December 31, 2016 included in this prospectus have been so included in reliance on the report of Kesselman &amp; Kesselman, Certified Public Accountants (Israel), an independent registered public accounting firm and a member firm of PricewaterhouseCoopers International Limited, given on the authority of said firm as experts in auditing and accounting.</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80"/>
          </w:cols>
          <w:pgMar w:left="240" w:top="460"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ENFORCEMENT OF CIVIL LIABILITIES</w:t>
      </w:r>
    </w:p>
    <w:p>
      <w:pPr>
        <w:spacing w:after="0" w:line="336"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most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49"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have been informed by our legal counsel in Israel, Hamburger Evron &amp; Co.,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have irrevocably appointed Urogen Pharma, Inc. as our agent to receive service of process in any action against us in any U.S.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and the Exchange Act and including a monetary or compensatory judgment in a non-civil matter, provided that among other things:</w:t>
      </w:r>
    </w:p>
    <w:p>
      <w:pPr>
        <w:spacing w:after="0" w:line="191" w:lineRule="exact"/>
        <w:rPr>
          <w:sz w:val="20"/>
          <w:szCs w:val="20"/>
          <w:color w:val="auto"/>
        </w:rPr>
      </w:pPr>
    </w:p>
    <w:p>
      <w:pPr>
        <w:ind w:left="960" w:right="280" w:hanging="432"/>
        <w:spacing w:after="0" w:line="243" w:lineRule="auto"/>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prevailing law of the foreign state in which the judgment was rendered allows for the enforcement of judgments of Israeli courts;</w:t>
      </w:r>
    </w:p>
    <w:p>
      <w:pPr>
        <w:spacing w:after="0" w:line="34" w:lineRule="exact"/>
        <w:rPr>
          <w:rFonts w:ascii="MS PGothic" w:cs="MS PGothic" w:eastAsia="MS PGothic" w:hAnsi="MS PGothic"/>
          <w:sz w:val="13"/>
          <w:szCs w:val="13"/>
          <w:color w:val="auto"/>
        </w:rPr>
      </w:pPr>
    </w:p>
    <w:p>
      <w:pPr>
        <w:ind w:left="960" w:right="160" w:hanging="432"/>
        <w:spacing w:after="0" w:line="243" w:lineRule="auto"/>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adequate service of process has been effected and the defendant has had a reasonable opportunity to be heard and to present his or her evidence;</w:t>
      </w:r>
    </w:p>
    <w:p>
      <w:pPr>
        <w:spacing w:after="0" w:line="22" w:lineRule="exact"/>
        <w:rPr>
          <w:rFonts w:ascii="MS PGothic" w:cs="MS PGothic" w:eastAsia="MS PGothic" w:hAnsi="MS PGothic"/>
          <w:sz w:val="13"/>
          <w:szCs w:val="13"/>
          <w:color w:val="auto"/>
        </w:rPr>
      </w:pPr>
    </w:p>
    <w:p>
      <w:pPr>
        <w:ind w:left="960" w:right="160" w:hanging="432"/>
        <w:spacing w:after="0" w:line="243" w:lineRule="auto"/>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judgment is not contrary to public policy of Israel, and the enforcement of the civil liabilities set forth in the judgment is not likely to impair the security or sovereignty of Israel;</w:t>
      </w:r>
    </w:p>
    <w:p>
      <w:pPr>
        <w:spacing w:after="0" w:line="22" w:lineRule="exact"/>
        <w:rPr>
          <w:rFonts w:ascii="MS PGothic" w:cs="MS PGothic" w:eastAsia="MS PGothic" w:hAnsi="MS PGothic"/>
          <w:sz w:val="13"/>
          <w:szCs w:val="13"/>
          <w:color w:val="auto"/>
        </w:rPr>
      </w:pPr>
    </w:p>
    <w:p>
      <w:pPr>
        <w:ind w:left="960" w:right="360" w:hanging="432"/>
        <w:spacing w:after="0" w:line="243" w:lineRule="auto"/>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judgment was not obtained by fraud and does not conflict with any other valid judgments in the same matter between the same parties;</w:t>
      </w:r>
    </w:p>
    <w:p>
      <w:pPr>
        <w:spacing w:after="0" w:line="22" w:lineRule="exact"/>
        <w:rPr>
          <w:rFonts w:ascii="MS PGothic" w:cs="MS PGothic" w:eastAsia="MS PGothic" w:hAnsi="MS PGothic"/>
          <w:sz w:val="13"/>
          <w:szCs w:val="13"/>
          <w:color w:val="auto"/>
        </w:rPr>
      </w:pPr>
    </w:p>
    <w:p>
      <w:pPr>
        <w:ind w:left="960" w:right="440" w:hanging="432"/>
        <w:spacing w:after="0" w:line="243" w:lineRule="auto"/>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an action between the same parties in the same matter is not pending in any Israeli court at the time the lawsuit is instituted in the foreign court;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15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 xml:space="preserve">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 website that contains reports and other information regarding issuers that file electronically with the SEC. Our filings with the SEC are also available to the public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48"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We are currently subject to the information reporting requirements of the Exchange Act that are applicable to foreign private issuers, and under those requirements file reports with the SEC. These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reports and financial statements with the SEC as frequently or as promptly as U.S. companies whose securities are registered under the Exchange Act.</w:t>
      </w:r>
    </w:p>
    <w:p>
      <w:pPr>
        <w:spacing w:after="0" w:line="130" w:lineRule="exact"/>
        <w:rPr>
          <w:sz w:val="20"/>
          <w:szCs w:val="20"/>
          <w:color w:val="auto"/>
        </w:rPr>
      </w:pPr>
    </w:p>
    <w:p>
      <w:pPr>
        <w:ind w:left="200" w:right="360"/>
        <w:spacing w:after="0" w:line="265" w:lineRule="auto"/>
        <w:rPr>
          <w:sz w:val="20"/>
          <w:szCs w:val="20"/>
          <w:color w:val="auto"/>
        </w:rPr>
      </w:pPr>
      <w:r>
        <w:rPr>
          <w:rFonts w:ascii="Arial" w:cs="Arial" w:eastAsia="Arial" w:hAnsi="Arial"/>
          <w:sz w:val="17"/>
          <w:szCs w:val="17"/>
          <w:color w:val="auto"/>
        </w:rPr>
        <w:t xml:space="preserve">We maintain a corporate website at </w:t>
      </w:r>
      <w:r>
        <w:rPr>
          <w:rFonts w:ascii="Arial" w:cs="Arial" w:eastAsia="Arial" w:hAnsi="Arial"/>
          <w:sz w:val="17"/>
          <w:szCs w:val="17"/>
          <w:i w:val="1"/>
          <w:iCs w:val="1"/>
          <w:color w:val="auto"/>
        </w:rPr>
        <w:t>http://www.urogen.com</w:t>
      </w:r>
      <w:r>
        <w:rPr>
          <w:rFonts w:ascii="Arial" w:cs="Arial" w:eastAsia="Arial" w:hAnsi="Arial"/>
          <w:sz w:val="17"/>
          <w:szCs w:val="17"/>
          <w:color w:val="auto"/>
        </w:rPr>
        <w:t>. Information contained on, or that can be accessed through, our website does not constitute a part of this prospectus.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FINANCIAL STATEMENTS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149225</wp:posOffset>
            </wp:positionV>
            <wp:extent cx="6997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0560" w:type="dxa"/>
            <w:vAlign w:val="bottom"/>
            <w:gridSpan w:val="14"/>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560" w:type="dxa"/>
            <w:vAlign w:val="bottom"/>
            <w:gridSpan w:val="14"/>
            <w:vMerge w:val="continue"/>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0" w:type="dxa"/>
            <w:vAlign w:val="bottom"/>
            <w:tcBorders>
              <w:bottom w:val="single" w:sz="8" w:color="0000EE"/>
            </w:tcBorders>
            <w:gridSpan w:val="2"/>
          </w:tcPr>
          <w:p>
            <w:pPr>
              <w:spacing w:after="0" w:line="168" w:lineRule="exact"/>
              <w:rPr>
                <w:rFonts w:ascii="Arial" w:cs="Arial" w:eastAsia="Arial" w:hAnsi="Arial"/>
                <w:sz w:val="17"/>
                <w:szCs w:val="17"/>
                <w:color w:val="0000EE"/>
              </w:rPr>
            </w:pPr>
            <w:hyperlink w:anchor="page172">
              <w:r>
                <w:rPr>
                  <w:rFonts w:ascii="Arial" w:cs="Arial" w:eastAsia="Arial" w:hAnsi="Arial"/>
                  <w:sz w:val="17"/>
                  <w:szCs w:val="17"/>
                  <w:color w:val="0000EE"/>
                </w:rPr>
                <w:t>Report of independent registered public accounting firm</w:t>
              </w:r>
            </w:hyperlink>
          </w:p>
        </w:tc>
        <w:tc>
          <w:tcPr>
            <w:tcW w:w="6100" w:type="dxa"/>
            <w:vAlign w:val="bottom"/>
            <w:gridSpan w:val="10"/>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Arial" w:cs="Arial" w:eastAsia="Arial" w:hAnsi="Arial"/>
                <w:sz w:val="17"/>
                <w:szCs w:val="17"/>
                <w:color w:val="auto"/>
              </w:rPr>
              <w:t>F-2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40" w:type="dxa"/>
            <w:vAlign w:val="bottom"/>
            <w:tcBorders>
              <w:bottom w:val="single" w:sz="8" w:color="0000EE"/>
            </w:tcBorders>
            <w:gridSpan w:val="4"/>
          </w:tcPr>
          <w:p>
            <w:pPr>
              <w:spacing w:after="0" w:line="169" w:lineRule="exact"/>
              <w:rPr>
                <w:rFonts w:ascii="Arial" w:cs="Arial" w:eastAsia="Arial" w:hAnsi="Arial"/>
                <w:sz w:val="17"/>
                <w:szCs w:val="17"/>
                <w:color w:val="0000EE"/>
              </w:rPr>
            </w:pPr>
            <w:hyperlink w:anchor="page173">
              <w:r>
                <w:rPr>
                  <w:rFonts w:ascii="Arial" w:cs="Arial" w:eastAsia="Arial" w:hAnsi="Arial"/>
                  <w:sz w:val="17"/>
                  <w:szCs w:val="17"/>
                  <w:color w:val="0000EE"/>
                </w:rPr>
                <w:t>Consolidated Balance sheets as of December 31, 2016 and 2015</w:t>
              </w:r>
            </w:hyperlink>
          </w:p>
        </w:tc>
        <w:tc>
          <w:tcPr>
            <w:tcW w:w="5360" w:type="dxa"/>
            <w:vAlign w:val="bottom"/>
            <w:gridSpan w:val="8"/>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4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74">
              <w:r>
                <w:rPr>
                  <w:rFonts w:ascii="Arial" w:cs="Arial" w:eastAsia="Arial" w:hAnsi="Arial"/>
                  <w:sz w:val="17"/>
                  <w:szCs w:val="17"/>
                  <w:color w:val="0000EE"/>
                </w:rPr>
                <w:t>Consolidated Statements of operations for the years ended December 31, 2016 and 2015</w:t>
              </w:r>
            </w:hyperlink>
          </w:p>
        </w:tc>
        <w:tc>
          <w:tcPr>
            <w:tcW w:w="3460" w:type="dxa"/>
            <w:vAlign w:val="bottom"/>
            <w:gridSpan w:val="6"/>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380" w:type="dxa"/>
            <w:vAlign w:val="bottom"/>
            <w:tcBorders>
              <w:bottom w:val="single" w:sz="8" w:color="0000EE"/>
            </w:tcBorders>
            <w:gridSpan w:val="10"/>
          </w:tcPr>
          <w:p>
            <w:pPr>
              <w:spacing w:after="0" w:line="169" w:lineRule="exact"/>
              <w:rPr>
                <w:rFonts w:ascii="Arial" w:cs="Arial" w:eastAsia="Arial" w:hAnsi="Arial"/>
                <w:sz w:val="17"/>
                <w:szCs w:val="17"/>
                <w:color w:val="0000EE"/>
              </w:rPr>
            </w:pPr>
            <w:hyperlink w:anchor="page175">
              <w:r>
                <w:rPr>
                  <w:rFonts w:ascii="Arial" w:cs="Arial" w:eastAsia="Arial" w:hAnsi="Arial"/>
                  <w:sz w:val="17"/>
                  <w:szCs w:val="17"/>
                  <w:color w:val="0000EE"/>
                </w:rPr>
                <w:t>Consolidated Statements of changes in shareholders’ equity for the years ended December 31, 2016 and 2015</w:t>
              </w:r>
            </w:hyperlink>
          </w:p>
        </w:tc>
        <w:tc>
          <w:tcPr>
            <w:tcW w:w="1920" w:type="dxa"/>
            <w:vAlign w:val="bottom"/>
            <w:gridSpan w:val="2"/>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20" w:type="dxa"/>
            <w:vAlign w:val="bottom"/>
            <w:tcBorders>
              <w:bottom w:val="single" w:sz="8" w:color="0000EE"/>
            </w:tcBorders>
            <w:gridSpan w:val="5"/>
          </w:tcPr>
          <w:p>
            <w:pPr>
              <w:spacing w:after="0" w:line="169" w:lineRule="exact"/>
              <w:rPr>
                <w:rFonts w:ascii="Arial" w:cs="Arial" w:eastAsia="Arial" w:hAnsi="Arial"/>
                <w:sz w:val="17"/>
                <w:szCs w:val="17"/>
                <w:color w:val="0000EE"/>
              </w:rPr>
            </w:pPr>
            <w:hyperlink w:anchor="page176">
              <w:r>
                <w:rPr>
                  <w:rFonts w:ascii="Arial" w:cs="Arial" w:eastAsia="Arial" w:hAnsi="Arial"/>
                  <w:sz w:val="17"/>
                  <w:szCs w:val="17"/>
                  <w:color w:val="0000EE"/>
                </w:rPr>
                <w:t>Consolidated Statements of cash flows for the years ended December 31, 2016 and 2015</w:t>
              </w:r>
            </w:hyperlink>
          </w:p>
        </w:tc>
        <w:tc>
          <w:tcPr>
            <w:tcW w:w="3480" w:type="dxa"/>
            <w:vAlign w:val="bottom"/>
            <w:gridSpan w:val="7"/>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300" w:type="dxa"/>
            <w:vAlign w:val="bottom"/>
            <w:gridSpan w:val="12"/>
          </w:tcPr>
          <w:p>
            <w:pPr>
              <w:spacing w:after="0" w:line="169" w:lineRule="exact"/>
              <w:rPr>
                <w:rFonts w:ascii="Arial" w:cs="Arial" w:eastAsia="Arial" w:hAnsi="Arial"/>
                <w:sz w:val="17"/>
                <w:szCs w:val="17"/>
                <w:color w:val="0000EE"/>
              </w:rPr>
            </w:pPr>
            <w:hyperlink w:anchor="page177">
              <w:r>
                <w:rPr>
                  <w:rFonts w:ascii="Arial" w:cs="Arial" w:eastAsia="Arial" w:hAnsi="Arial"/>
                  <w:sz w:val="17"/>
                  <w:szCs w:val="17"/>
                  <w:color w:val="0000EE"/>
                </w:rPr>
                <w:t>Notes to the consolidated financial statements</w:t>
              </w:r>
            </w:hyperlink>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560" w:type="dxa"/>
            <w:vAlign w:val="bottom"/>
            <w:gridSpan w:val="14"/>
          </w:tcPr>
          <w:p>
            <w:pPr>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40" w:type="dxa"/>
            <w:vAlign w:val="bottom"/>
            <w:tcBorders>
              <w:bottom w:val="single" w:sz="8" w:color="0000EE"/>
            </w:tcBorders>
            <w:gridSpan w:val="7"/>
          </w:tcPr>
          <w:p>
            <w:pPr>
              <w:spacing w:after="0" w:line="168" w:lineRule="exact"/>
              <w:rPr>
                <w:rFonts w:ascii="Arial" w:cs="Arial" w:eastAsia="Arial" w:hAnsi="Arial"/>
                <w:sz w:val="17"/>
                <w:szCs w:val="17"/>
                <w:color w:val="0000EE"/>
              </w:rPr>
            </w:pPr>
            <w:hyperlink w:anchor="page194">
              <w:r>
                <w:rPr>
                  <w:rFonts w:ascii="Arial" w:cs="Arial" w:eastAsia="Arial" w:hAnsi="Arial"/>
                  <w:sz w:val="17"/>
                  <w:szCs w:val="17"/>
                  <w:color w:val="0000EE"/>
                </w:rPr>
                <w:t>Condensed consolidated Balance sheets as of September 30, 2017 and December 31, 2016</w:t>
              </w:r>
            </w:hyperlink>
          </w:p>
        </w:tc>
        <w:tc>
          <w:tcPr>
            <w:tcW w:w="3260" w:type="dxa"/>
            <w:vAlign w:val="bottom"/>
            <w:gridSpan w:val="5"/>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Arial" w:cs="Arial" w:eastAsia="Arial" w:hAnsi="Arial"/>
                <w:sz w:val="17"/>
                <w:szCs w:val="17"/>
                <w:color w:val="auto"/>
              </w:rPr>
              <w:t>F-24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40" w:type="dxa"/>
            <w:vAlign w:val="bottom"/>
            <w:tcBorders>
              <w:bottom w:val="single" w:sz="8" w:color="0000EE"/>
            </w:tcBorders>
            <w:gridSpan w:val="9"/>
          </w:tcPr>
          <w:p>
            <w:pPr>
              <w:spacing w:after="0" w:line="169" w:lineRule="exact"/>
              <w:rPr>
                <w:rFonts w:ascii="Arial" w:cs="Arial" w:eastAsia="Arial" w:hAnsi="Arial"/>
                <w:sz w:val="17"/>
                <w:szCs w:val="17"/>
                <w:color w:val="0000EE"/>
              </w:rPr>
            </w:pPr>
            <w:hyperlink w:anchor="page195">
              <w:r>
                <w:rPr>
                  <w:rFonts w:ascii="Arial" w:cs="Arial" w:eastAsia="Arial" w:hAnsi="Arial"/>
                  <w:sz w:val="17"/>
                  <w:szCs w:val="17"/>
                  <w:color w:val="0000EE"/>
                </w:rPr>
                <w:t>Condensed consolidated Statements of operations for the nine months ended September 30, 2017 and 2016</w:t>
              </w:r>
            </w:hyperlink>
          </w:p>
        </w:tc>
        <w:tc>
          <w:tcPr>
            <w:tcW w:w="2060" w:type="dxa"/>
            <w:vAlign w:val="bottom"/>
            <w:gridSpan w:val="3"/>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300" w:type="dxa"/>
            <w:vAlign w:val="bottom"/>
            <w:gridSpan w:val="12"/>
          </w:tcPr>
          <w:p>
            <w:pPr>
              <w:spacing w:after="0" w:line="169" w:lineRule="exact"/>
              <w:rPr>
                <w:rFonts w:ascii="Arial" w:cs="Arial" w:eastAsia="Arial" w:hAnsi="Arial"/>
                <w:sz w:val="17"/>
                <w:szCs w:val="17"/>
                <w:color w:val="0000EE"/>
              </w:rPr>
            </w:pPr>
            <w:hyperlink w:anchor="page196">
              <w:r>
                <w:rPr>
                  <w:rFonts w:ascii="Arial" w:cs="Arial" w:eastAsia="Arial" w:hAnsi="Arial"/>
                  <w:sz w:val="17"/>
                  <w:szCs w:val="17"/>
                  <w:color w:val="0000EE"/>
                </w:rPr>
                <w:t>Condensed consolidated Statements of changes in shareholders’ equity for the nine months ended September 30, 2017 and 2016</w:t>
              </w:r>
            </w:hyperlink>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20" w:type="dxa"/>
            <w:vAlign w:val="bottom"/>
            <w:tcBorders>
              <w:top w:val="single" w:sz="8" w:color="0000EE"/>
              <w:bottom w:val="single" w:sz="8" w:color="0000EE"/>
            </w:tcBorders>
            <w:gridSpan w:val="8"/>
          </w:tcPr>
          <w:p>
            <w:pPr>
              <w:spacing w:after="0" w:line="169" w:lineRule="exact"/>
              <w:rPr>
                <w:rFonts w:ascii="Arial" w:cs="Arial" w:eastAsia="Arial" w:hAnsi="Arial"/>
                <w:sz w:val="17"/>
                <w:szCs w:val="17"/>
                <w:color w:val="0000EE"/>
              </w:rPr>
            </w:pPr>
            <w:hyperlink w:anchor="page197">
              <w:r>
                <w:rPr>
                  <w:rFonts w:ascii="Arial" w:cs="Arial" w:eastAsia="Arial" w:hAnsi="Arial"/>
                  <w:sz w:val="17"/>
                  <w:szCs w:val="17"/>
                  <w:color w:val="0000EE"/>
                </w:rPr>
                <w:t>Condensed consolidated Statements of cash flows for the nine months ended September 30, 2017 and 2016</w:t>
              </w:r>
            </w:hyperlink>
          </w:p>
        </w:tc>
        <w:tc>
          <w:tcPr>
            <w:tcW w:w="1600" w:type="dxa"/>
            <w:vAlign w:val="bottom"/>
            <w:tcBorders>
              <w:top w:val="single" w:sz="8" w:color="0000EE"/>
            </w:tcBorders>
            <w:gridSpan w:val="3"/>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300" w:type="dxa"/>
            <w:vAlign w:val="bottom"/>
            <w:gridSpan w:val="12"/>
          </w:tcPr>
          <w:p>
            <w:pPr>
              <w:spacing w:after="0" w:line="169" w:lineRule="exact"/>
              <w:rPr>
                <w:rFonts w:ascii="Arial" w:cs="Arial" w:eastAsia="Arial" w:hAnsi="Arial"/>
                <w:sz w:val="17"/>
                <w:szCs w:val="17"/>
                <w:color w:val="0000EE"/>
              </w:rPr>
            </w:pPr>
            <w:hyperlink w:anchor="page198">
              <w:r>
                <w:rPr>
                  <w:rFonts w:ascii="Arial" w:cs="Arial" w:eastAsia="Arial" w:hAnsi="Arial"/>
                  <w:sz w:val="17"/>
                  <w:szCs w:val="17"/>
                  <w:color w:val="0000EE"/>
                </w:rPr>
                <w:t>Notes to Condensed Consolidated Financial Statements</w:t>
              </w:r>
            </w:hyperlink>
          </w:p>
        </w:tc>
        <w:tc>
          <w:tcPr>
            <w:tcW w:w="420" w:type="dxa"/>
            <w:vAlign w:val="bottom"/>
          </w:tcPr>
          <w:p>
            <w:pPr>
              <w:jc w:val="right"/>
              <w:spacing w:after="0" w:line="169" w:lineRule="exact"/>
              <w:rPr>
                <w:sz w:val="20"/>
                <w:szCs w:val="20"/>
                <w:color w:val="auto"/>
              </w:rPr>
            </w:pPr>
            <w:r>
              <w:rPr>
                <w:rFonts w:ascii="Arial" w:cs="Arial" w:eastAsia="Arial" w:hAnsi="Arial"/>
                <w:sz w:val="17"/>
                <w:szCs w:val="17"/>
                <w:color w:val="auto"/>
              </w:rPr>
              <w:t>F-28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80" w:type="dxa"/>
            <w:vAlign w:val="bottom"/>
            <w:tcBorders>
              <w:top w:val="single" w:sz="8" w:color="0000EE"/>
              <w:bottom w:val="single" w:sz="8" w:color="auto"/>
            </w:tcBorders>
          </w:tcPr>
          <w:p>
            <w:pPr>
              <w:spacing w:after="0"/>
              <w:rPr>
                <w:sz w:val="19"/>
                <w:szCs w:val="19"/>
                <w:color w:val="auto"/>
              </w:rPr>
            </w:pPr>
          </w:p>
        </w:tc>
        <w:tc>
          <w:tcPr>
            <w:tcW w:w="720" w:type="dxa"/>
            <w:vAlign w:val="bottom"/>
            <w:tcBorders>
              <w:top w:val="single" w:sz="8" w:color="0000EE"/>
              <w:bottom w:val="single" w:sz="8" w:color="auto"/>
            </w:tcBorders>
          </w:tcPr>
          <w:p>
            <w:pPr>
              <w:spacing w:after="0"/>
              <w:rPr>
                <w:sz w:val="19"/>
                <w:szCs w:val="19"/>
                <w:color w:val="auto"/>
              </w:rPr>
            </w:pPr>
          </w:p>
        </w:tc>
        <w:tc>
          <w:tcPr>
            <w:tcW w:w="40" w:type="dxa"/>
            <w:vAlign w:val="bottom"/>
            <w:tcBorders>
              <w:top w:val="single" w:sz="8" w:color="0000EE"/>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60" w:type="dxa"/>
            <w:vAlign w:val="bottom"/>
            <w:gridSpan w:val="8"/>
          </w:tcPr>
          <w:p>
            <w:pPr>
              <w:ind w:left="20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205740</wp:posOffset>
            </wp:positionV>
            <wp:extent cx="754380" cy="5746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5438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To the shareholders of</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UROGEN PHARMA LTD.</w:t>
      </w:r>
    </w:p>
    <w:p>
      <w:pPr>
        <w:spacing w:after="0" w:line="336"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changes in shareholders’ equity and cash flows present fairly, in all material respects, the financial position of Urogen Pharma Ltd. (the Company) at December 31, 2016 and 2015, and the results of its operations and its cash flows for each of the two years in the period ended December 31, 2016 in conformity with accounting principles generally accepted in United States of America. These financial statements are the responsibility of the Company’s management and Board of Directors.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Board of Directors,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Tel-Aviv, Israel</w:t>
      </w:r>
    </w:p>
    <w:p>
      <w:pPr>
        <w:sectPr>
          <w:pgSz w:w="11900" w:h="16838" w:orient="portrait"/>
          <w:cols w:equalWidth="0" w:num="1">
            <w:col w:w="11220"/>
          </w:cols>
          <w:pgMar w:left="240" w:top="459" w:right="439" w:bottom="1440" w:gutter="0" w:footer="0" w:header="0"/>
        </w:sect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March 8, 2017, except for the</w:t>
      </w:r>
    </w:p>
    <w:p>
      <w:pPr>
        <w:ind w:left="200"/>
        <w:spacing w:after="0" w:line="232" w:lineRule="auto"/>
        <w:rPr>
          <w:sz w:val="20"/>
          <w:szCs w:val="20"/>
          <w:color w:val="auto"/>
        </w:rPr>
      </w:pPr>
      <w:r>
        <w:rPr>
          <w:rFonts w:ascii="Arial" w:cs="Arial" w:eastAsia="Arial" w:hAnsi="Arial"/>
          <w:sz w:val="17"/>
          <w:szCs w:val="17"/>
          <w:color w:val="auto"/>
        </w:rPr>
        <w:t>effects of the share split discussed</w:t>
      </w:r>
    </w:p>
    <w:p>
      <w:pPr>
        <w:ind w:left="200"/>
        <w:spacing w:after="0" w:line="232" w:lineRule="auto"/>
        <w:rPr>
          <w:sz w:val="20"/>
          <w:szCs w:val="20"/>
          <w:color w:val="auto"/>
        </w:rPr>
      </w:pPr>
      <w:r>
        <w:rPr>
          <w:rFonts w:ascii="Arial" w:cs="Arial" w:eastAsia="Arial" w:hAnsi="Arial"/>
          <w:sz w:val="17"/>
          <w:szCs w:val="17"/>
          <w:color w:val="auto"/>
        </w:rPr>
        <w:t>in note 1d to the consolidated</w:t>
      </w:r>
    </w:p>
    <w:p>
      <w:pPr>
        <w:ind w:left="200"/>
        <w:spacing w:after="0" w:line="232" w:lineRule="auto"/>
        <w:rPr>
          <w:sz w:val="20"/>
          <w:szCs w:val="20"/>
          <w:color w:val="auto"/>
        </w:rPr>
      </w:pPr>
      <w:r>
        <w:rPr>
          <w:rFonts w:ascii="Arial" w:cs="Arial" w:eastAsia="Arial" w:hAnsi="Arial"/>
          <w:sz w:val="17"/>
          <w:szCs w:val="17"/>
          <w:color w:val="auto"/>
        </w:rPr>
        <w:t>financial statements, as to which</w:t>
      </w:r>
    </w:p>
    <w:p>
      <w:pPr>
        <w:ind w:left="200"/>
        <w:spacing w:after="0"/>
        <w:rPr>
          <w:sz w:val="20"/>
          <w:szCs w:val="20"/>
          <w:color w:val="auto"/>
        </w:rPr>
      </w:pPr>
      <w:r>
        <w:rPr>
          <w:rFonts w:ascii="Arial" w:cs="Arial" w:eastAsia="Arial" w:hAnsi="Arial"/>
          <w:sz w:val="17"/>
          <w:szCs w:val="17"/>
          <w:color w:val="auto"/>
        </w:rPr>
        <w:t>the date is April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299720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316865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334010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351155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368300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386080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2675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Kesselman &amp; Kesselman</w:t>
      </w:r>
    </w:p>
    <w:p>
      <w:pPr>
        <w:spacing w:after="0" w:line="232" w:lineRule="auto"/>
        <w:rPr>
          <w:sz w:val="20"/>
          <w:szCs w:val="20"/>
          <w:color w:val="auto"/>
        </w:rPr>
      </w:pPr>
      <w:r>
        <w:rPr>
          <w:rFonts w:ascii="Arial" w:cs="Arial" w:eastAsia="Arial" w:hAnsi="Arial"/>
          <w:sz w:val="17"/>
          <w:szCs w:val="17"/>
          <w:color w:val="auto"/>
        </w:rPr>
        <w:t>Certified Public Accountants (lsr.)</w:t>
      </w:r>
    </w:p>
    <w:p>
      <w:pPr>
        <w:spacing w:after="0"/>
        <w:rPr>
          <w:sz w:val="20"/>
          <w:szCs w:val="20"/>
          <w:color w:val="auto"/>
        </w:rPr>
      </w:pPr>
      <w:r>
        <w:rPr>
          <w:rFonts w:ascii="Arial" w:cs="Arial" w:eastAsia="Arial" w:hAnsi="Arial"/>
          <w:sz w:val="17"/>
          <w:szCs w:val="17"/>
          <w:color w:val="auto"/>
        </w:rPr>
        <w:t>A member firm of PricewaterhouseCoopers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643255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643255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643255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643255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-960755</wp:posOffset>
            </wp:positionH>
            <wp:positionV relativeFrom="paragraph">
              <wp:posOffset>643255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643255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643255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-909320</wp:posOffset>
            </wp:positionH>
            <wp:positionV relativeFrom="paragraph">
              <wp:posOffset>643255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-892175</wp:posOffset>
            </wp:positionH>
            <wp:positionV relativeFrom="paragraph">
              <wp:posOffset>643255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-875030</wp:posOffset>
            </wp:positionH>
            <wp:positionV relativeFrom="paragraph">
              <wp:posOffset>643255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643255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643255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643255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643255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643255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643255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643255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643255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643255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643255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643255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643255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643255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643255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643255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643255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643255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643255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643255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-532130</wp:posOffset>
            </wp:positionH>
            <wp:positionV relativeFrom="paragraph">
              <wp:posOffset>643255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-514985</wp:posOffset>
            </wp:positionH>
            <wp:positionV relativeFrom="paragraph">
              <wp:posOffset>643255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643255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643255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643255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-446405</wp:posOffset>
            </wp:positionH>
            <wp:positionV relativeFrom="paragraph">
              <wp:posOffset>643255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643255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643255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643255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wp:posOffset>
            </wp:positionH>
            <wp:positionV relativeFrom="paragraph">
              <wp:posOffset>643255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wp:posOffset>
            </wp:positionH>
            <wp:positionV relativeFrom="paragraph">
              <wp:posOffset>643255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wp:posOffset>
            </wp:positionH>
            <wp:positionV relativeFrom="paragraph">
              <wp:posOffset>643255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643255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643255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643255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643255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643255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643255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643255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643255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643255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643255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643255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643255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643255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643255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643255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643255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643255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643255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643255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643255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643255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643255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643255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643255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643255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643255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643255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643255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643255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643255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643255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643255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643255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643255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643255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643255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643255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643255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643255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643255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643255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643255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643255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643255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643255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643255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462280</wp:posOffset>
            </wp:positionH>
            <wp:positionV relativeFrom="paragraph">
              <wp:posOffset>643255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643255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496570</wp:posOffset>
            </wp:positionH>
            <wp:positionV relativeFrom="paragraph">
              <wp:posOffset>643255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643255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643255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548005</wp:posOffset>
            </wp:positionH>
            <wp:positionV relativeFrom="paragraph">
              <wp:posOffset>643255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643255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643255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643255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643255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643255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643255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643255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643255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643255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643255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643255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643255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770890</wp:posOffset>
            </wp:positionH>
            <wp:positionV relativeFrom="paragraph">
              <wp:posOffset>643255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643255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643255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643255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643255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643255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643255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890905</wp:posOffset>
            </wp:positionH>
            <wp:positionV relativeFrom="paragraph">
              <wp:posOffset>643255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643255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925195</wp:posOffset>
            </wp:positionH>
            <wp:positionV relativeFrom="paragraph">
              <wp:posOffset>643255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643255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643255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976630</wp:posOffset>
            </wp:positionH>
            <wp:positionV relativeFrom="paragraph">
              <wp:posOffset>643255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643255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643255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643255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1045210</wp:posOffset>
            </wp:positionH>
            <wp:positionV relativeFrom="paragraph">
              <wp:posOffset>643255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1062355</wp:posOffset>
            </wp:positionH>
            <wp:positionV relativeFrom="paragraph">
              <wp:posOffset>643255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1079500</wp:posOffset>
            </wp:positionH>
            <wp:positionV relativeFrom="paragraph">
              <wp:posOffset>643255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1096645</wp:posOffset>
            </wp:positionH>
            <wp:positionV relativeFrom="paragraph">
              <wp:posOffset>643255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1113790</wp:posOffset>
            </wp:positionH>
            <wp:positionV relativeFrom="paragraph">
              <wp:posOffset>643255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1130935</wp:posOffset>
            </wp:positionH>
            <wp:positionV relativeFrom="paragraph">
              <wp:posOffset>643255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643255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1165225</wp:posOffset>
            </wp:positionH>
            <wp:positionV relativeFrom="paragraph">
              <wp:posOffset>643255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1182370</wp:posOffset>
            </wp:positionH>
            <wp:positionV relativeFrom="paragraph">
              <wp:posOffset>643255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1199515</wp:posOffset>
            </wp:positionH>
            <wp:positionV relativeFrom="paragraph">
              <wp:posOffset>643255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643255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643255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643255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1268095</wp:posOffset>
            </wp:positionH>
            <wp:positionV relativeFrom="paragraph">
              <wp:posOffset>643255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1285240</wp:posOffset>
            </wp:positionH>
            <wp:positionV relativeFrom="paragraph">
              <wp:posOffset>643255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1302385</wp:posOffset>
            </wp:positionH>
            <wp:positionV relativeFrom="paragraph">
              <wp:posOffset>643255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1319530</wp:posOffset>
            </wp:positionH>
            <wp:positionV relativeFrom="paragraph">
              <wp:posOffset>643255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643255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1353820</wp:posOffset>
            </wp:positionH>
            <wp:positionV relativeFrom="paragraph">
              <wp:posOffset>643255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643255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1388110</wp:posOffset>
            </wp:positionH>
            <wp:positionV relativeFrom="paragraph">
              <wp:posOffset>643255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643255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1422400</wp:posOffset>
            </wp:positionH>
            <wp:positionV relativeFrom="paragraph">
              <wp:posOffset>643255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643255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643255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643255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1490980</wp:posOffset>
            </wp:positionH>
            <wp:positionV relativeFrom="paragraph">
              <wp:posOffset>643255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643255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1525270</wp:posOffset>
            </wp:positionH>
            <wp:positionV relativeFrom="paragraph">
              <wp:posOffset>643255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1542415</wp:posOffset>
            </wp:positionH>
            <wp:positionV relativeFrom="paragraph">
              <wp:posOffset>643255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643255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1576705</wp:posOffset>
            </wp:positionH>
            <wp:positionV relativeFrom="paragraph">
              <wp:posOffset>643255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1593850</wp:posOffset>
            </wp:positionH>
            <wp:positionV relativeFrom="paragraph">
              <wp:posOffset>643255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1610995</wp:posOffset>
            </wp:positionH>
            <wp:positionV relativeFrom="paragraph">
              <wp:posOffset>643255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1628140</wp:posOffset>
            </wp:positionH>
            <wp:positionV relativeFrom="paragraph">
              <wp:posOffset>643255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643255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1662430</wp:posOffset>
            </wp:positionH>
            <wp:positionV relativeFrom="paragraph">
              <wp:posOffset>643255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643255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1696720</wp:posOffset>
            </wp:positionH>
            <wp:positionV relativeFrom="paragraph">
              <wp:posOffset>643255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1713865</wp:posOffset>
            </wp:positionH>
            <wp:positionV relativeFrom="paragraph">
              <wp:posOffset>643255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1731010</wp:posOffset>
            </wp:positionH>
            <wp:positionV relativeFrom="paragraph">
              <wp:posOffset>643255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643255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1765300</wp:posOffset>
            </wp:positionH>
            <wp:positionV relativeFrom="paragraph">
              <wp:posOffset>643255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643255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1799590</wp:posOffset>
            </wp:positionH>
            <wp:positionV relativeFrom="paragraph">
              <wp:posOffset>643255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1816735</wp:posOffset>
            </wp:positionH>
            <wp:positionV relativeFrom="paragraph">
              <wp:posOffset>643255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1834515</wp:posOffset>
            </wp:positionH>
            <wp:positionV relativeFrom="paragraph">
              <wp:posOffset>643255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643255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643255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643255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1903095</wp:posOffset>
            </wp:positionH>
            <wp:positionV relativeFrom="paragraph">
              <wp:posOffset>643255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643255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643255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643255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643255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1988820</wp:posOffset>
            </wp:positionH>
            <wp:positionV relativeFrom="paragraph">
              <wp:posOffset>643255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643255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643255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2040255</wp:posOffset>
            </wp:positionH>
            <wp:positionV relativeFrom="paragraph">
              <wp:posOffset>643255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2057400</wp:posOffset>
            </wp:positionH>
            <wp:positionV relativeFrom="paragraph">
              <wp:posOffset>643255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643255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2091690</wp:posOffset>
            </wp:positionH>
            <wp:positionV relativeFrom="paragraph">
              <wp:posOffset>643255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643255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2125980</wp:posOffset>
            </wp:positionH>
            <wp:positionV relativeFrom="paragraph">
              <wp:posOffset>643255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2143125</wp:posOffset>
            </wp:positionH>
            <wp:positionV relativeFrom="paragraph">
              <wp:posOffset>643255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2160270</wp:posOffset>
            </wp:positionH>
            <wp:positionV relativeFrom="paragraph">
              <wp:posOffset>643255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643255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643255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643255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643255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643255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2263140</wp:posOffset>
            </wp:positionH>
            <wp:positionV relativeFrom="paragraph">
              <wp:posOffset>643255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643255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643255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643255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643255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643255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643255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643255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643255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643255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643255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643255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643255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643255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643255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643255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643255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2554605</wp:posOffset>
            </wp:positionH>
            <wp:positionV relativeFrom="paragraph">
              <wp:posOffset>643255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2571750</wp:posOffset>
            </wp:positionH>
            <wp:positionV relativeFrom="paragraph">
              <wp:posOffset>643255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643255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643255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643255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643255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643255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643255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643255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643255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2726055</wp:posOffset>
            </wp:positionH>
            <wp:positionV relativeFrom="paragraph">
              <wp:posOffset>643255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643255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643255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643255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2794635</wp:posOffset>
            </wp:positionH>
            <wp:positionV relativeFrom="paragraph">
              <wp:posOffset>643255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643255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643255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643255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643255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643255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643255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643255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643255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643255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643255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643255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643255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643255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643255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643255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3068955</wp:posOffset>
            </wp:positionH>
            <wp:positionV relativeFrom="paragraph">
              <wp:posOffset>643255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643255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643255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643255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643255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643255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643255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643255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643255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643255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3240405</wp:posOffset>
            </wp:positionH>
            <wp:positionV relativeFrom="paragraph">
              <wp:posOffset>643255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643255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643255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67" w:lineRule="exact"/>
        <w:rPr>
          <w:sz w:val="20"/>
          <w:szCs w:val="20"/>
          <w:color w:val="auto"/>
        </w:rPr>
      </w:pPr>
    </w:p>
    <w:p>
      <w:pPr>
        <w:sectPr>
          <w:pgSz w:w="11900" w:h="16838" w:orient="portrait"/>
          <w:cols w:equalWidth="0" w:num="2">
            <w:col w:w="5340" w:space="720"/>
            <w:col w:w="5160"/>
          </w:cols>
          <w:pgMar w:left="240" w:top="459" w:right="4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Kesselman &amp; Kesselman, Trade Tower, 25 Hamered Street, Tel-Aviv 6812508,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b w:val="1"/>
          <w:bCs w:val="1"/>
          <w:i w:val="1"/>
          <w:iCs w:val="1"/>
          <w:color w:val="auto"/>
        </w:rPr>
        <w:t>P.O Box 50005 Tel-Aviv 6150001 Telephone: +972-3-7954555, Fax: +972-3-7954556, www.pwc.com/il</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20"/>
          </w:cols>
          <w:pgMar w:left="240" w:top="459" w:right="43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80" w:type="dxa"/>
            <w:vAlign w:val="bottom"/>
            <w:shd w:val="clear" w:color="auto" w:fill="CCEEFF"/>
          </w:tcPr>
          <w:p>
            <w:pPr>
              <w:ind w:left="5140"/>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b w:val="1"/>
                <w:bCs w:val="1"/>
                <w:color w:val="auto"/>
              </w:rPr>
              <w:t>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21,362</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17,975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Accounts receivable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tcPr>
          <w:p>
            <w:pPr>
              <w:ind w:left="240"/>
              <w:spacing w:after="0" w:line="189" w:lineRule="exact"/>
              <w:rPr>
                <w:sz w:val="20"/>
                <w:szCs w:val="20"/>
                <w:color w:val="auto"/>
              </w:rPr>
            </w:pPr>
            <w:r>
              <w:rPr>
                <w:rFonts w:ascii="Arial" w:cs="Arial" w:eastAsia="Arial" w:hAnsi="Arial"/>
                <w:sz w:val="17"/>
                <w:szCs w:val="17"/>
                <w:color w:val="auto"/>
              </w:rPr>
              <w:t>Inventory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105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1,135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0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tcPr>
          <w:p>
            <w:pPr>
              <w:ind w:left="240"/>
              <w:spacing w:after="0" w:line="189" w:lineRule="exact"/>
              <w:rPr>
                <w:sz w:val="20"/>
                <w:szCs w:val="20"/>
                <w:color w:val="auto"/>
              </w:rPr>
            </w:pPr>
            <w:r>
              <w:rPr>
                <w:rFonts w:ascii="Arial" w:cs="Arial" w:eastAsia="Arial" w:hAnsi="Arial"/>
                <w:sz w:val="17"/>
                <w:szCs w:val="17"/>
                <w:color w:val="auto"/>
              </w:rPr>
              <w:t>Property and equipment,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741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Pr>
          <w:p>
            <w:pPr>
              <w:ind w:left="240"/>
              <w:spacing w:after="0" w:line="189" w:lineRule="exact"/>
              <w:rPr>
                <w:sz w:val="20"/>
                <w:szCs w:val="20"/>
                <w:color w:val="auto"/>
              </w:rPr>
            </w:pPr>
            <w:r>
              <w:rPr>
                <w:rFonts w:ascii="Arial" w:cs="Arial" w:eastAsia="Arial" w:hAnsi="Arial"/>
                <w:sz w:val="17"/>
                <w:szCs w:val="17"/>
                <w:color w:val="auto"/>
              </w:rPr>
              <w:t>Other non-current assets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23,056</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19,390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392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0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tcPr>
          <w:p>
            <w:pPr>
              <w:ind w:left="480"/>
              <w:spacing w:after="0" w:line="189" w:lineRule="exact"/>
              <w:rPr>
                <w:sz w:val="20"/>
                <w:szCs w:val="20"/>
                <w:color w:val="auto"/>
              </w:rPr>
            </w:pPr>
            <w:r>
              <w:rPr>
                <w:rFonts w:ascii="Arial" w:cs="Arial" w:eastAsia="Arial" w:hAnsi="Arial"/>
                <w:sz w:val="17"/>
                <w:szCs w:val="17"/>
                <w:color w:val="auto"/>
              </w:rPr>
              <w:t>Accounts payable, accrued expenses and advances</w:t>
            </w:r>
          </w:p>
        </w:tc>
        <w:tc>
          <w:tcPr>
            <w:tcW w:w="10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1,880</w:t>
            </w:r>
          </w:p>
        </w:tc>
        <w:tc>
          <w:tcPr>
            <w:tcW w:w="240" w:type="dxa"/>
            <w:vAlign w:val="bottom"/>
          </w:tcPr>
          <w:p>
            <w:pPr>
              <w:spacing w:after="0"/>
              <w:rPr>
                <w:sz w:val="16"/>
                <w:szCs w:val="16"/>
                <w:color w:val="auto"/>
              </w:rPr>
            </w:pP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1,728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Employee related accrued expenses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Pr>
          <w:p>
            <w:pPr>
              <w:ind w:left="480"/>
              <w:spacing w:after="0" w:line="189" w:lineRule="exact"/>
              <w:rPr>
                <w:sz w:val="20"/>
                <w:szCs w:val="20"/>
                <w:color w:val="auto"/>
              </w:rPr>
            </w:pPr>
            <w:r>
              <w:rPr>
                <w:rFonts w:ascii="Arial" w:cs="Arial" w:eastAsia="Arial" w:hAnsi="Arial"/>
                <w:sz w:val="17"/>
                <w:szCs w:val="17"/>
                <w:color w:val="auto"/>
              </w:rPr>
              <w:t>Proceeds from exercise of warrants for preferred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CURRENT LIABILITIES</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3,137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00" w:type="dxa"/>
            <w:vAlign w:val="bottom"/>
            <w:gridSpan w:val="2"/>
          </w:tcPr>
          <w:p>
            <w:pPr>
              <w:spacing w:after="0"/>
              <w:rPr>
                <w:sz w:val="20"/>
                <w:szCs w:val="20"/>
                <w:color w:val="auto"/>
              </w:rPr>
            </w:pPr>
            <w:r>
              <w:rPr>
                <w:rFonts w:ascii="Arial" w:cs="Arial" w:eastAsia="Arial" w:hAnsi="Arial"/>
                <w:sz w:val="17"/>
                <w:szCs w:val="17"/>
                <w:b w:val="1"/>
                <w:bCs w:val="1"/>
                <w:color w:val="auto"/>
              </w:rPr>
              <w:t>NON-CURRENT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Warrants for preferred shares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3,612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b w:val="1"/>
                <w:bCs w:val="1"/>
                <w:color w:val="auto"/>
              </w:rPr>
              <w:t>COMMITMENTS AND CONTINGENCIES (Note 6)</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6,749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3,109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0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8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NIS 0.01 par value: 17,600,000 shares authorized at December 31, 2016 and 2015; 2,305,743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and 2,300,959 issued and outstanding as of December 31, 2016 and 2015,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80" w:type="dxa"/>
            <w:vAlign w:val="bottom"/>
          </w:tcPr>
          <w:p>
            <w:pPr>
              <w:ind w:left="240"/>
              <w:spacing w:after="0" w:line="183" w:lineRule="exact"/>
              <w:rPr>
                <w:sz w:val="20"/>
                <w:szCs w:val="20"/>
                <w:color w:val="auto"/>
              </w:rPr>
            </w:pPr>
            <w:r>
              <w:rPr>
                <w:rFonts w:ascii="Arial" w:cs="Arial" w:eastAsia="Arial" w:hAnsi="Arial"/>
                <w:sz w:val="17"/>
                <w:szCs w:val="17"/>
                <w:color w:val="auto"/>
              </w:rPr>
              <w:t>Series A and A-1 preferred shares, NIS 0.01 par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tcPr>
          <w:p>
            <w:pPr>
              <w:ind w:left="480"/>
              <w:spacing w:after="0" w:line="189" w:lineRule="exact"/>
              <w:rPr>
                <w:sz w:val="20"/>
                <w:szCs w:val="20"/>
                <w:color w:val="auto"/>
              </w:rPr>
            </w:pPr>
            <w:r>
              <w:rPr>
                <w:rFonts w:ascii="Arial" w:cs="Arial" w:eastAsia="Arial" w:hAnsi="Arial"/>
                <w:sz w:val="17"/>
                <w:szCs w:val="17"/>
                <w:color w:val="auto"/>
              </w:rPr>
              <w:t>14,400,000 shares authorized at December 31, 2016 and 2015; 5,193,427 shares issued and outstanding at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80" w:type="dxa"/>
            <w:vAlign w:val="bottom"/>
          </w:tcPr>
          <w:p>
            <w:pPr>
              <w:ind w:left="480"/>
              <w:spacing w:after="0"/>
              <w:rPr>
                <w:sz w:val="20"/>
                <w:szCs w:val="20"/>
                <w:color w:val="auto"/>
              </w:rPr>
            </w:pPr>
            <w:r>
              <w:rPr>
                <w:rFonts w:ascii="Arial" w:cs="Arial" w:eastAsia="Arial" w:hAnsi="Arial"/>
                <w:sz w:val="17"/>
                <w:szCs w:val="17"/>
                <w:color w:val="auto"/>
              </w:rPr>
              <w:t>December 31, 2016 and 2015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43,502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41,535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(27,214)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(25,273)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SHAREHOLDERS’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16,307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16,281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0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23,056</w:t>
            </w:r>
          </w:p>
        </w:tc>
        <w:tc>
          <w:tcPr>
            <w:tcW w:w="24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19,390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REVENUES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17,530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b w:val="1"/>
                <w:bCs w:val="1"/>
                <w:color w:val="auto"/>
              </w:rPr>
              <w:t>COST OF REVENUES</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GROSS PROFIT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17,502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b w:val="1"/>
                <w:bCs w:val="1"/>
                <w:color w:val="auto"/>
              </w:rPr>
              <w:t>OPERATING EXPENSES: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b w:val="1"/>
                <w:bCs w:val="1"/>
                <w:color w:val="auto"/>
              </w:rPr>
              <w:t>RESEARCH AND DEVELOPMENT EXPENSES, NET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10,287</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10,515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ind w:left="240"/>
              <w:spacing w:after="0" w:line="189" w:lineRule="exact"/>
              <w:rPr>
                <w:sz w:val="20"/>
                <w:szCs w:val="20"/>
                <w:color w:val="auto"/>
              </w:rPr>
            </w:pPr>
            <w:r>
              <w:rPr>
                <w:rFonts w:ascii="Arial" w:cs="Arial" w:eastAsia="Arial" w:hAnsi="Arial"/>
                <w:sz w:val="17"/>
                <w:szCs w:val="17"/>
                <w:b w:val="1"/>
                <w:bCs w:val="1"/>
                <w:color w:val="auto"/>
              </w:rPr>
              <w:t>GENERAL AND ADMINISTRATIVE EXPENSES</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6,417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INCOME (LOSS)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(12,410)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b w:val="1"/>
                <w:bCs w:val="1"/>
                <w:color w:val="auto"/>
              </w:rPr>
              <w:t>FINANCE EXPENSES, NET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2,739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(1,941)</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(12,689)</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PER ORDINARY SHARE BASIC AND DILUTED</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gridSpan w:val="2"/>
            <w:vMerge w:val="continue"/>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80"/>
              <w:spacing w:after="0" w:line="183" w:lineRule="exact"/>
              <w:rPr>
                <w:sz w:val="20"/>
                <w:szCs w:val="20"/>
                <w:color w:val="auto"/>
              </w:rPr>
            </w:pPr>
            <w:r>
              <w:rPr>
                <w:rFonts w:ascii="Arial" w:cs="Arial" w:eastAsia="Arial" w:hAnsi="Arial"/>
                <w:sz w:val="17"/>
                <w:szCs w:val="17"/>
                <w:color w:val="auto"/>
              </w:rPr>
              <w:t>(1.91)</w:t>
            </w:r>
          </w:p>
        </w:tc>
        <w:tc>
          <w:tcPr>
            <w:tcW w:w="4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100" w:type="dxa"/>
            <w:vAlign w:val="bottom"/>
            <w:shd w:val="clear" w:color="auto" w:fill="CCEEFF"/>
          </w:tcPr>
          <w:p>
            <w:pPr>
              <w:spacing w:after="0" w:line="157" w:lineRule="exact"/>
              <w:rPr>
                <w:sz w:val="20"/>
                <w:szCs w:val="20"/>
                <w:color w:val="auto"/>
              </w:rPr>
            </w:pPr>
            <w:r>
              <w:rPr>
                <w:rFonts w:ascii="Arial" w:cs="Arial" w:eastAsia="Arial" w:hAnsi="Arial"/>
                <w:sz w:val="17"/>
                <w:szCs w:val="17"/>
                <w:b w:val="1"/>
                <w:bCs w:val="1"/>
                <w:color w:val="auto"/>
              </w:rPr>
              <w:t>WEIGHTED AVERAGE NUMBER OF SHARES OUTSTANDING USED IN COMPUTATION OF BASIC</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AND DILUTED LOSS PER ORDINARY SHARE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2,305,503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ORDINARY</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rPr>
              <w:t>PREFERRED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ADDITIONAL</w:t>
            </w: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146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PAID-IN CAPITAL</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NUMBER OF</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9"/>
              </w:rPr>
              <w:t>NUMBER OF</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2015</w:t>
            </w: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2,300,959</w:t>
            </w:r>
          </w:p>
        </w:tc>
        <w:tc>
          <w:tcPr>
            <w:tcW w:w="60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1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862,103</w:t>
            </w:r>
          </w:p>
        </w:tc>
        <w:tc>
          <w:tcPr>
            <w:tcW w:w="60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38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15,739</w:t>
            </w:r>
          </w:p>
        </w:tc>
        <w:tc>
          <w:tcPr>
            <w:tcW w:w="440" w:type="dxa"/>
            <w:vAlign w:val="bottom"/>
            <w:gridSpan w:val="2"/>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(12,584)</w:t>
            </w:r>
          </w:p>
        </w:tc>
        <w:tc>
          <w:tcPr>
            <w:tcW w:w="2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CHANGES DURING 2015: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Issuance of preferred shares, net of issuance</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costs</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3,635,124</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21,246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21,255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120" w:type="dxa"/>
            <w:vAlign w:val="bottom"/>
            <w:gridSpan w:val="2"/>
          </w:tcPr>
          <w:p>
            <w:pPr>
              <w:spacing w:after="0"/>
              <w:rPr>
                <w:sz w:val="20"/>
                <w:szCs w:val="20"/>
                <w:color w:val="auto"/>
              </w:rPr>
            </w:pPr>
            <w:r>
              <w:rPr>
                <w:rFonts w:ascii="Arial" w:cs="Arial" w:eastAsia="Arial" w:hAnsi="Arial"/>
                <w:sz w:val="14"/>
                <w:szCs w:val="14"/>
                <w:color w:val="auto"/>
              </w:rPr>
              <w:t>Purchase of IP R&amp;D in consideration for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tcPr>
          <w:p>
            <w:pPr>
              <w:ind w:left="240"/>
              <w:spacing w:after="0" w:line="157" w:lineRule="exact"/>
              <w:rPr>
                <w:sz w:val="20"/>
                <w:szCs w:val="20"/>
                <w:color w:val="auto"/>
              </w:rPr>
            </w:pPr>
            <w:r>
              <w:rPr>
                <w:rFonts w:ascii="Arial" w:cs="Arial" w:eastAsia="Arial" w:hAnsi="Arial"/>
                <w:sz w:val="14"/>
                <w:szCs w:val="14"/>
                <w:color w:val="auto"/>
              </w:rPr>
              <w:t>Preferred A Shares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691,200</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4,101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4,103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(12,689)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(12,689)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2015</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2,300,959</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5,193,427</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CHANGES DURING 2016:</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Exercise of options into ordinary shares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DECEMBER 31, 2016</w:t>
            </w: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2,305,743</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5,193,427</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43,502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(27,214)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16,307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ind w:left="5600" w:right="3760" w:hanging="1653"/>
        <w:spacing w:after="0" w:line="423" w:lineRule="auto"/>
        <w:tabs>
          <w:tab w:leader="none" w:pos="418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Represents amount less than one thousand </w:t>
      </w:r>
      <w:r>
        <w:rPr>
          <w:rFonts w:ascii="Arial" w:cs="Arial" w:eastAsia="Arial" w:hAnsi="Arial"/>
          <w:sz w:val="16"/>
          <w:szCs w:val="16"/>
          <w:color w:val="auto"/>
        </w:rPr>
        <w:t>F-5</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80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06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6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(1,941)</w:t>
            </w:r>
          </w:p>
        </w:tc>
        <w:tc>
          <w:tcPr>
            <w:tcW w:w="4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(12,689)</w:t>
            </w: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Adjustments required to reconcile net loss to net cash used in operating activities: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60" w:type="dxa"/>
            <w:vAlign w:val="bottom"/>
          </w:tcPr>
          <w:p>
            <w:pPr>
              <w:ind w:left="480"/>
              <w:spacing w:after="0" w:line="189" w:lineRule="exact"/>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213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113</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In process R&amp;D</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4,103</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60" w:type="dxa"/>
            <w:vAlign w:val="bottom"/>
          </w:tcPr>
          <w:p>
            <w:pPr>
              <w:ind w:left="480"/>
              <w:spacing w:after="0" w:line="189" w:lineRule="exact"/>
              <w:rPr>
                <w:sz w:val="20"/>
                <w:szCs w:val="20"/>
                <w:color w:val="auto"/>
              </w:rPr>
            </w:pPr>
            <w:r>
              <w:rPr>
                <w:rFonts w:ascii="Arial" w:cs="Arial" w:eastAsia="Arial" w:hAnsi="Arial"/>
                <w:sz w:val="17"/>
                <w:szCs w:val="17"/>
                <w:color w:val="auto"/>
              </w:rPr>
              <w:t>Share based compensation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1,967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449</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Exchange rates differences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8060" w:type="dxa"/>
            <w:vAlign w:val="bottom"/>
          </w:tcPr>
          <w:p>
            <w:pPr>
              <w:ind w:left="480"/>
              <w:spacing w:after="0" w:line="189" w:lineRule="exact"/>
              <w:rPr>
                <w:sz w:val="20"/>
                <w:szCs w:val="20"/>
                <w:color w:val="auto"/>
              </w:rPr>
            </w:pPr>
            <w:r>
              <w:rPr>
                <w:rFonts w:ascii="Arial" w:cs="Arial" w:eastAsia="Arial" w:hAnsi="Arial"/>
                <w:sz w:val="17"/>
                <w:szCs w:val="17"/>
                <w:color w:val="auto"/>
              </w:rPr>
              <w:t>Fair value adjustment of warrants for preferred shares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2,740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241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 and liabilities: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060" w:type="dxa"/>
            <w:vAlign w:val="bottom"/>
          </w:tcPr>
          <w:p>
            <w:pPr>
              <w:ind w:left="480"/>
              <w:spacing w:after="0" w:line="189" w:lineRule="exact"/>
              <w:rPr>
                <w:sz w:val="20"/>
                <w:szCs w:val="20"/>
                <w:color w:val="auto"/>
              </w:rPr>
            </w:pPr>
            <w:r>
              <w:rPr>
                <w:rFonts w:ascii="Arial" w:cs="Arial" w:eastAsia="Arial" w:hAnsi="Arial"/>
                <w:sz w:val="17"/>
                <w:szCs w:val="17"/>
                <w:color w:val="auto"/>
              </w:rPr>
              <w:t>Increase in inventory</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Increase in accounts receivable</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(83)</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060" w:type="dxa"/>
            <w:vAlign w:val="bottom"/>
          </w:tcPr>
          <w:p>
            <w:pPr>
              <w:ind w:left="480"/>
              <w:spacing w:after="0" w:line="189" w:lineRule="exact"/>
              <w:rPr>
                <w:sz w:val="20"/>
                <w:szCs w:val="20"/>
                <w:color w:val="auto"/>
              </w:rPr>
            </w:pPr>
            <w:r>
              <w:rPr>
                <w:rFonts w:ascii="Arial" w:cs="Arial" w:eastAsia="Arial" w:hAnsi="Arial"/>
                <w:sz w:val="17"/>
                <w:szCs w:val="17"/>
                <w:color w:val="auto"/>
              </w:rPr>
              <w:t>Decrease (increase) in prepaid expenses and other current assets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739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(737)</w:t>
            </w: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Increase in accounts payable, accrued expenses and advances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481</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1,155</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060" w:type="dxa"/>
            <w:vAlign w:val="bottom"/>
          </w:tcPr>
          <w:p>
            <w:pPr>
              <w:ind w:left="480"/>
              <w:spacing w:after="0" w:line="189" w:lineRule="exact"/>
              <w:rPr>
                <w:sz w:val="20"/>
                <w:szCs w:val="20"/>
                <w:color w:val="auto"/>
              </w:rPr>
            </w:pPr>
            <w:r>
              <w:rPr>
                <w:rFonts w:ascii="Arial" w:cs="Arial" w:eastAsia="Arial" w:hAnsi="Arial"/>
                <w:sz w:val="17"/>
                <w:szCs w:val="17"/>
                <w:color w:val="auto"/>
              </w:rPr>
              <w:t>Increase in employee related accrued expenses</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191</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cash provided by (used in) operating activities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4,189</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(7,175)</w:t>
            </w:r>
          </w:p>
        </w:tc>
      </w:tr>
      <w:tr>
        <w:trPr>
          <w:trHeight w:val="196"/>
        </w:trPr>
        <w:tc>
          <w:tcPr>
            <w:tcW w:w="80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 in restricted deposit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(98)</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060" w:type="dxa"/>
            <w:vAlign w:val="bottom"/>
          </w:tcPr>
          <w:p>
            <w:pPr>
              <w:ind w:left="240"/>
              <w:spacing w:after="0" w:line="189" w:lineRule="exact"/>
              <w:rPr>
                <w:sz w:val="20"/>
                <w:szCs w:val="20"/>
                <w:color w:val="auto"/>
              </w:rPr>
            </w:pPr>
            <w:r>
              <w:rPr>
                <w:rFonts w:ascii="Arial" w:cs="Arial" w:eastAsia="Arial" w:hAnsi="Arial"/>
                <w:sz w:val="17"/>
                <w:szCs w:val="17"/>
                <w:color w:val="auto"/>
              </w:rPr>
              <w:t>Purchase of property and equipment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(695)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cash used in investing activities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(793)</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196"/>
        </w:trPr>
        <w:tc>
          <w:tcPr>
            <w:tcW w:w="80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Exercise of options into ordinary shares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060" w:type="dxa"/>
            <w:vAlign w:val="bottom"/>
          </w:tcPr>
          <w:p>
            <w:pPr>
              <w:ind w:left="240"/>
              <w:spacing w:after="0" w:line="189" w:lineRule="exact"/>
              <w:rPr>
                <w:sz w:val="20"/>
                <w:szCs w:val="20"/>
                <w:color w:val="auto"/>
              </w:rPr>
            </w:pPr>
            <w:r>
              <w:rPr>
                <w:rFonts w:ascii="Arial" w:cs="Arial" w:eastAsia="Arial" w:hAnsi="Arial"/>
                <w:sz w:val="17"/>
                <w:szCs w:val="17"/>
                <w:color w:val="auto"/>
              </w:rPr>
              <w:t>Proceeds from exercise of warrants for preferred shares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570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Issuance cost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(579)</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3"/>
        </w:trPr>
        <w:tc>
          <w:tcPr>
            <w:tcW w:w="20" w:type="dxa"/>
            <w:vAlign w:val="bottom"/>
          </w:tcPr>
          <w:p>
            <w:pPr>
              <w:spacing w:after="0"/>
              <w:rPr>
                <w:sz w:val="15"/>
                <w:szCs w:val="15"/>
                <w:color w:val="auto"/>
              </w:rPr>
            </w:pPr>
          </w:p>
        </w:tc>
        <w:tc>
          <w:tcPr>
            <w:tcW w:w="8060" w:type="dxa"/>
            <w:vAlign w:val="bottom"/>
          </w:tcPr>
          <w:p>
            <w:pPr>
              <w:ind w:left="240"/>
              <w:spacing w:after="0" w:line="183" w:lineRule="exact"/>
              <w:rPr>
                <w:sz w:val="20"/>
                <w:szCs w:val="20"/>
                <w:color w:val="auto"/>
              </w:rPr>
            </w:pPr>
            <w:r>
              <w:rPr>
                <w:rFonts w:ascii="Arial" w:cs="Arial" w:eastAsia="Arial" w:hAnsi="Arial"/>
                <w:sz w:val="17"/>
                <w:szCs w:val="17"/>
                <w:color w:val="auto"/>
              </w:rPr>
              <w:t>Proceeds from issuance of preferred shares from 2014 Share Purchase Agreement net of issuance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480"/>
              <w:spacing w:after="0"/>
              <w:rPr>
                <w:sz w:val="20"/>
                <w:szCs w:val="20"/>
                <w:color w:val="auto"/>
              </w:rPr>
            </w:pPr>
            <w:r>
              <w:rPr>
                <w:rFonts w:ascii="Arial" w:cs="Arial" w:eastAsia="Arial" w:hAnsi="Arial"/>
                <w:sz w:val="17"/>
                <w:szCs w:val="17"/>
                <w:color w:val="auto"/>
              </w:rPr>
              <w:t>cost</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21,581</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(9)</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21,581</w:t>
            </w:r>
          </w:p>
        </w:tc>
        <w:tc>
          <w:tcPr>
            <w:tcW w:w="120" w:type="dxa"/>
            <w:vAlign w:val="bottom"/>
            <w:shd w:val="clear" w:color="auto" w:fill="CCEEFF"/>
          </w:tcPr>
          <w:p>
            <w:pPr>
              <w:spacing w:after="0"/>
              <w:rPr>
                <w:sz w:val="16"/>
                <w:szCs w:val="16"/>
                <w:color w:val="auto"/>
              </w:rPr>
            </w:pPr>
          </w:p>
        </w:tc>
      </w:tr>
      <w:tr>
        <w:trPr>
          <w:trHeight w:val="196"/>
        </w:trPr>
        <w:tc>
          <w:tcPr>
            <w:tcW w:w="8080" w:type="dxa"/>
            <w:vAlign w:val="bottom"/>
            <w:gridSpan w:val="2"/>
          </w:tcPr>
          <w:p>
            <w:pPr>
              <w:spacing w:after="0"/>
              <w:rPr>
                <w:sz w:val="20"/>
                <w:szCs w:val="20"/>
                <w:color w:val="auto"/>
              </w:rPr>
            </w:pPr>
            <w:r>
              <w:rPr>
                <w:rFonts w:ascii="Arial" w:cs="Arial" w:eastAsia="Arial" w:hAnsi="Arial"/>
                <w:sz w:val="17"/>
                <w:szCs w:val="17"/>
                <w:b w:val="1"/>
                <w:bCs w:val="1"/>
                <w:color w:val="auto"/>
              </w:rPr>
              <w:t>INCREASE IN CASH AND CASH EQUIVALENTS</w:t>
            </w: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14,105</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0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OF CASH AND CASH EQUIVALENTS AT BEGINNING OF THE YEAR</w:t>
            </w:r>
          </w:p>
        </w:tc>
        <w:tc>
          <w:tcPr>
            <w:tcW w:w="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17,975</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3,870</w:t>
            </w:r>
          </w:p>
        </w:tc>
        <w:tc>
          <w:tcPr>
            <w:tcW w:w="120" w:type="dxa"/>
            <w:vAlign w:val="bottom"/>
            <w:shd w:val="clear" w:color="auto" w:fill="CCEEFF"/>
          </w:tcPr>
          <w:p>
            <w:pPr>
              <w:spacing w:after="0"/>
              <w:rPr>
                <w:sz w:val="16"/>
                <w:szCs w:val="16"/>
                <w:color w:val="auto"/>
              </w:rPr>
            </w:pPr>
          </w:p>
        </w:tc>
      </w:tr>
      <w:tr>
        <w:trPr>
          <w:trHeight w:val="196"/>
        </w:trPr>
        <w:tc>
          <w:tcPr>
            <w:tcW w:w="8080" w:type="dxa"/>
            <w:vAlign w:val="bottom"/>
            <w:gridSpan w:val="2"/>
          </w:tcPr>
          <w:p>
            <w:pPr>
              <w:spacing w:after="0"/>
              <w:rPr>
                <w:sz w:val="20"/>
                <w:szCs w:val="20"/>
                <w:color w:val="auto"/>
              </w:rPr>
            </w:pPr>
            <w:r>
              <w:rPr>
                <w:rFonts w:ascii="Arial" w:cs="Arial" w:eastAsia="Arial" w:hAnsi="Arial"/>
                <w:sz w:val="17"/>
                <w:szCs w:val="17"/>
                <w:b w:val="1"/>
                <w:bCs w:val="1"/>
                <w:color w:val="auto"/>
              </w:rPr>
              <w:t>BALANCE OF CASH AND CASH EQUIVALENTS AT END OF THE YEAR</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21,362</w:t>
            </w:r>
          </w:p>
        </w:tc>
        <w:tc>
          <w:tcPr>
            <w:tcW w:w="34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17,975</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060" w:type="dxa"/>
            <w:vAlign w:val="bottom"/>
          </w:tcPr>
          <w:p>
            <w:pPr>
              <w:ind w:left="240"/>
              <w:spacing w:after="0" w:line="189" w:lineRule="exact"/>
              <w:rPr>
                <w:sz w:val="20"/>
                <w:szCs w:val="20"/>
                <w:color w:val="auto"/>
              </w:rPr>
            </w:pPr>
            <w:r>
              <w:rPr>
                <w:rFonts w:ascii="Arial" w:cs="Arial" w:eastAsia="Arial" w:hAnsi="Arial"/>
                <w:sz w:val="17"/>
                <w:szCs w:val="17"/>
                <w:color w:val="auto"/>
              </w:rPr>
              <w:t>Purchase of IP R&amp;D in consideration for Preferred A Shares</w:t>
            </w: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4,103</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Non cash issuance cost</w:t>
            </w:r>
          </w:p>
        </w:tc>
        <w:tc>
          <w:tcPr>
            <w:tcW w:w="5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181</w:t>
            </w:r>
          </w:p>
        </w:tc>
        <w:tc>
          <w:tcPr>
            <w:tcW w:w="3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1—NATURE OF OPERATIONS</w:t>
      </w:r>
    </w:p>
    <w:p>
      <w:pPr>
        <w:spacing w:after="0" w:line="93" w:lineRule="exact"/>
        <w:rPr>
          <w:sz w:val="20"/>
          <w:szCs w:val="20"/>
          <w:color w:val="auto"/>
        </w:rPr>
      </w:pPr>
    </w:p>
    <w:p>
      <w:pPr>
        <w:ind w:left="520" w:hanging="316"/>
        <w:spacing w:after="0"/>
        <w:tabs>
          <w:tab w:leader="none" w:pos="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UroGen Pharma Ltd. (formerly TheraCoat Ltd.) is an Israeli company incorporated in April 2004 (“UPL”).</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UroGen Pharma Inc., a subsidiary of UPL, was incorporated in Delaware in October 2015 and began operating in February 2016 (“UPI”).</w:t>
      </w:r>
    </w:p>
    <w:p>
      <w:pPr>
        <w:spacing w:after="0" w:line="34" w:lineRule="exact"/>
        <w:rPr>
          <w:rFonts w:ascii="Arial" w:cs="Arial" w:eastAsia="Arial" w:hAnsi="Arial"/>
          <w:sz w:val="17"/>
          <w:szCs w:val="17"/>
          <w:color w:val="auto"/>
        </w:rPr>
      </w:pPr>
    </w:p>
    <w:p>
      <w:pPr>
        <w:ind w:left="540" w:right="300"/>
        <w:spacing w:after="0" w:line="243" w:lineRule="auto"/>
        <w:rPr>
          <w:rFonts w:ascii="Arial" w:cs="Arial" w:eastAsia="Arial" w:hAnsi="Arial"/>
          <w:sz w:val="17"/>
          <w:szCs w:val="17"/>
          <w:color w:val="auto"/>
        </w:rPr>
      </w:pPr>
      <w:r>
        <w:rPr>
          <w:rFonts w:ascii="Arial" w:cs="Arial" w:eastAsia="Arial" w:hAnsi="Arial"/>
          <w:sz w:val="17"/>
          <w:szCs w:val="17"/>
          <w:color w:val="auto"/>
        </w:rPr>
        <w:t>UPL and UPI (together the “Company”) is a clinical stage biopharmaceutical company focused on developing novel therapies designed to change the standard of care for urological pathologies.</w:t>
      </w:r>
    </w:p>
    <w:p>
      <w:pPr>
        <w:spacing w:after="0" w:line="22" w:lineRule="exact"/>
        <w:rPr>
          <w:rFonts w:ascii="Arial" w:cs="Arial" w:eastAsia="Arial" w:hAnsi="Arial"/>
          <w:sz w:val="17"/>
          <w:szCs w:val="17"/>
          <w:color w:val="auto"/>
        </w:rPr>
      </w:pPr>
    </w:p>
    <w:p>
      <w:pPr>
        <w:ind w:left="520" w:right="20" w:hanging="316"/>
        <w:spacing w:after="0" w:line="235" w:lineRule="auto"/>
        <w:tabs>
          <w:tab w:leader="none" w:pos="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August 2015 the Company entered into an agreement with Allergan Pharmaceuticals International Limited (“Allergan”), a wholly owned subsidiary of Allergan plc, pursuant to which the Company undertook to supply its gel product and supporting services to Allergan for consideration of $750, to allow Allergan to conduct certain scientific investigations aimed at testing utility of the Company’s gel product for the delivery of a certain proprietary product of Allergan. Further, the Company granted Allergan a time limited option to negotiate an exclusive, worldwide right to research, develop, make and have made, use, sell, offer to sell and import the Company’s product in combination with Allergan’s product.</w:t>
      </w:r>
    </w:p>
    <w:p>
      <w:pPr>
        <w:spacing w:after="0" w:line="13" w:lineRule="exact"/>
        <w:rPr>
          <w:rFonts w:ascii="Arial" w:cs="Arial" w:eastAsia="Arial" w:hAnsi="Arial"/>
          <w:sz w:val="17"/>
          <w:szCs w:val="17"/>
          <w:color w:val="auto"/>
        </w:rPr>
      </w:pPr>
    </w:p>
    <w:p>
      <w:pPr>
        <w:ind w:left="540"/>
        <w:spacing w:after="0" w:line="235" w:lineRule="auto"/>
        <w:rPr>
          <w:rFonts w:ascii="Arial" w:cs="Arial" w:eastAsia="Arial" w:hAnsi="Arial"/>
          <w:sz w:val="17"/>
          <w:szCs w:val="17"/>
          <w:color w:val="auto"/>
        </w:rPr>
      </w:pPr>
      <w:r>
        <w:rPr>
          <w:rFonts w:ascii="Arial" w:cs="Arial" w:eastAsia="Arial" w:hAnsi="Arial"/>
          <w:sz w:val="17"/>
          <w:szCs w:val="17"/>
          <w:color w:val="auto"/>
        </w:rPr>
        <w:t>Pursuant to the terms of the agreement from 2015, on October 7, 2016, the Company entered into an exclusive license agreement with Allergan to license worldwide rights to some of its products indicated for use with neurotoxins. As stipulated in the agreement, Allergan paid a non-refundable upfront fee of $17.5 million in accordance with the terms of the license agreement. Allergan shall pay the Company additional milestone payments of up to $207.5 million and tiered royalty payments as a percentage of net sales of the licensed product all as stated in the agreement.</w:t>
      </w:r>
    </w:p>
    <w:p>
      <w:pPr>
        <w:spacing w:after="0" w:line="28" w:lineRule="exact"/>
        <w:rPr>
          <w:rFonts w:ascii="Arial" w:cs="Arial" w:eastAsia="Arial" w:hAnsi="Arial"/>
          <w:sz w:val="17"/>
          <w:szCs w:val="17"/>
          <w:color w:val="auto"/>
        </w:rPr>
      </w:pPr>
    </w:p>
    <w:p>
      <w:pPr>
        <w:ind w:left="520" w:right="60" w:hanging="316"/>
        <w:spacing w:after="0" w:line="238" w:lineRule="auto"/>
        <w:tabs>
          <w:tab w:leader="none" w:pos="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of the date of approval of the consolidated financial statements, the Company has the ability to fund its planned operations for at least the next 12 months. However, in order to complete the clinical trials aimed at developing a product until obtaining its marketing approval, the Company will need to raise additional funds.</w:t>
      </w:r>
    </w:p>
    <w:p>
      <w:pPr>
        <w:spacing w:after="0" w:line="26" w:lineRule="exact"/>
        <w:rPr>
          <w:rFonts w:ascii="Arial" w:cs="Arial" w:eastAsia="Arial" w:hAnsi="Arial"/>
          <w:sz w:val="17"/>
          <w:szCs w:val="17"/>
          <w:color w:val="auto"/>
        </w:rPr>
      </w:pPr>
    </w:p>
    <w:p>
      <w:pPr>
        <w:ind w:left="520" w:right="20" w:hanging="316"/>
        <w:spacing w:after="0" w:line="238" w:lineRule="auto"/>
        <w:tabs>
          <w:tab w:leader="none" w:pos="5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described in Note 12, in April 2017, the Company’s board of directors and shareholders approved an aggregate 3.2-for-1 share split of the Company’s ordinary, Preferred A and Preferred A-1 shares. All of the share and per share amounts reflected in these financial statements and the notes thereto have been adjusted, on a retroactive basis, to reflect this share split.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 Basis of presentation</w:t>
      </w:r>
    </w:p>
    <w:p>
      <w:pPr>
        <w:spacing w:after="0" w:line="41"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of America (“U.S. GAAP”).</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 Use of estimates in the preparation of financial statements</w:t>
      </w:r>
    </w:p>
    <w:p>
      <w:pPr>
        <w:spacing w:after="0" w:line="41"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 As applicable to these consolidated financial statements, the most significant estimates and assumptions relate to the fair value of share-based compensation, the fair value of the warrants for preferred shares and timing of revenue recognition.</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 Functional currency</w:t>
      </w:r>
    </w:p>
    <w:p>
      <w:pPr>
        <w:spacing w:after="0" w:line="41" w:lineRule="exact"/>
        <w:rPr>
          <w:sz w:val="20"/>
          <w:szCs w:val="20"/>
          <w:color w:val="auto"/>
        </w:rPr>
      </w:pPr>
    </w:p>
    <w:p>
      <w:pPr>
        <w:ind w:left="200" w:right="620"/>
        <w:spacing w:after="0" w:line="243" w:lineRule="auto"/>
        <w:rPr>
          <w:sz w:val="20"/>
          <w:szCs w:val="20"/>
          <w:color w:val="auto"/>
        </w:rPr>
      </w:pPr>
      <w:r>
        <w:rPr>
          <w:rFonts w:ascii="Arial" w:cs="Arial" w:eastAsia="Arial" w:hAnsi="Arial"/>
          <w:sz w:val="17"/>
          <w:szCs w:val="17"/>
          <w:color w:val="auto"/>
        </w:rPr>
        <w:t>The U.S. dollar (“Dollar”) is the currency of the primary economic environment in which the operations of the Company and subsidiary are conducted. Therefore, the functional currency of the Company is the Dollar.</w:t>
      </w:r>
    </w:p>
    <w:p>
      <w:pPr>
        <w:spacing w:after="0" w:line="144"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consolidated statements of operations as “financial income (expenses).”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 Cash and cash equivalents</w:t>
      </w:r>
    </w:p>
    <w:p>
      <w:pPr>
        <w:spacing w:after="0" w:line="54" w:lineRule="exact"/>
        <w:rPr>
          <w:sz w:val="20"/>
          <w:szCs w:val="20"/>
          <w:color w:val="auto"/>
        </w:rPr>
      </w:pPr>
    </w:p>
    <w:p>
      <w:pPr>
        <w:ind w:left="200" w:right="280"/>
        <w:spacing w:after="0" w:line="238" w:lineRule="auto"/>
        <w:rPr>
          <w:sz w:val="20"/>
          <w:szCs w:val="20"/>
          <w:color w:val="auto"/>
        </w:rPr>
      </w:pPr>
      <w:r>
        <w:rPr>
          <w:rFonts w:ascii="Arial" w:cs="Arial" w:eastAsia="Arial" w:hAnsi="Arial"/>
          <w:sz w:val="17"/>
          <w:szCs w:val="17"/>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 Property and equipment</w:t>
      </w:r>
    </w:p>
    <w:p>
      <w:pPr>
        <w:spacing w:after="0" w:line="54" w:lineRule="exact"/>
        <w:rPr>
          <w:sz w:val="20"/>
          <w:szCs w:val="20"/>
          <w:color w:val="auto"/>
        </w:rPr>
      </w:pPr>
    </w:p>
    <w:p>
      <w:pPr>
        <w:ind w:left="520" w:hanging="316"/>
        <w:spacing w:after="0"/>
        <w:tabs>
          <w:tab w:leader="none" w:pos="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Property and equipment are stated at cost, net of accumulated depreciation.</w:t>
      </w:r>
    </w:p>
    <w:p>
      <w:pPr>
        <w:spacing w:after="0" w:line="34" w:lineRule="exact"/>
        <w:rPr>
          <w:rFonts w:ascii="Arial" w:cs="Arial" w:eastAsia="Arial" w:hAnsi="Arial"/>
          <w:sz w:val="17"/>
          <w:szCs w:val="17"/>
          <w:color w:val="auto"/>
        </w:rPr>
      </w:pPr>
    </w:p>
    <w:p>
      <w:pPr>
        <w:ind w:left="520" w:hanging="316"/>
        <w:spacing w:after="0"/>
        <w:tabs>
          <w:tab w:leader="none" w:pos="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Company’s property and equipment are depreciated using the straight-line method on the basis of their estimated useful lives.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Annual rates of depreciation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4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0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Computers and software</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044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15-30</w:t>
            </w:r>
          </w:p>
        </w:tc>
        <w:tc>
          <w:tcPr>
            <w:tcW w:w="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6-15</w:t>
            </w:r>
          </w:p>
        </w:tc>
        <w:tc>
          <w:tcPr>
            <w:tcW w:w="8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0440" w:type="dxa"/>
            <w:vAlign w:val="bottom"/>
          </w:tcPr>
          <w:p>
            <w:pPr>
              <w:spacing w:after="0"/>
              <w:rPr>
                <w:sz w:val="20"/>
                <w:szCs w:val="20"/>
                <w:color w:val="auto"/>
              </w:rPr>
            </w:pPr>
            <w:r>
              <w:rPr>
                <w:rFonts w:ascii="Arial" w:cs="Arial" w:eastAsia="Arial" w:hAnsi="Arial"/>
                <w:sz w:val="17"/>
                <w:szCs w:val="17"/>
                <w:color w:val="auto"/>
              </w:rPr>
              <w:t>Manufacturing equipment</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0" w:lineRule="exact"/>
        <w:rPr>
          <w:sz w:val="20"/>
          <w:szCs w:val="20"/>
          <w:color w:val="auto"/>
        </w:rPr>
      </w:pPr>
    </w:p>
    <w:p>
      <w:pPr>
        <w:jc w:val="both"/>
        <w:ind w:left="200" w:right="80"/>
        <w:spacing w:after="0" w:line="243" w:lineRule="auto"/>
        <w:rPr>
          <w:sz w:val="20"/>
          <w:szCs w:val="20"/>
          <w:color w:val="auto"/>
        </w:rPr>
      </w:pPr>
      <w:r>
        <w:rPr>
          <w:rFonts w:ascii="Arial" w:cs="Arial" w:eastAsia="Arial" w:hAnsi="Arial"/>
          <w:sz w:val="17"/>
          <w:szCs w:val="17"/>
          <w:color w:val="auto"/>
        </w:rPr>
        <w:t>Leasehold improvements are amortized using the straight-line method over the shorter of the expected lease term and the estimated useful life of the improvements.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 Impairment of long-lived assets</w:t>
      </w:r>
    </w:p>
    <w:p>
      <w:pPr>
        <w:spacing w:after="0" w:line="54"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The Company tests long-lived assets, comprised solely of property and equipment, for impairment whenever events or circumstances present an indication of impairment. If the sum of expected future undiscounted cash flows of the assets is less than the carrying amount of such assets, an impairment loss would be recognized. The assets would be written down to their estimated fair values, calculated based on the present value of expected future discounted cash flows or some other fair value measure.</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December 31, 2016 and 2015, the Company did not recognize an impairment loss for its long-lived assets.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g. Contingencies</w:t>
      </w:r>
    </w:p>
    <w:p>
      <w:pPr>
        <w:spacing w:after="0" w:line="54"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Certain conditions may exist as of the date of the financial statements, which may result in a loss to the Company but which will only be resolved when one or more future events occur or fail to occur. The Company’s management assesses such contingent liabilities and such assessment inherently involves an exercise of judgment. In assessing loss contingencies related to legal proceedings that are pending against the Company or unasserted claims that may result in such proceedings, the Company’s management evaluates the perceived merits of any legal proceedings or unasserted claims as well as the perceived merits of the amount of relief sought or expected to be sought.</w:t>
      </w:r>
    </w:p>
    <w:p>
      <w:pPr>
        <w:spacing w:after="0" w:line="150" w:lineRule="exact"/>
        <w:rPr>
          <w:sz w:val="20"/>
          <w:szCs w:val="20"/>
          <w:color w:val="auto"/>
        </w:rPr>
      </w:pPr>
    </w:p>
    <w:p>
      <w:pPr>
        <w:ind w:left="200" w:right="200"/>
        <w:spacing w:after="0" w:line="235" w:lineRule="auto"/>
        <w:rPr>
          <w:sz w:val="20"/>
          <w:szCs w:val="20"/>
          <w:color w:val="auto"/>
        </w:rPr>
      </w:pPr>
      <w:r>
        <w:rPr>
          <w:rFonts w:ascii="Arial" w:cs="Arial" w:eastAsia="Arial" w:hAnsi="Arial"/>
          <w:sz w:val="17"/>
          <w:szCs w:val="17"/>
          <w:color w:val="auto"/>
        </w:rPr>
        <w:t>Management applies the guidance in ASC 450-20-25 when assessing losses resulting from contingencies. If the assessment of a contingency indicates that it is probable that a loss has been incurred and the amount of the liability can be estimated, then the estimated liability is recorded as accrued expenses in the Company’s financial statements. If the assessment indicates that a potential loss contingency is not probable but is reasonably possible, or is probable but cannot be estimated, then the nature of the contingent liability, together with an estimate of the range of possible loss if determinable are disclosed.</w:t>
      </w:r>
    </w:p>
    <w:p>
      <w:pPr>
        <w:spacing w:after="0" w:line="150"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In accruing a provision for loss, the Company recognizes an accrual for the amount within a range of loss that represents the best estimate within the range. When no amount within the range is a better estimate than any other amount, the Company accrues for the minimum amount within the range.</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h. Financial instruments</w:t>
      </w:r>
    </w:p>
    <w:p>
      <w:pPr>
        <w:spacing w:after="0" w:line="54"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When the Company issues preferred shares, it considers the provisions of ASC 480 in order to determine whether the preferred share should be classified as a liability. If the instrument is not within the scope of ASC 480, the Company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200" w:right="440"/>
        <w:spacing w:after="0" w:line="243" w:lineRule="auto"/>
        <w:rPr>
          <w:sz w:val="20"/>
          <w:szCs w:val="20"/>
          <w:color w:val="auto"/>
        </w:rPr>
      </w:pPr>
      <w:r>
        <w:rPr>
          <w:rFonts w:ascii="Arial" w:cs="Arial" w:eastAsia="Arial" w:hAnsi="Arial"/>
          <w:sz w:val="17"/>
          <w:szCs w:val="17"/>
          <w:color w:val="auto"/>
        </w:rPr>
        <w:t>further analyzes the instrument’s characteristics in order to determine whether it should be classified within temporary equity (mezzanine) or within permanent equity in accordance with the provisions of ASC 480-10-S99.</w:t>
      </w:r>
    </w:p>
    <w:p>
      <w:pPr>
        <w:spacing w:after="0" w:line="144"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When the Company issues other freestanding instruments, the Company first analyzes the provisions of ASC 480 in order to determine whether the instrument should be classified as a liability, with subsequent changes in fair value recognized in earnings in each period.</w:t>
      </w:r>
    </w:p>
    <w:p>
      <w:pPr>
        <w:spacing w:after="0" w:line="144"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7"/>
          <w:szCs w:val="17"/>
          <w:color w:val="auto"/>
        </w:rPr>
        <w:t>If the instrument is not within the scope of ASC 480, the Company further analyzes the provisions of ASC 815-40 in order to determine whether the instrument should be classified within equity or rather classified as an asset or liability, with subsequent changes in fair value recognized in earnings in each period. See note 7 and note 8.</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 Share-based compensation</w:t>
      </w:r>
    </w:p>
    <w:p>
      <w:pPr>
        <w:spacing w:after="0" w:line="41"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 Company accounts for employees’ and directors’ share-based payment awards classified as equity awards using the grant-date fair value method. The fair value of share-based payment transactions is recognized as an expense over the requisite service period. As of December 31, 2016 the Company has early adopted the policy to account for forfeitures as they occur according to the FASB’s Accounting Standards Update (ASU) 2016-09, Improvements to Employee Share-Based Payment Accounting. The adjustment for the beginning of the period was not material ($30) and therefore it was not reflected in the consolidated statements of changes in shareholders’ equity.</w:t>
      </w:r>
    </w:p>
    <w:p>
      <w:pPr>
        <w:spacing w:after="0" w:line="150"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7"/>
          <w:szCs w:val="17"/>
          <w:color w:val="auto"/>
        </w:rPr>
        <w:t>The Company elected to recognize compensation costs for awards conditioned only on continued service that have a graded vesting schedule using the straight-line method and to value the awards based on the single-option award approach. Performance based awards are expensed over the requisite service period when the achievement of performance criteria is probable.</w:t>
      </w:r>
    </w:p>
    <w:p>
      <w:pPr>
        <w:spacing w:after="0" w:line="148" w:lineRule="exact"/>
        <w:rPr>
          <w:sz w:val="20"/>
          <w:szCs w:val="20"/>
          <w:color w:val="auto"/>
        </w:rPr>
      </w:pPr>
    </w:p>
    <w:p>
      <w:pPr>
        <w:jc w:val="both"/>
        <w:ind w:left="200" w:right="360"/>
        <w:spacing w:after="0" w:line="238" w:lineRule="auto"/>
        <w:rPr>
          <w:sz w:val="20"/>
          <w:szCs w:val="20"/>
          <w:color w:val="auto"/>
        </w:rPr>
      </w:pPr>
      <w:r>
        <w:rPr>
          <w:rFonts w:ascii="Arial" w:cs="Arial" w:eastAsia="Arial" w:hAnsi="Arial"/>
          <w:sz w:val="17"/>
          <w:szCs w:val="17"/>
          <w:color w:val="auto"/>
        </w:rPr>
        <w:t>Equity awards granted to non-employees are re-measured at each reporting period at fair value until the commitment date had been reached which is usually the date the service is completed. The fair value of equity awards is charged to the statement of operations over the service period using the straight-line method.</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j. Revenue recognition</w:t>
      </w:r>
    </w:p>
    <w:p>
      <w:pPr>
        <w:spacing w:after="0" w:line="41"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7"/>
          <w:szCs w:val="17"/>
          <w:color w:val="auto"/>
        </w:rPr>
        <w:t>Virtually all the Company’s revenues are derived from the license agreement with Allergan, to license worldwide rights to some of its products. Revenue is recognized only when all of the following conditions have been met: (i) there is persuasive evidence of an arrangement; (ii) delivery has occurred: (iii) the fee is fixed or determinable: and (iv) collectability of the fee is reasonably assured.</w:t>
      </w:r>
    </w:p>
    <w:p>
      <w:pPr>
        <w:spacing w:after="0" w:line="148"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The license agreement contains two deliverables: (a) the license component and (b) Allergan’s right to require supply services of RTGel vials from the Company.</w:t>
      </w:r>
    </w:p>
    <w:p>
      <w:pPr>
        <w:spacing w:after="0" w:line="144"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In an arrangement with multiple deliverables, the delivered item or items shall be considered a separate unit of accounting if all of the following criteria are met:</w:t>
      </w:r>
    </w:p>
    <w:p>
      <w:pPr>
        <w:spacing w:after="0" w:line="144" w:lineRule="exact"/>
        <w:rPr>
          <w:sz w:val="20"/>
          <w:szCs w:val="20"/>
          <w:color w:val="auto"/>
        </w:rPr>
      </w:pPr>
    </w:p>
    <w:p>
      <w:pPr>
        <w:jc w:val="both"/>
        <w:ind w:left="200" w:right="160" w:firstLine="4"/>
        <w:spacing w:after="0" w:line="238" w:lineRule="auto"/>
        <w:tabs>
          <w:tab w:leader="none" w:pos="45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delivered item or items have value to the customer on a standalone basis. The item or items have value on a standalone if they are sold separately by any vendor or the customer could resell the delivered item(s) on a standalone basis. In the context of a customer’s ability to resell the delivered item(s), this criterion does not require the existence of an observable market for the deliverable(s), and</w:t>
      </w:r>
    </w:p>
    <w:p>
      <w:pPr>
        <w:spacing w:after="0" w:line="147" w:lineRule="exact"/>
        <w:rPr>
          <w:rFonts w:ascii="Arial" w:cs="Arial" w:eastAsia="Arial" w:hAnsi="Arial"/>
          <w:sz w:val="17"/>
          <w:szCs w:val="17"/>
          <w:color w:val="auto"/>
        </w:rPr>
      </w:pPr>
    </w:p>
    <w:p>
      <w:pPr>
        <w:ind w:left="200" w:right="140" w:firstLine="4"/>
        <w:spacing w:after="0" w:line="243" w:lineRule="auto"/>
        <w:tabs>
          <w:tab w:leader="none" w:pos="45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arrangement includes a general right of return relative to the delivered item(s), delivery or performance of the undelivered item or items is considered probable and substantially in the control of the vendor.</w:t>
      </w:r>
    </w:p>
    <w:p>
      <w:pPr>
        <w:spacing w:after="0" w:line="14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7"/>
          <w:szCs w:val="17"/>
          <w:color w:val="auto"/>
        </w:rPr>
        <w:t>When deliverables are separable, arrangement consideration is allocated to the separate units of accounting based on the relative selling price of each deliverable (where the amount allocable to the delivered element is limited to the amount not contingent on the delivery of future products or services) and the appropriate revenue recognition principles are applied to each unit.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jc w:val="both"/>
        <w:ind w:left="200" w:right="320"/>
        <w:spacing w:after="0" w:line="232" w:lineRule="auto"/>
        <w:rPr>
          <w:sz w:val="20"/>
          <w:szCs w:val="20"/>
          <w:color w:val="auto"/>
        </w:rPr>
      </w:pPr>
      <w:r>
        <w:rPr>
          <w:rFonts w:ascii="Arial" w:cs="Arial" w:eastAsia="Arial" w:hAnsi="Arial"/>
          <w:sz w:val="17"/>
          <w:szCs w:val="17"/>
          <w:color w:val="auto"/>
        </w:rPr>
        <w:t>The license component has standalone value (and therefore is accounted for separately from the supply services) since Allergan can use the license for its intended purposes without the Company’s supply services. The four conditions of ASC 605 were met as of December 31, 2016:</w:t>
      </w:r>
    </w:p>
    <w:p>
      <w:pPr>
        <w:jc w:val="both"/>
        <w:ind w:left="200" w:right="80" w:firstLine="4"/>
        <w:spacing w:after="0" w:line="236" w:lineRule="auto"/>
        <w:tabs>
          <w:tab w:leader="none" w:pos="45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persuasive evidence of an arrangement exists since the Company and Allergan engaged with a binding agreement; (2) delivery has occurred or services have been rendered since all documents and data Allergan has requested relating to the Company’s know-how were provided before December 31, 2016 and Allergan can use the license for its intended purposes without the supply services (except for immaterial support services); (3) the fee is fixed or determinable, as indicated in the license agreement; and (4) collectability is reasonably assured.</w:t>
      </w:r>
    </w:p>
    <w:p>
      <w:pPr>
        <w:spacing w:after="0" w:line="149"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Therefore, as of December 31, 2016, the consideration received in an amount of $17.5 million represents arrangement consideration for both the license of the intellectual property as well as Allergan’s right to future supply services (which would be provided in consideration for future payments to the Company according to the pricing stipulated in the supply agreement). The Company determined that the pricing of the supply services represents their standalone selling price. Accordingly, the Company allocated the entire upfront fee of $17.5 million to the license component. In addition, revenue from the supply services would be recorded in an amount equal the consideration stipulated in the agreement for these services, when these services are provided.</w:t>
      </w:r>
    </w:p>
    <w:p>
      <w:pPr>
        <w:spacing w:after="0" w:line="148"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As described in Note 1, the Company is also entitled to milestone payments and royalties based on Allergan’s revenue from its product, which are not considered fixed or determinable until their occurrence. Therefore, these amounts would only be recognized when the conditions for payment are met, and they become due and payable.</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k. Research and development costs</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Research and development costs are expensed as incurred and consist primarily of the cost of salaries, share-based compensation expenses, payroll taxes and other employee benefits, subcontractors and materials used for research and development activities and professional services. Grants received from the Israel Innovation Authority, f/k/a the Office of the Chief Scientist of Israel’s Ministry of Industry, Trade and Labor (the “IIA”)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 In the year ended December 31, 2015 the company deducted research and development expenses in the amount of $537. In the year ended December 31, 2016, the company had an increase of $175 to its research and development expenses as a result of its decision not to pursue one of its research programs that had been approved as a result of other financing opportunities. The costs of services performed by others in connection with the research and development activities of an entity, including research and development conducted by others in behalf of the entity, shall be included in research and development costs. The amount received from Allergan from the pre-clinical collaboration agreement signed in August 2015 was deducted from research and development expenses in the statements of operations as the applicable costs were incurred. For the years ended December 31, 2016 and 2015 an amount of $126 and $624, respectively, was deducted from research and development expenses.</w:t>
      </w:r>
    </w:p>
    <w:p>
      <w:pPr>
        <w:spacing w:after="0" w:line="153"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The costs of intangibles that are purchased from others for a particular research and development project and that have no alternative future uses (in other research and development projects or otherwise) and therefore no separate economic values are research and development costs at the time the costs are incurred.</w:t>
      </w:r>
    </w:p>
    <w:p>
      <w:pPr>
        <w:spacing w:after="0" w:line="148"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The intellectual property costs totaling $4,103, as described in note 8a(5), were expensed as incurred to research and development costs in accordance with ASC 730, as the intellectual property was purchased from others for a particular research and development project and has no alternative future use and therefore no separate economic value.</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 Income taxes:</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1) Deferred taxes</w:t>
      </w:r>
    </w:p>
    <w:p>
      <w:pPr>
        <w:spacing w:after="0" w:line="45"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color w:val="auto"/>
        </w:rPr>
        <w:t>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 Uncertain income tax positions</w:t>
      </w:r>
    </w:p>
    <w:p>
      <w:pPr>
        <w:spacing w:after="0" w:line="39" w:lineRule="exact"/>
        <w:rPr>
          <w:sz w:val="20"/>
          <w:szCs w:val="20"/>
          <w:color w:val="auto"/>
        </w:rPr>
      </w:pPr>
    </w:p>
    <w:p>
      <w:pPr>
        <w:ind w:left="200" w:right="160"/>
        <w:spacing w:after="0" w:line="236" w:lineRule="auto"/>
        <w:rPr>
          <w:sz w:val="20"/>
          <w:szCs w:val="20"/>
          <w:color w:val="auto"/>
        </w:rPr>
      </w:pPr>
      <w:r>
        <w:rPr>
          <w:rFonts w:ascii="Arial" w:cs="Arial" w:eastAsia="Arial" w:hAnsi="Arial"/>
          <w:sz w:val="17"/>
          <w:szCs w:val="17"/>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benefit as the largest amount that is more likely than not of being realized upon ultimate settlement.</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 Loss per share</w:t>
      </w:r>
    </w:p>
    <w:p>
      <w:pPr>
        <w:spacing w:after="0" w:line="41" w:lineRule="exact"/>
        <w:rPr>
          <w:sz w:val="20"/>
          <w:szCs w:val="20"/>
          <w:color w:val="auto"/>
        </w:rPr>
      </w:pPr>
    </w:p>
    <w:p>
      <w:pPr>
        <w:ind w:left="200" w:right="680"/>
        <w:spacing w:after="0" w:line="243" w:lineRule="auto"/>
        <w:rPr>
          <w:sz w:val="20"/>
          <w:szCs w:val="20"/>
          <w:color w:val="auto"/>
        </w:rPr>
      </w:pPr>
      <w:r>
        <w:rPr>
          <w:rFonts w:ascii="Arial" w:cs="Arial" w:eastAsia="Arial" w:hAnsi="Arial"/>
          <w:sz w:val="17"/>
          <w:szCs w:val="17"/>
          <w:color w:val="auto"/>
        </w:rPr>
        <w:t>Basic loss per share (“LPS”) is computed by dividing net loss for the year, after reducing cumulative dividends on preferred shares by the weighted average number of ordinary shares of the Company outstanding for each period.</w:t>
      </w:r>
    </w:p>
    <w:p>
      <w:pPr>
        <w:spacing w:after="0" w:line="144"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The calculation of diluted net loss per share excludes potential share issuances of ordinary shares upon the exercise of share options, warrants for preferred shares and convertible preferred share as each of their effect is anti-dilutive.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 Fair value measurement</w:t>
      </w:r>
    </w:p>
    <w:p>
      <w:pPr>
        <w:spacing w:after="0" w:line="4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49"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Level 1: Quoted prices (unadjusted) in active markets that are accessible at the measurement date for assets or liabilities. The fair value hierarchy gives the highest priority to Level 1 inputs.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Level 2: Observable prices that are based on inputs not quoted on active markets, but corroborated by market data.</w:t>
      </w:r>
    </w:p>
    <w:p>
      <w:pPr>
        <w:spacing w:after="0" w:line="156" w:lineRule="exact"/>
        <w:rPr>
          <w:sz w:val="20"/>
          <w:szCs w:val="20"/>
          <w:color w:val="auto"/>
        </w:rPr>
      </w:pPr>
    </w:p>
    <w:p>
      <w:pPr>
        <w:ind w:left="200" w:right="520"/>
        <w:spacing w:after="0" w:line="243" w:lineRule="auto"/>
        <w:rPr>
          <w:sz w:val="20"/>
          <w:szCs w:val="20"/>
          <w:color w:val="auto"/>
        </w:rPr>
      </w:pPr>
      <w:r>
        <w:rPr>
          <w:rFonts w:ascii="Arial" w:cs="Arial" w:eastAsia="Arial" w:hAnsi="Arial"/>
          <w:sz w:val="17"/>
          <w:szCs w:val="17"/>
          <w:color w:val="auto"/>
        </w:rPr>
        <w:t>Level 3: Unobservable inputs are used when little or no market data is available. The fair value hierarchy gives the lowest priority to Level 3 inputs.</w:t>
      </w:r>
    </w:p>
    <w:p>
      <w:pPr>
        <w:spacing w:after="0" w:line="144" w:lineRule="exact"/>
        <w:rPr>
          <w:sz w:val="20"/>
          <w:szCs w:val="20"/>
          <w:color w:val="auto"/>
        </w:rPr>
      </w:pPr>
    </w:p>
    <w:p>
      <w:pPr>
        <w:ind w:left="200" w:right="760"/>
        <w:spacing w:after="0" w:line="243"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 Concentration of credit risks</w:t>
      </w:r>
    </w:p>
    <w:p>
      <w:pPr>
        <w:spacing w:after="0" w:line="41" w:lineRule="exact"/>
        <w:rPr>
          <w:sz w:val="20"/>
          <w:szCs w:val="20"/>
          <w:color w:val="auto"/>
        </w:rPr>
      </w:pPr>
    </w:p>
    <w:p>
      <w:pPr>
        <w:ind w:left="200" w:right="340"/>
        <w:spacing w:after="0" w:line="23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The Company deposits cash and cash equivalents with highly rated financial institutions, and, as a matter of policy, limits the amounts of credit exposure to any single financial institution. The Company has not experienced any credit losses in these accounts and does not believe it is exposed to significant credit risk on these instruments.</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 Segment reporting</w:t>
      </w:r>
    </w:p>
    <w:p>
      <w:pPr>
        <w:spacing w:after="0" w:line="41"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q. IPO Costs</w:t>
      </w:r>
    </w:p>
    <w:p>
      <w:pPr>
        <w:spacing w:after="0" w:line="41"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The Company accounts for IPO costs in accordance with SEC Staff Accounting Bulletin Topic 5A. During the year ended December 31, 2016, the Company recorded $1.7 million in general and administrative expenses related to IPO costs.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 Newly issued and recently adopted accounting pronouncements</w:t>
      </w:r>
    </w:p>
    <w:p>
      <w:pPr>
        <w:spacing w:after="0" w:line="135" w:lineRule="exact"/>
        <w:rPr>
          <w:sz w:val="20"/>
          <w:szCs w:val="20"/>
          <w:color w:val="auto"/>
        </w:rPr>
      </w:pPr>
    </w:p>
    <w:p>
      <w:pPr>
        <w:ind w:left="520" w:right="60" w:hanging="316"/>
        <w:spacing w:after="0" w:line="235"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August 2014, FASB issued ASU 2014-15—Presentation of Financial Statements—Going Concern (ASC Subtopic 205-40): “Disclosure of Uncertainties about an Entity’s Ability to Continue as a Going Concern”. The update requires management to assess a company’s ability to continue as a going concern and to provide related footnote disclosures in certain circumstances. All entities are required to apply the new requirements in annual periods ending after December 15, 2016, and interim periods thereafter. Early application is permitted. The Company adopted the provisions of these pronouncement.</w:t>
      </w:r>
    </w:p>
    <w:p>
      <w:pPr>
        <w:spacing w:after="0" w:line="28" w:lineRule="exact"/>
        <w:rPr>
          <w:rFonts w:ascii="Arial" w:cs="Arial" w:eastAsia="Arial" w:hAnsi="Arial"/>
          <w:sz w:val="17"/>
          <w:szCs w:val="17"/>
          <w:color w:val="auto"/>
        </w:rPr>
      </w:pPr>
    </w:p>
    <w:p>
      <w:pPr>
        <w:ind w:left="520" w:hanging="316"/>
        <w:spacing w:after="0" w:line="233"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May 2014, the FASB issued Accounting Standards Update (“ASU”) No. 2014-09, “Revenue from Contracts with Customers” (Topic 606), (“ASU 2014-09”). ASU 2014-09 requires entities to recognize revenue that represents the transfer of promised goods or services to customers in an amount equivalent to the consideration to which the entity expects to be entitled to in exchange for those goods or services. The following steps should be applied to determine this amount: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2014-09 supersedes the revenue recognition requirements in ASU 605, “Revenue Recognition,” and most industry-specific guidance in the Accounting Standards Codification. In August 2015, the FASB issued ASU 2015-14 on this same topic, which defers for one year the effective date of ASU 2014-09, therefore, the guidance is effective for the Company for annual reporting periods, including interim periods therein, beginning January 1, 2018. The new revenue standards may be applied retrospectively to each prior period presented or retrospectively with the cumulative effect recognized as of the date of adoption. The Company is currently evaluating the impact of adopting the guidance on its Consolidated Financial Statements.</w:t>
      </w:r>
    </w:p>
    <w:p>
      <w:pPr>
        <w:spacing w:after="0" w:line="32" w:lineRule="exact"/>
        <w:rPr>
          <w:rFonts w:ascii="Arial" w:cs="Arial" w:eastAsia="Arial" w:hAnsi="Arial"/>
          <w:sz w:val="17"/>
          <w:szCs w:val="17"/>
          <w:color w:val="auto"/>
        </w:rPr>
      </w:pPr>
    </w:p>
    <w:p>
      <w:pPr>
        <w:ind w:left="520" w:right="60" w:hanging="316"/>
        <w:spacing w:after="0" w:line="234"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(“ASU 2016-02”). ASU 2016-02 supersedes existing guidance in Leases (Topic 840). The revised standard requires lessees to recognize the assets and liabilities arising from leases with lease terms greater than twelve months on the balance sheet, including those currently classified as operating leases, and to disclose key information about leasing arrangements. Lessees will be required to recognize a lease liability and a right-of-use asset on their balance sheets, while lessor accounting will remain largely unchanged. The guidance is effective for annual periods beginning after December 15, 2018, with early adoption permitted. The Company is currently evaluating the impact the adoption of ASU 2016-02 will have on its consolidated financial statements and related disclosures.</w:t>
      </w:r>
    </w:p>
    <w:p>
      <w:pPr>
        <w:spacing w:after="0" w:line="29" w:lineRule="exact"/>
        <w:rPr>
          <w:rFonts w:ascii="Arial" w:cs="Arial" w:eastAsia="Arial" w:hAnsi="Arial"/>
          <w:sz w:val="17"/>
          <w:szCs w:val="17"/>
          <w:color w:val="auto"/>
        </w:rPr>
      </w:pPr>
    </w:p>
    <w:p>
      <w:pPr>
        <w:ind w:left="520" w:right="40" w:hanging="316"/>
        <w:spacing w:after="0" w:line="234"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March 2016, the FASB issued ASU No. 2016-09, “Improvements to Employee Share-Based Payment Accounting.” ASU 2016-09 is aimed to simplifying the accounting for share-based payment transactions. Included in the update are modifications to the accounting for income taxes upon vesting or settlement of awards, employer tax withholding on share-based compensation and financial statements presentation of excess tax benefits. The guidance also provides an accounting policy election to account for forfeitures as they occur. As permitted by ASU 2016-09, the Company early-adopted this standard in the fourth quarter of 2016, using a modified retrospective transition method by means of a cumulative-effect adjustment to equity as of the beginning of the period in which the guidance is adopted. The impact of this adoption is immaterial.</w:t>
      </w:r>
    </w:p>
    <w:p>
      <w:pPr>
        <w:spacing w:after="0" w:line="29" w:lineRule="exact"/>
        <w:rPr>
          <w:rFonts w:ascii="Arial" w:cs="Arial" w:eastAsia="Arial" w:hAnsi="Arial"/>
          <w:sz w:val="17"/>
          <w:szCs w:val="17"/>
          <w:color w:val="auto"/>
        </w:rPr>
      </w:pPr>
    </w:p>
    <w:p>
      <w:pPr>
        <w:ind w:left="520" w:right="20" w:hanging="316"/>
        <w:spacing w:after="0" w:line="234"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August 2016, the FASB issued ASU 2016-15, “Statement of Cash Flows: Classification of Certain Cash Receipts and Cash Payments,” which addresses the presentation of restricted cash and restricted cash equivalents (or amounts generally described as such) within the statement of cash flows under ASC 230, Statement of Cash Flows, with the intent to reduce diversity in practice. Among others, this ASU addresses cash flow treatment such as debt prepayment or debt extinguishment costs and proceeds from the settlement of insurance claims. Entities are required to disclose how the statement of cash flows reconciles to the balance sheet if restricted cash is shown separately from cash and cash equivalents on the balance sheet. Entities must also disclose information about the nature of the restrictions. The amendments are effective for public business entities for fiscal years beginning after December 15, 2017, and interim periods within those fiscal years. Early adoption is permitted. A retrospective basis adoption is required. The Company is currently evaluating the impact of the standard on its consolidated financial statements.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0" w:lineRule="exact"/>
        <w:rPr>
          <w:sz w:val="20"/>
          <w:szCs w:val="20"/>
          <w:color w:val="auto"/>
        </w:rPr>
      </w:pPr>
    </w:p>
    <w:p>
      <w:pPr>
        <w:ind w:left="520" w:hanging="316"/>
        <w:spacing w:after="0"/>
        <w:tabs>
          <w:tab w:leader="none" w:pos="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November 2016, the FASB issued ASU No. 2016-18, “Statement of Cash Flows (Topic 230): Restricted Cash” (“ASU 2016-18”). ASU</w:t>
      </w:r>
    </w:p>
    <w:p>
      <w:pPr>
        <w:ind w:left="520" w:right="20"/>
        <w:spacing w:after="0" w:line="235" w:lineRule="auto"/>
        <w:rPr>
          <w:rFonts w:ascii="Arial" w:cs="Arial" w:eastAsia="Arial" w:hAnsi="Arial"/>
          <w:sz w:val="17"/>
          <w:szCs w:val="17"/>
          <w:color w:val="auto"/>
        </w:rPr>
      </w:pPr>
      <w:r>
        <w:rPr>
          <w:rFonts w:ascii="Arial" w:cs="Arial" w:eastAsia="Arial" w:hAnsi="Arial"/>
          <w:sz w:val="17"/>
          <w:szCs w:val="17"/>
          <w:color w:val="auto"/>
        </w:rPr>
        <w:t>2016-18 amends the classification and presentation of changes in restricted cash or restricted cash equivalents in the statement of cash flows. The ASU 2016-18 is effective for public business entities for fiscal years beginning after December 15, 2017, and interim periods within those fiscal years. For all other entities, the amendments are effective for fiscal years beginning after December 15, 2018, and interim periods within fiscal years beginning after December 15, 2019. Early adoption is permitted, including adoption in an interim period. The Company is currently evaluating the impact the adoption of ASU 2016-18 will have on its consolidated financial statements.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149225</wp:posOffset>
            </wp:positionV>
            <wp:extent cx="6997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Cost:</w:t>
            </w:r>
          </w:p>
        </w:tc>
        <w:tc>
          <w:tcPr>
            <w:tcW w:w="34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3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441</w:t>
            </w:r>
          </w:p>
        </w:tc>
        <w:tc>
          <w:tcPr>
            <w:tcW w:w="280" w:type="dxa"/>
            <w:vAlign w:val="bottom"/>
          </w:tcPr>
          <w:p>
            <w:pPr>
              <w:spacing w:after="0"/>
              <w:rPr>
                <w:sz w:val="16"/>
                <w:szCs w:val="16"/>
                <w:color w:val="auto"/>
              </w:rPr>
            </w:pPr>
          </w:p>
        </w:tc>
        <w:tc>
          <w:tcPr>
            <w:tcW w:w="3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rPr>
              <w:t>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Computers and software</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136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line="189" w:lineRule="exact"/>
              <w:rPr>
                <w:sz w:val="20"/>
                <w:szCs w:val="20"/>
                <w:color w:val="auto"/>
              </w:rPr>
            </w:pPr>
            <w:r>
              <w:rPr>
                <w:rFonts w:ascii="Arial" w:cs="Arial" w:eastAsia="Arial" w:hAnsi="Arial"/>
                <w:sz w:val="17"/>
                <w:szCs w:val="17"/>
                <w:color w:val="auto"/>
              </w:rPr>
              <w:t>105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Manufacturing equipment</w:t>
            </w: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line="189" w:lineRule="exact"/>
              <w:rPr>
                <w:sz w:val="20"/>
                <w:szCs w:val="20"/>
                <w:color w:val="auto"/>
              </w:rPr>
            </w:pPr>
            <w:r>
              <w:rPr>
                <w:rFonts w:ascii="Arial" w:cs="Arial" w:eastAsia="Arial" w:hAnsi="Arial"/>
                <w:sz w:val="17"/>
                <w:szCs w:val="17"/>
                <w:color w:val="auto"/>
              </w:rPr>
              <w:t>Furniture</w:t>
            </w:r>
          </w:p>
        </w:tc>
        <w:tc>
          <w:tcPr>
            <w:tcW w:w="3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1,111</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line="189" w:lineRule="exact"/>
              <w:rPr>
                <w:sz w:val="20"/>
                <w:szCs w:val="20"/>
                <w:color w:val="auto"/>
              </w:rPr>
            </w:pPr>
            <w:r>
              <w:rPr>
                <w:rFonts w:ascii="Arial" w:cs="Arial" w:eastAsia="Arial" w:hAnsi="Arial"/>
                <w:sz w:val="17"/>
                <w:szCs w:val="17"/>
                <w:color w:val="auto"/>
              </w:rPr>
              <w:t>Less—Accumulated depreciation</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(370)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35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741</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Depreciation expense was $213 and $113 for the years ended December 31, 2016 and 2015, respectively.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4—EMPLOYEE RIGHTS UPON RETIREMENT</w:t>
      </w:r>
    </w:p>
    <w:p>
      <w:pPr>
        <w:spacing w:after="0" w:line="53"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The Company is required by law to make severance payments upon dismissal of an employee or upon termination of employment in certain other circumstances.</w:t>
      </w:r>
    </w:p>
    <w:p>
      <w:pPr>
        <w:spacing w:after="0" w:line="144"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The Company operates a number of post-employment defined contribution plans. A defined contribution plan is a program that benefits an employee after termination of employment, under which the Company regularly makes fixed payments to a separate and independent entity so that the Company has no legal or constructive obligation to pay additional contributions if the fund does not hold sufficient assets to pay all employees the benefits relating to employee service in the current and prior periods. The fund assets are not included in the Company’s financial position.</w:t>
      </w:r>
    </w:p>
    <w:p>
      <w:pPr>
        <w:spacing w:after="0" w:line="150" w:lineRule="exact"/>
        <w:rPr>
          <w:sz w:val="20"/>
          <w:szCs w:val="20"/>
          <w:color w:val="auto"/>
        </w:rPr>
      </w:pPr>
    </w:p>
    <w:p>
      <w:pPr>
        <w:ind w:left="200" w:right="300"/>
        <w:spacing w:after="0" w:line="238" w:lineRule="auto"/>
        <w:rPr>
          <w:sz w:val="20"/>
          <w:szCs w:val="20"/>
          <w:color w:val="auto"/>
        </w:rPr>
      </w:pPr>
      <w:r>
        <w:rPr>
          <w:rFonts w:ascii="Arial" w:cs="Arial" w:eastAsia="Arial" w:hAnsi="Arial"/>
          <w:sz w:val="17"/>
          <w:szCs w:val="17"/>
          <w:color w:val="auto"/>
        </w:rPr>
        <w:t>The Company operates pension and severance compensation plans subject to Section 14 of the Israeli Severance Pay Law. The plans are funded through payments to insurance companies or pension funds administered by trustees. In accordance with its terms, the plans meet the definition of a defined contribution plan, as defined above.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5—PROCEEDS FROM EXERCISE OF WARRANTS FOR PREFERRED SHARES</w:t>
      </w:r>
    </w:p>
    <w:p>
      <w:pPr>
        <w:spacing w:after="0" w:line="39" w:lineRule="exact"/>
        <w:rPr>
          <w:sz w:val="20"/>
          <w:szCs w:val="20"/>
          <w:color w:val="auto"/>
        </w:rPr>
      </w:pPr>
    </w:p>
    <w:p>
      <w:pPr>
        <w:ind w:left="200" w:right="160"/>
        <w:spacing w:after="0" w:line="243" w:lineRule="auto"/>
        <w:rPr>
          <w:sz w:val="20"/>
          <w:szCs w:val="20"/>
          <w:color w:val="auto"/>
        </w:rPr>
      </w:pPr>
      <w:r>
        <w:rPr>
          <w:rFonts w:ascii="Arial" w:cs="Arial" w:eastAsia="Arial" w:hAnsi="Arial"/>
          <w:sz w:val="17"/>
          <w:szCs w:val="17"/>
          <w:color w:val="auto"/>
        </w:rPr>
        <w:t>Warrants for preferred shares are exercisable for Series A-1 preferred shares at an exercise price of $7.81 per share. As of December 31, 2016, the number of warrants for preferred shares that are exercisable for Series A-1 preferred shares is 728,312.</w:t>
      </w:r>
    </w:p>
    <w:p>
      <w:pPr>
        <w:spacing w:after="0" w:line="144" w:lineRule="exact"/>
        <w:rPr>
          <w:sz w:val="20"/>
          <w:szCs w:val="20"/>
          <w:color w:val="auto"/>
        </w:rPr>
      </w:pPr>
    </w:p>
    <w:p>
      <w:pPr>
        <w:ind w:left="200" w:right="340"/>
        <w:spacing w:after="0" w:line="243" w:lineRule="auto"/>
        <w:rPr>
          <w:sz w:val="20"/>
          <w:szCs w:val="20"/>
          <w:color w:val="auto"/>
        </w:rPr>
      </w:pPr>
      <w:r>
        <w:rPr>
          <w:rFonts w:ascii="Arial" w:cs="Arial" w:eastAsia="Arial" w:hAnsi="Arial"/>
          <w:sz w:val="17"/>
          <w:szCs w:val="17"/>
          <w:color w:val="auto"/>
        </w:rPr>
        <w:t>During 2016 the Company notified these warrant holders that it is ready to accept an exercise notice that is conditioned on the price per share that will be determined in the anticipated IPO. As of December 31, 2016 the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200" w:right="240"/>
        <w:spacing w:after="0" w:line="243" w:lineRule="auto"/>
        <w:rPr>
          <w:sz w:val="20"/>
          <w:szCs w:val="20"/>
          <w:color w:val="auto"/>
        </w:rPr>
      </w:pPr>
      <w:r>
        <w:rPr>
          <w:rFonts w:ascii="Arial" w:cs="Arial" w:eastAsia="Arial" w:hAnsi="Arial"/>
          <w:sz w:val="17"/>
          <w:szCs w:val="17"/>
          <w:color w:val="auto"/>
        </w:rPr>
        <w:t>Company received a total amount of $570 as consideration for the conditional cash exercise of the warrants. The cash received for the warrant exercises was recorded among current liabilities as Proceeds from exercise of warrants for preferred shares.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6—COMMITMENT AND CONTINGENCIES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 Lease agreement</w:t>
      </w:r>
    </w:p>
    <w:p>
      <w:pPr>
        <w:spacing w:after="0" w:line="41" w:lineRule="exact"/>
        <w:rPr>
          <w:sz w:val="20"/>
          <w:szCs w:val="20"/>
          <w:color w:val="auto"/>
        </w:rPr>
      </w:pPr>
    </w:p>
    <w:p>
      <w:pPr>
        <w:ind w:left="200" w:right="500"/>
        <w:spacing w:after="0" w:line="243" w:lineRule="auto"/>
        <w:rPr>
          <w:sz w:val="20"/>
          <w:szCs w:val="20"/>
          <w:color w:val="auto"/>
        </w:rPr>
      </w:pPr>
      <w:r>
        <w:rPr>
          <w:rFonts w:ascii="Arial" w:cs="Arial" w:eastAsia="Arial" w:hAnsi="Arial"/>
          <w:sz w:val="17"/>
          <w:szCs w:val="17"/>
          <w:color w:val="auto"/>
        </w:rPr>
        <w:t>In April 2016, the Company signed an addendum to its November 2014 lease agreement in order to increase the office space rented and to extend the rent period. The Company has a lease agreement effective until 2019.</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rent expenses for the years ending December 31, 2016 and 2015 are approximately $218 and $121, respectively.</w:t>
      </w:r>
    </w:p>
    <w:p>
      <w:pPr>
        <w:spacing w:after="0" w:line="156"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UPI entered into a lease agreement for its office for a period of 7 years commencing on May 1, 2016. As part of the agreement UPI provided the lessor with a letter of credit which expires on December 2017 and shall be automatically annually renewed for approximately $75. The rent expenses for the year ended December 31, 2016 are approximately $102.</w:t>
      </w:r>
    </w:p>
    <w:p>
      <w:pPr>
        <w:spacing w:after="0" w:line="148"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The future minimum lease payments required in each of the next seven years under the lease agreements are $400 per year for the year 2017, $405 in 2018, $351 in 2019, $192 per year for the years 2020 until 2022 and $80 in 2023.</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 Grants from the Israel Innovation Authority (“IIA”), formerly known as the Office of the Chief Scientist of the State of Israel</w:t>
      </w:r>
    </w:p>
    <w:p>
      <w:pPr>
        <w:spacing w:after="0" w:line="41" w:lineRule="exact"/>
        <w:rPr>
          <w:sz w:val="20"/>
          <w:szCs w:val="20"/>
          <w:color w:val="auto"/>
        </w:rPr>
      </w:pPr>
    </w:p>
    <w:p>
      <w:pPr>
        <w:ind w:left="200" w:right="140"/>
        <w:spacing w:after="0" w:line="238" w:lineRule="auto"/>
        <w:rPr>
          <w:sz w:val="20"/>
          <w:szCs w:val="20"/>
          <w:color w:val="auto"/>
        </w:rPr>
      </w:pPr>
      <w:r>
        <w:rPr>
          <w:rFonts w:ascii="Arial" w:cs="Arial" w:eastAsia="Arial" w:hAnsi="Arial"/>
          <w:sz w:val="17"/>
          <w:szCs w:val="17"/>
          <w:color w:val="auto"/>
        </w:rPr>
        <w:t>The Company has received grants from the IIA for research and development funding. Up until 2007, the IIA participation in the funding of the Company’s operations was as part of the Director General Directive 8.2 of Israel by grants provided to Granot Ventures. Since 2008, the funding was provided directly to Company.</w:t>
      </w:r>
    </w:p>
    <w:p>
      <w:pPr>
        <w:spacing w:after="0" w:line="148"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IIA participates by way of grants. At the time the grants were received, successful development of the related projects was not assured. In the case of failure of a project that was partly financed as above, the Company is not obligated to pay any such royalties. Under the terms of the funding from the IIA, royalties of 3%-4.5% are payable on sales of products developed from a project so funded, up to 100% of the amount of the grant received by the Company (dollar linked); with the addition of annual interest at a rate based on 12-month LIBOR. The Company is subject to several conditions, including restrictions on its intellectual property.</w:t>
      </w:r>
    </w:p>
    <w:p>
      <w:pPr>
        <w:spacing w:after="0" w:line="148" w:lineRule="exact"/>
        <w:rPr>
          <w:sz w:val="20"/>
          <w:szCs w:val="20"/>
          <w:color w:val="auto"/>
        </w:rPr>
      </w:pPr>
    </w:p>
    <w:p>
      <w:pPr>
        <w:ind w:left="200" w:right="620"/>
        <w:spacing w:after="0" w:line="243" w:lineRule="auto"/>
        <w:rPr>
          <w:sz w:val="20"/>
          <w:szCs w:val="20"/>
          <w:color w:val="auto"/>
        </w:rPr>
      </w:pPr>
      <w:r>
        <w:rPr>
          <w:rFonts w:ascii="Arial" w:cs="Arial" w:eastAsia="Arial" w:hAnsi="Arial"/>
          <w:sz w:val="17"/>
          <w:szCs w:val="17"/>
          <w:color w:val="auto"/>
        </w:rPr>
        <w:t>As of December 31, 2016, the maximum royalty amount payable by the Company under these funding arrangements is $2,105 (excluding interest).</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 Financing success fees</w:t>
      </w:r>
    </w:p>
    <w:p>
      <w:pPr>
        <w:spacing w:after="0" w:line="4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7"/>
          <w:szCs w:val="17"/>
          <w:color w:val="auto"/>
        </w:rPr>
        <w:t>The Company entered into agreements with third parties and shareholders in connection with fundraising efforts. In consideration of the services rendered, the Company undertook to pay those third parties and shareholders certain success fees from funds actually received by the Company and/or options to purchase equity of the Company, at a rate agreed between the parties.</w:t>
      </w:r>
    </w:p>
    <w:p>
      <w:pPr>
        <w:spacing w:after="0" w:line="148"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Total success fees to third parties for the year ended December 31, 2016 consisted of 5,726 options to third parties to purchase ordinary shares with a fair value of $9. For the year ended December 31, 2015, total success fees to third parties were $108, and were payable in cash.</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7—FINANCIAL INSTRUMENTS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 Warrants for preferred shares</w:t>
      </w:r>
    </w:p>
    <w:p>
      <w:pPr>
        <w:spacing w:after="0" w:line="54" w:lineRule="exact"/>
        <w:rPr>
          <w:sz w:val="20"/>
          <w:szCs w:val="20"/>
          <w:color w:val="auto"/>
        </w:rPr>
      </w:pPr>
    </w:p>
    <w:p>
      <w:pPr>
        <w:ind w:left="520" w:hanging="316"/>
        <w:spacing w:after="0" w:line="243" w:lineRule="auto"/>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2014, as part of a share purchase agreement (the“2014 SPA”), the Company issued warrants (the “A-1 warrants”) for preferred shares, see note 8a2.</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520" w:right="20" w:hanging="316"/>
        <w:spacing w:after="0" w:line="243" w:lineRule="auto"/>
        <w:tabs>
          <w:tab w:leader="none" w:pos="5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A-1 warrants are exercisable into Series A-1 preferred shares of the Company, nominal value NIS 0.01 per share, for an exercise price of $7.81 per share commencing on the date of the issuance and until the earlier of an IPO, M&amp;A event or four years.</w:t>
      </w:r>
    </w:p>
    <w:p>
      <w:pPr>
        <w:spacing w:after="0" w:line="22" w:lineRule="exact"/>
        <w:rPr>
          <w:rFonts w:ascii="Arial" w:cs="Arial" w:eastAsia="Arial" w:hAnsi="Arial"/>
          <w:sz w:val="17"/>
          <w:szCs w:val="17"/>
          <w:color w:val="auto"/>
        </w:rPr>
      </w:pPr>
    </w:p>
    <w:p>
      <w:pPr>
        <w:ind w:left="540" w:right="160"/>
        <w:spacing w:after="0" w:line="243" w:lineRule="auto"/>
        <w:rPr>
          <w:rFonts w:ascii="Arial" w:cs="Arial" w:eastAsia="Arial" w:hAnsi="Arial"/>
          <w:sz w:val="17"/>
          <w:szCs w:val="17"/>
          <w:color w:val="auto"/>
        </w:rPr>
      </w:pPr>
      <w:r>
        <w:rPr>
          <w:rFonts w:ascii="Arial" w:cs="Arial" w:eastAsia="Arial" w:hAnsi="Arial"/>
          <w:sz w:val="17"/>
          <w:szCs w:val="17"/>
          <w:color w:val="auto"/>
        </w:rPr>
        <w:t>The warrants are exercisable for Series A-1 preferred shares, in consideration for cash representing the exercise price. In the event that the warrant is exercised in connection with an IPO or M&amp;A event, the holder may elect to convert the warrant on a net share basis.</w:t>
      </w:r>
    </w:p>
    <w:p>
      <w:pPr>
        <w:spacing w:after="0" w:line="22" w:lineRule="exact"/>
        <w:rPr>
          <w:rFonts w:ascii="Arial" w:cs="Arial" w:eastAsia="Arial" w:hAnsi="Arial"/>
          <w:sz w:val="17"/>
          <w:szCs w:val="17"/>
          <w:color w:val="auto"/>
        </w:rPr>
      </w:pPr>
    </w:p>
    <w:p>
      <w:pPr>
        <w:ind w:left="540" w:right="240"/>
        <w:spacing w:after="0" w:line="236" w:lineRule="auto"/>
        <w:rPr>
          <w:rFonts w:ascii="Arial" w:cs="Arial" w:eastAsia="Arial" w:hAnsi="Arial"/>
          <w:sz w:val="17"/>
          <w:szCs w:val="17"/>
          <w:color w:val="auto"/>
        </w:rPr>
      </w:pPr>
      <w:r>
        <w:rPr>
          <w:rFonts w:ascii="Arial" w:cs="Arial" w:eastAsia="Arial" w:hAnsi="Arial"/>
          <w:sz w:val="17"/>
          <w:szCs w:val="17"/>
          <w:color w:val="auto"/>
        </w:rPr>
        <w:t>The A-1 warrants are classified as liabilities in accordance with ASC 480, as they are freestanding instruments, exercisable into Series A-1 preferred shares, which are redeemable upon certain events that represent “Deemed Liquidation” events (see also Note 8c3). Accordingly, the A-1 warrants are measured at fair value in every reporting period, and changes in their fair value are recognized in earnings within financial income (expense).</w:t>
      </w:r>
    </w:p>
    <w:p>
      <w:pPr>
        <w:spacing w:after="0" w:line="14" w:lineRule="exact"/>
        <w:rPr>
          <w:rFonts w:ascii="Arial" w:cs="Arial" w:eastAsia="Arial" w:hAnsi="Arial"/>
          <w:sz w:val="17"/>
          <w:szCs w:val="17"/>
          <w:color w:val="auto"/>
        </w:rPr>
      </w:pPr>
    </w:p>
    <w:p>
      <w:pPr>
        <w:ind w:left="540" w:right="20"/>
        <w:spacing w:after="0" w:line="236" w:lineRule="auto"/>
        <w:rPr>
          <w:rFonts w:ascii="Arial" w:cs="Arial" w:eastAsia="Arial" w:hAnsi="Arial"/>
          <w:sz w:val="17"/>
          <w:szCs w:val="17"/>
          <w:color w:val="auto"/>
        </w:rPr>
      </w:pPr>
      <w:r>
        <w:rPr>
          <w:rFonts w:ascii="Arial" w:cs="Arial" w:eastAsia="Arial" w:hAnsi="Arial"/>
          <w:sz w:val="17"/>
          <w:szCs w:val="17"/>
          <w:color w:val="auto"/>
        </w:rPr>
        <w:t>As of December 31, 2015 the fair value of the warrants for preferred shares was measured in accordance with the Hybrid Method. The Hybrid Method combines the probabilities of an IPO scenario which was estimated at 15% and a liquidation event scenario which was estimated at 85%. The fair value was determined mainly based on the SPA price per share of $5.94 of Series A preferred shares and assumptions related to achieving the required milestone for additional investment that was determined in the 2014 SPA, and expected volatility at a rate of 75.4%.</w:t>
      </w:r>
    </w:p>
    <w:p>
      <w:pPr>
        <w:spacing w:after="0" w:line="27" w:lineRule="exact"/>
        <w:rPr>
          <w:rFonts w:ascii="Arial" w:cs="Arial" w:eastAsia="Arial" w:hAnsi="Arial"/>
          <w:sz w:val="17"/>
          <w:szCs w:val="17"/>
          <w:color w:val="auto"/>
        </w:rPr>
      </w:pPr>
    </w:p>
    <w:p>
      <w:pPr>
        <w:ind w:left="540" w:right="20"/>
        <w:spacing w:after="0" w:line="235" w:lineRule="auto"/>
        <w:rPr>
          <w:rFonts w:ascii="Arial" w:cs="Arial" w:eastAsia="Arial" w:hAnsi="Arial"/>
          <w:sz w:val="17"/>
          <w:szCs w:val="17"/>
          <w:color w:val="auto"/>
        </w:rPr>
      </w:pPr>
      <w:r>
        <w:rPr>
          <w:rFonts w:ascii="Arial" w:cs="Arial" w:eastAsia="Arial" w:hAnsi="Arial"/>
          <w:sz w:val="17"/>
          <w:szCs w:val="17"/>
          <w:color w:val="auto"/>
        </w:rPr>
        <w:t>The fair value of the preferred share warrants as of December 31, 2016 was measured in accordance with the Hybrid Method. The Hybrid Method combines the probabilities of an IPO scenario which was estimated at 20% and a liquidation event scenario which was estimated at 80%. As of December 31, 2016 the fair value of the warrants for preferred shares was determined mainly based on estimation of the company’s equity value derived from DCF calculation and on assumption relating to the future revenue forecast, clinical success probabilities, relevant discount rates between 10.5%-19% (10.5% for the cash flow expected to be derived from the license agreement with Allergan and 19% for the cash flows expected to be derived from the company’s internal development) and expected volatility at a rate of 73.93%.</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 The Company financial instruments measured in fair value and classified as Level 3.</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table below sets forth a summary of the changes in the fair value of the warrants for preferred shares classified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9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872</w:t>
            </w: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$ 305</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9620" w:type="dxa"/>
            <w:vAlign w:val="bottom"/>
          </w:tcPr>
          <w:p>
            <w:pPr>
              <w:spacing w:after="0" w:line="189" w:lineRule="exact"/>
              <w:rPr>
                <w:sz w:val="20"/>
                <w:szCs w:val="20"/>
                <w:color w:val="auto"/>
              </w:rPr>
            </w:pPr>
            <w:r>
              <w:rPr>
                <w:rFonts w:ascii="Arial" w:cs="Arial" w:eastAsia="Arial" w:hAnsi="Arial"/>
                <w:sz w:val="17"/>
                <w:szCs w:val="17"/>
                <w:color w:val="auto"/>
              </w:rPr>
              <w:t>Issuance of warrants for preferred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326</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9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Changes in fair value of warrants for preferred shares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2,740</w:t>
            </w:r>
          </w:p>
        </w:tc>
        <w:tc>
          <w:tcPr>
            <w:tcW w:w="3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241</w:t>
            </w:r>
          </w:p>
        </w:tc>
        <w:tc>
          <w:tcPr>
            <w:tcW w:w="60" w:type="dxa"/>
            <w:vAlign w:val="bottom"/>
            <w:shd w:val="clear" w:color="auto" w:fill="CCEEFF"/>
          </w:tcPr>
          <w:p>
            <w:pPr>
              <w:spacing w:after="0"/>
              <w:rPr>
                <w:sz w:val="16"/>
                <w:szCs w:val="16"/>
                <w:color w:val="auto"/>
              </w:rPr>
            </w:pPr>
          </w:p>
        </w:tc>
      </w:tr>
      <w:tr>
        <w:trPr>
          <w:trHeight w:val="196"/>
        </w:trPr>
        <w:tc>
          <w:tcPr>
            <w:tcW w:w="9640" w:type="dxa"/>
            <w:vAlign w:val="bottom"/>
            <w:gridSpan w:val="2"/>
          </w:tcPr>
          <w:p>
            <w:pPr>
              <w:spacing w:after="0"/>
              <w:rPr>
                <w:sz w:val="20"/>
                <w:szCs w:val="20"/>
                <w:color w:val="auto"/>
              </w:rPr>
            </w:pPr>
            <w:r>
              <w:rPr>
                <w:rFonts w:ascii="Arial" w:cs="Arial" w:eastAsia="Arial" w:hAnsi="Arial"/>
                <w:sz w:val="17"/>
                <w:szCs w:val="17"/>
                <w:color w:val="auto"/>
              </w:rPr>
              <w:t>Balance at end of year</w:t>
            </w: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3,612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$ 872</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5" w:lineRule="exact"/>
        <w:rPr>
          <w:sz w:val="20"/>
          <w:szCs w:val="20"/>
          <w:color w:val="auto"/>
        </w:rPr>
      </w:pPr>
    </w:p>
    <w:p>
      <w:pPr>
        <w:ind w:left="5540" w:right="1520" w:hanging="5336"/>
        <w:spacing w:after="0" w:line="423" w:lineRule="auto"/>
        <w:tabs>
          <w:tab w:leader="none" w:pos="521"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 xml:space="preserve">As of December 31, 2016 and 2015 the fair value of all financial assets and liabilities, approximate their carrying amounts. </w:t>
      </w:r>
      <w:r>
        <w:rPr>
          <w:rFonts w:ascii="Arial" w:cs="Arial" w:eastAsia="Arial" w:hAnsi="Arial"/>
          <w:sz w:val="16"/>
          <w:szCs w:val="16"/>
          <w:color w:val="auto"/>
        </w:rPr>
        <w:t>F-15</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8—SHARE CAPITAL:</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 Share capital</w:t>
      </w:r>
    </w:p>
    <w:p>
      <w:pPr>
        <w:spacing w:after="0" w:line="54" w:lineRule="exact"/>
        <w:rPr>
          <w:sz w:val="20"/>
          <w:szCs w:val="20"/>
          <w:color w:val="auto"/>
        </w:rPr>
      </w:pPr>
    </w:p>
    <w:p>
      <w:pPr>
        <w:ind w:left="520" w:hanging="316"/>
        <w:spacing w:after="0"/>
        <w:tabs>
          <w:tab w:leader="none" w:pos="5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of December 31, 2016 and 2015 the share capital of the Company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160" w:type="dxa"/>
            <w:vAlign w:val="bottom"/>
            <w:tcBorders>
              <w:bottom w:val="single" w:sz="8" w:color="auto"/>
            </w:tcBorders>
            <w:gridSpan w:val="3"/>
          </w:tcPr>
          <w:p>
            <w:pPr>
              <w:jc w:val="right"/>
              <w:ind w:right="541"/>
              <w:spacing w:after="0" w:line="155" w:lineRule="exact"/>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3"/>
                <w:szCs w:val="13"/>
                <w:color w:val="auto"/>
              </w:rPr>
            </w:pPr>
          </w:p>
        </w:tc>
        <w:tc>
          <w:tcPr>
            <w:tcW w:w="2140" w:type="dxa"/>
            <w:vAlign w:val="bottom"/>
            <w:tcBorders>
              <w:bottom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b w:val="1"/>
                <w:bCs w:val="1"/>
                <w:color w:val="auto"/>
              </w:rPr>
              <w:t>ISSUED AND OUTSTANDING</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160" w:type="dxa"/>
            <w:vAlign w:val="bottom"/>
            <w:tcBorders>
              <w:bottom w:val="single" w:sz="8" w:color="auto"/>
            </w:tcBorders>
            <w:gridSpan w:val="3"/>
          </w:tcPr>
          <w:p>
            <w:pPr>
              <w:jc w:val="right"/>
              <w:ind w:right="501"/>
              <w:spacing w:after="0" w:line="15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2140" w:type="dxa"/>
            <w:vAlign w:val="bottom"/>
            <w:tcBorders>
              <w:bottom w:val="single" w:sz="8" w:color="auto"/>
            </w:tcBorders>
            <w:gridSpan w:val="3"/>
          </w:tcPr>
          <w:p>
            <w:pPr>
              <w:jc w:val="right"/>
              <w:ind w:right="475"/>
              <w:spacing w:after="0" w:line="155"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0" w:type="dxa"/>
            <w:vAlign w:val="bottom"/>
          </w:tcPr>
          <w:p>
            <w:pPr>
              <w:jc w:val="right"/>
              <w:ind w:right="263"/>
              <w:spacing w:after="0" w:line="155" w:lineRule="exact"/>
              <w:rPr>
                <w:sz w:val="20"/>
                <w:szCs w:val="20"/>
                <w:color w:val="auto"/>
              </w:rPr>
            </w:pPr>
            <w:r>
              <w:rPr>
                <w:rFonts w:ascii="Arial" w:cs="Arial" w:eastAsia="Arial" w:hAnsi="Arial"/>
                <w:sz w:val="14"/>
                <w:szCs w:val="14"/>
                <w:b w:val="1"/>
                <w:bCs w:val="1"/>
                <w:color w:val="auto"/>
              </w:rPr>
              <w:t>2016</w:t>
            </w:r>
          </w:p>
        </w:tc>
        <w:tc>
          <w:tcPr>
            <w:tcW w:w="116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960" w:type="dxa"/>
            <w:vAlign w:val="bottom"/>
          </w:tcPr>
          <w:p>
            <w:pPr>
              <w:jc w:val="right"/>
              <w:ind w:right="245"/>
              <w:spacing w:after="0" w:line="155" w:lineRule="exact"/>
              <w:rPr>
                <w:sz w:val="20"/>
                <w:szCs w:val="20"/>
                <w:color w:val="auto"/>
              </w:rPr>
            </w:pPr>
            <w:r>
              <w:rPr>
                <w:rFonts w:ascii="Arial" w:cs="Arial" w:eastAsia="Arial" w:hAnsi="Arial"/>
                <w:sz w:val="14"/>
                <w:szCs w:val="14"/>
                <w:b w:val="1"/>
                <w:bCs w:val="1"/>
                <w:color w:val="auto"/>
              </w:rPr>
              <w:t>2016</w:t>
            </w:r>
          </w:p>
        </w:tc>
        <w:tc>
          <w:tcPr>
            <w:tcW w:w="1180" w:type="dxa"/>
            <w:vAlign w:val="bottom"/>
            <w:gridSpan w:val="2"/>
          </w:tcPr>
          <w:p>
            <w:pPr>
              <w:jc w:val="right"/>
              <w:ind w:right="255"/>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Ordinary shares of NIS 0.01 par value</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17,600,000</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17,600,000</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2,305,743</w:t>
            </w: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2,300,959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7"/>
                <w:szCs w:val="17"/>
                <w:color w:val="auto"/>
              </w:rPr>
              <w:t>Series A and A-1 preferred shares of NIS 0.01 par value</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gridSpan w:val="2"/>
            <w:vMerge w:val="continue"/>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7"/>
                <w:szCs w:val="17"/>
                <w:color w:val="auto"/>
              </w:rPr>
              <w:t>14,400,000</w:t>
            </w:r>
          </w:p>
        </w:tc>
        <w:tc>
          <w:tcPr>
            <w:tcW w:w="11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14,400,000</w:t>
            </w:r>
          </w:p>
        </w:tc>
        <w:tc>
          <w:tcPr>
            <w:tcW w:w="11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5,193,427</w:t>
            </w:r>
          </w:p>
        </w:tc>
        <w:tc>
          <w:tcPr>
            <w:tcW w:w="11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5,193,427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20" w:right="340" w:hanging="316"/>
        <w:spacing w:after="0" w:line="235" w:lineRule="auto"/>
        <w:tabs>
          <w:tab w:leader="none" w:pos="5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September 2014 (closing in October 2014), the Company signed the 2014 SPA with shareholders and new investors for an aggregate amount of up to $8,000 in exchange for Series A preferred shares at a price per share of $5.94 and warrants to purchase Series A-1 preferred shares at a per share of $7.81. According to the 2014 SPA, each investor that invested more than $500 was required to transfer 50% of its investment at the initial closing in October 2014 (the “Initial Closing”) and an additional 50% once the Company meets certain milestones the (“Milestone Closing”) or upon an investors’ waiver of attainment of the milestone.</w:t>
      </w:r>
    </w:p>
    <w:p>
      <w:pPr>
        <w:spacing w:after="0" w:line="28" w:lineRule="exact"/>
        <w:rPr>
          <w:rFonts w:ascii="Arial" w:cs="Arial" w:eastAsia="Arial" w:hAnsi="Arial"/>
          <w:sz w:val="17"/>
          <w:szCs w:val="17"/>
          <w:color w:val="auto"/>
        </w:rPr>
      </w:pPr>
    </w:p>
    <w:p>
      <w:pPr>
        <w:ind w:left="540" w:right="80"/>
        <w:spacing w:after="0" w:line="243" w:lineRule="auto"/>
        <w:rPr>
          <w:rFonts w:ascii="Arial" w:cs="Arial" w:eastAsia="Arial" w:hAnsi="Arial"/>
          <w:sz w:val="17"/>
          <w:szCs w:val="17"/>
          <w:color w:val="auto"/>
        </w:rPr>
      </w:pPr>
      <w:r>
        <w:rPr>
          <w:rFonts w:ascii="Arial" w:cs="Arial" w:eastAsia="Arial" w:hAnsi="Arial"/>
          <w:sz w:val="17"/>
          <w:szCs w:val="17"/>
          <w:color w:val="auto"/>
        </w:rPr>
        <w:t>During 2014, the Company received $4,304 and an additional amount of $130 in January 2015, net of issuance costs of $67, in exchange for 758,118 Series A preferred shares and 379,088 A-1 warrants.</w:t>
      </w:r>
    </w:p>
    <w:p>
      <w:pPr>
        <w:spacing w:after="0" w:line="9" w:lineRule="exact"/>
        <w:rPr>
          <w:rFonts w:ascii="Arial" w:cs="Arial" w:eastAsia="Arial" w:hAnsi="Arial"/>
          <w:sz w:val="17"/>
          <w:szCs w:val="17"/>
          <w:color w:val="auto"/>
        </w:rPr>
      </w:pPr>
    </w:p>
    <w:p>
      <w:pPr>
        <w:ind w:left="540" w:right="120"/>
        <w:spacing w:after="0" w:line="243" w:lineRule="auto"/>
        <w:rPr>
          <w:rFonts w:ascii="Arial" w:cs="Arial" w:eastAsia="Arial" w:hAnsi="Arial"/>
          <w:sz w:val="17"/>
          <w:szCs w:val="17"/>
          <w:color w:val="auto"/>
        </w:rPr>
      </w:pPr>
      <w:r>
        <w:rPr>
          <w:rFonts w:ascii="Arial" w:cs="Arial" w:eastAsia="Arial" w:hAnsi="Arial"/>
          <w:sz w:val="17"/>
          <w:szCs w:val="17"/>
          <w:color w:val="auto"/>
        </w:rPr>
        <w:t>In July 2015, at the Milestone Closing the Company issued for total consideration of $3,500, 589,472 Series A preferred shares and 294,739 A-1 warrants at $7.81 price per Series A preferred share.</w:t>
      </w:r>
    </w:p>
    <w:p>
      <w:pPr>
        <w:spacing w:after="0" w:line="22" w:lineRule="exact"/>
        <w:rPr>
          <w:rFonts w:ascii="Arial" w:cs="Arial" w:eastAsia="Arial" w:hAnsi="Arial"/>
          <w:sz w:val="17"/>
          <w:szCs w:val="17"/>
          <w:color w:val="auto"/>
        </w:rPr>
      </w:pPr>
    </w:p>
    <w:p>
      <w:pPr>
        <w:ind w:left="520" w:right="180" w:hanging="316"/>
        <w:spacing w:after="0" w:line="238" w:lineRule="auto"/>
        <w:tabs>
          <w:tab w:leader="none" w:pos="5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October 2015, the Company reclassified 8,000,000 ordinary shares from the authorized but unissued share capital of the Company, into 8,000,000 Series A preferred shares NIS 0.01 each, so that the authorized share capital of the Company, after giving effect to the additional Series A preferred shares, shall be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6997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OF SHARES</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PAR</w:t>
            </w:r>
          </w:p>
        </w:tc>
        <w:tc>
          <w:tcPr>
            <w:tcW w:w="0" w:type="dxa"/>
            <w:vAlign w:val="bottom"/>
          </w:tcPr>
          <w:p>
            <w:pPr>
              <w:spacing w:after="0"/>
              <w:rPr>
                <w:sz w:val="1"/>
                <w:szCs w:val="1"/>
                <w:color w:val="auto"/>
              </w:rPr>
            </w:pPr>
          </w:p>
        </w:tc>
      </w:tr>
      <w:tr>
        <w:trPr>
          <w:trHeight w:val="162"/>
        </w:trPr>
        <w:tc>
          <w:tcPr>
            <w:tcW w:w="8920" w:type="dxa"/>
            <w:vAlign w:val="bottom"/>
            <w:gridSpan w:val="3"/>
            <w:vMerge w:val="continue"/>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9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Ordinary shares NIS 0.01</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17,600,000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176,000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00" w:type="dxa"/>
            <w:vAlign w:val="bottom"/>
            <w:gridSpan w:val="2"/>
          </w:tcPr>
          <w:p>
            <w:pPr>
              <w:spacing w:after="0" w:line="189" w:lineRule="exact"/>
              <w:rPr>
                <w:sz w:val="20"/>
                <w:szCs w:val="20"/>
                <w:color w:val="auto"/>
              </w:rPr>
            </w:pPr>
            <w:r>
              <w:rPr>
                <w:rFonts w:ascii="Arial" w:cs="Arial" w:eastAsia="Arial" w:hAnsi="Arial"/>
                <w:sz w:val="17"/>
                <w:szCs w:val="17"/>
                <w:color w:val="auto"/>
              </w:rPr>
              <w:t>Series A preferred shares NIS 0.01</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11,200,000</w:t>
            </w: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112,000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Series A-1 preferred shares NIS 0.01</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3,200,000</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520" w:right="40" w:hanging="316"/>
        <w:spacing w:after="0" w:line="238" w:lineRule="auto"/>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October 2015 (closing in November 2015), the Company signed a share purchase agreement (the “2015 SPA”) with shareholders and new investors for an aggregate amount of up to $18,084 in exchange for 3,045,652 Series A preferred shares of the Company at a price per share of $5.94.</w:t>
      </w:r>
    </w:p>
    <w:p>
      <w:pPr>
        <w:spacing w:after="0" w:line="26" w:lineRule="exact"/>
        <w:rPr>
          <w:rFonts w:ascii="Arial" w:cs="Arial" w:eastAsia="Arial" w:hAnsi="Arial"/>
          <w:sz w:val="17"/>
          <w:szCs w:val="17"/>
          <w:color w:val="auto"/>
        </w:rPr>
      </w:pPr>
    </w:p>
    <w:p>
      <w:pPr>
        <w:ind w:left="520" w:right="160" w:hanging="316"/>
        <w:spacing w:after="0" w:line="234" w:lineRule="auto"/>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October 2015 the Company entered into an asset purchase agreement with Telormedix SA (“TMX”) pursuant to which the Company purchased all of the intellectual property assets of TMX (in process R&amp;D) in consideration for 691,200 Series A preferred shares of the Company at a price per share of $5.94 (this includes 172,800 Series A preferred shares, which are being held in escrow and will be automatically released to TMX on the earlier of (i) 12 months from the date of initial closing, as set forth in the asset purchase agreement, and (ii) consummation of an IPO). The Company will issue an additional 92,800 Series A preferred shares upon occurrence of each of three milestones, for a maximum potential of 278,400 Series A preferred shares. The intellectual property costs totaling $4,103 were expensed as incurred to research and development costs as there is no alternative future use and therefore no separate economic value.</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 Terms of the Company’s ordinary shares</w:t>
      </w:r>
    </w:p>
    <w:p>
      <w:pPr>
        <w:spacing w:after="0" w:line="54" w:lineRule="exact"/>
        <w:rPr>
          <w:sz w:val="20"/>
          <w:szCs w:val="20"/>
          <w:color w:val="auto"/>
        </w:rPr>
      </w:pPr>
    </w:p>
    <w:p>
      <w:pPr>
        <w:ind w:left="200" w:right="460"/>
        <w:spacing w:after="0" w:line="243" w:lineRule="auto"/>
        <w:rPr>
          <w:sz w:val="20"/>
          <w:szCs w:val="20"/>
          <w:color w:val="auto"/>
        </w:rPr>
      </w:pPr>
      <w:r>
        <w:rPr>
          <w:rFonts w:ascii="Arial" w:cs="Arial" w:eastAsia="Arial" w:hAnsi="Arial"/>
          <w:sz w:val="17"/>
          <w:szCs w:val="17"/>
          <w:color w:val="auto"/>
        </w:rPr>
        <w:t>Each ordinary share is entitled to one vote. The holders of ordinary shares are also entitled to receive dividends whenever funds are legally available, when and if declared by the Board of Directors. Since its inception, the Company has not declared any dividends.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 Terms of the Company’s convertible preferred shares:</w:t>
      </w:r>
    </w:p>
    <w:p>
      <w:pPr>
        <w:spacing w:after="0" w:line="54"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Preferred shares of the Company include Series A and A-1 preferred shares. The exercise price of Series A preferred shares is $5.94 and the exercise price of Series A-1 preferred shares is $7.81.</w:t>
      </w:r>
    </w:p>
    <w:p>
      <w:pPr>
        <w:spacing w:after="0" w:line="185" w:lineRule="exact"/>
        <w:rPr>
          <w:sz w:val="20"/>
          <w:szCs w:val="20"/>
          <w:color w:val="auto"/>
        </w:rPr>
      </w:pPr>
    </w:p>
    <w:p>
      <w:pPr>
        <w:ind w:left="520" w:right="140" w:hanging="316"/>
        <w:spacing w:after="0" w:line="238" w:lineRule="auto"/>
        <w:tabs>
          <w:tab w:leader="none" w:pos="5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holder of each preferred share shall: (i) be entitled to the number of votes which is equal to the number of ordinary shares into which such preferred share is then convertible, (ii) have voting rights and powers equal to the voting rights and powers of any holder of ordinary shares and shall vote as a single class with the holders of ordinary shares, and (iii) be entitled to notice of any meeting of the shareholders.</w:t>
      </w:r>
    </w:p>
    <w:p>
      <w:pPr>
        <w:spacing w:after="0" w:line="26" w:lineRule="exact"/>
        <w:rPr>
          <w:rFonts w:ascii="Arial" w:cs="Arial" w:eastAsia="Arial" w:hAnsi="Arial"/>
          <w:sz w:val="17"/>
          <w:szCs w:val="17"/>
          <w:color w:val="auto"/>
        </w:rPr>
      </w:pPr>
    </w:p>
    <w:p>
      <w:pPr>
        <w:jc w:val="both"/>
        <w:ind w:left="520" w:right="240" w:hanging="316"/>
        <w:spacing w:after="0" w:line="238" w:lineRule="auto"/>
        <w:tabs>
          <w:tab w:leader="none" w:pos="5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From and after the date of the issuance of any preferred shares, dividends at the rate per annum of 8% of the Original Purchase Price (as defined) per share shall accrue on such preferred shares (subject to appropriate adjustment in the event of any stock dividend, stock split, combination or other similar recapitalization with respect to the preferred shares).</w:t>
      </w:r>
    </w:p>
    <w:p>
      <w:pPr>
        <w:spacing w:after="0" w:line="26" w:lineRule="exact"/>
        <w:rPr>
          <w:rFonts w:ascii="Arial" w:cs="Arial" w:eastAsia="Arial" w:hAnsi="Arial"/>
          <w:sz w:val="17"/>
          <w:szCs w:val="17"/>
          <w:color w:val="auto"/>
        </w:rPr>
      </w:pPr>
    </w:p>
    <w:p>
      <w:pPr>
        <w:ind w:left="520" w:hanging="316"/>
        <w:spacing w:after="0" w:line="235" w:lineRule="auto"/>
        <w:tabs>
          <w:tab w:leader="none" w:pos="5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 the event of: (i) any dissolution or liquidation of the Company, (ii) the proper commencement by or against the Company of any bankruptcy or insolvency proceeding under any bankruptcy or insolvency or similar law, whether voluntary or involuntary, (iii) the appointment of a receiver or liquidator to all or substantially all of the Company’s assets, (iv) a Deemed Liquidation (as defined below) event (each of the foregoing, a “Liquidation Event”), or (v) distribution of Dividends, then any Dividends, assets or proceeds of the Company available for distribution to the shareholders (“Distributable Proceeds”), shall be distributed among the shareholders pursuant to the following order of preference:</w:t>
      </w:r>
    </w:p>
    <w:p>
      <w:pPr>
        <w:spacing w:after="0" w:line="26" w:lineRule="exact"/>
        <w:rPr>
          <w:rFonts w:ascii="Arial" w:cs="Arial" w:eastAsia="Arial" w:hAnsi="Arial"/>
          <w:sz w:val="17"/>
          <w:szCs w:val="17"/>
          <w:color w:val="auto"/>
        </w:rPr>
      </w:pPr>
    </w:p>
    <w:p>
      <w:pPr>
        <w:ind w:left="960" w:hanging="432"/>
        <w:spacing w:after="0" w:line="235" w:lineRule="auto"/>
        <w:tabs>
          <w:tab w:leader="none" w:pos="9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First, the holders of the preferred shares shall be entitled to receive out of the Distributable Proceeds, prior to and in preference to any distribution to any of the holders of the ordinary shares an amount per preferred share equal to the higher of: (i) the Original Purchase Price plus any Accruing Dividends (as defined), accrued but unpaid thereon, whether or not declared, together with any other dividends declared but unpaid thereon less any amount of Distributable Proceeds previously paid with regard to such shares (collectively, the “Preferential A Amount”) and (ii) such amount per share as would have been payable had all preferred shares been converted into ordinary shares immediately prior to such Liquidation Event.</w:t>
      </w:r>
    </w:p>
    <w:p>
      <w:pPr>
        <w:spacing w:after="0" w:line="26" w:lineRule="exact"/>
        <w:rPr>
          <w:rFonts w:ascii="Arial" w:cs="Arial" w:eastAsia="Arial" w:hAnsi="Arial"/>
          <w:sz w:val="17"/>
          <w:szCs w:val="17"/>
          <w:color w:val="auto"/>
        </w:rPr>
      </w:pPr>
    </w:p>
    <w:p>
      <w:pPr>
        <w:ind w:left="960" w:right="20" w:hanging="432"/>
        <w:spacing w:after="0" w:line="238" w:lineRule="auto"/>
        <w:tabs>
          <w:tab w:leader="none" w:pos="9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If the assets (or securities) available for distribution shall be insufficient to permit the payment to holders of the preferred shares of the full Preferential A Amount, then the entire assets (or securities) available for distribution shall be distributed pro-rata among the holders of the preferred shares in proportion to the Preferential A Amount each such holder is otherwise entitled to receive.</w:t>
      </w:r>
    </w:p>
    <w:p>
      <w:pPr>
        <w:spacing w:after="0" w:line="26" w:lineRule="exact"/>
        <w:rPr>
          <w:rFonts w:ascii="Arial" w:cs="Arial" w:eastAsia="Arial" w:hAnsi="Arial"/>
          <w:sz w:val="17"/>
          <w:szCs w:val="17"/>
          <w:color w:val="auto"/>
        </w:rPr>
      </w:pPr>
    </w:p>
    <w:p>
      <w:pPr>
        <w:ind w:left="960" w:right="100" w:hanging="432"/>
        <w:spacing w:after="0" w:line="238" w:lineRule="auto"/>
        <w:tabs>
          <w:tab w:leader="none" w:pos="9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Second, after payment in full of the Series A Liquidation Amount, the remaining assets of the Company available for distribution to the Company’s shareholders shall be distributed among the holders of ordinary shares, pro rata based on the number of shares held by each such holder.</w:t>
      </w:r>
    </w:p>
    <w:p>
      <w:pPr>
        <w:spacing w:after="0" w:line="26" w:lineRule="exact"/>
        <w:rPr>
          <w:rFonts w:ascii="Arial" w:cs="Arial" w:eastAsia="Arial" w:hAnsi="Arial"/>
          <w:sz w:val="17"/>
          <w:szCs w:val="17"/>
          <w:color w:val="auto"/>
        </w:rPr>
      </w:pPr>
    </w:p>
    <w:p>
      <w:pPr>
        <w:ind w:left="960" w:right="20" w:hanging="432"/>
        <w:spacing w:after="0" w:line="234" w:lineRule="auto"/>
        <w:tabs>
          <w:tab w:leader="none" w:pos="9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of the following events shall be deemed a Liquidation Event (each a “Deemed Liquidation”): a transaction or a series of related transactions which entails (i) any sale of all, or substantially all, of the Company’s assets or technology, including by way of granting an exclusive license that is equivalent to the sale of all, or substantially all of the Company’s intellectual property; (ii) the consolidation, merger, or reorganization of the Company into any other entity, in which the Company is not the surviving entity; except, in each case, any transaction in which the shareholders of the Company prior to the transaction hold more than fifty percent (50%) of the outstanding share capital of the Company or the surviving company, as applicable, immediately following such transaction; provided, however, that shares of the surviving entity held by shareholders of the Company acquired by means other than the exchange or conversion of the shares of this Company shall not be used in determining if the shareholders of the Company own more than fifty percent (50%) of the outstanding share capital of the surviving entity (or its parent), but shall be used</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60"/>
          </w:cols>
          <w:pgMar w:left="24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980" w:right="220"/>
        <w:spacing w:after="0" w:line="243" w:lineRule="auto"/>
        <w:rPr>
          <w:sz w:val="20"/>
          <w:szCs w:val="20"/>
          <w:color w:val="auto"/>
        </w:rPr>
      </w:pPr>
      <w:r>
        <w:rPr>
          <w:rFonts w:ascii="Arial" w:cs="Arial" w:eastAsia="Arial" w:hAnsi="Arial"/>
          <w:sz w:val="17"/>
          <w:szCs w:val="17"/>
          <w:color w:val="auto"/>
        </w:rPr>
        <w:t>for determining the total outstanding share capital of the surviving entity; and (iii) any sale of all, or substantially all, of the Company’s issued and outstanding share capital.</w:t>
      </w:r>
    </w:p>
    <w:p>
      <w:pPr>
        <w:spacing w:after="0" w:line="23" w:lineRule="exact"/>
        <w:rPr>
          <w:sz w:val="20"/>
          <w:szCs w:val="20"/>
          <w:color w:val="auto"/>
        </w:rPr>
      </w:pPr>
    </w:p>
    <w:p>
      <w:pPr>
        <w:ind w:left="520" w:hanging="316"/>
        <w:spacing w:after="0"/>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preferred shares shall have the following conversion rights:</w:t>
      </w:r>
    </w:p>
    <w:p>
      <w:pPr>
        <w:spacing w:after="0" w:line="34" w:lineRule="exact"/>
        <w:rPr>
          <w:rFonts w:ascii="Arial" w:cs="Arial" w:eastAsia="Arial" w:hAnsi="Arial"/>
          <w:sz w:val="17"/>
          <w:szCs w:val="17"/>
          <w:color w:val="auto"/>
        </w:rPr>
      </w:pPr>
    </w:p>
    <w:p>
      <w:pPr>
        <w:ind w:left="960" w:right="100" w:hanging="432"/>
        <w:spacing w:after="0" w:line="235" w:lineRule="auto"/>
        <w:tabs>
          <w:tab w:leader="none" w:pos="9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Optional conversion - each preferred share shall be convertible, at the option of the holder thereof, at any time after the date of issuance of such share into such number of fully paid shares of ordinary shares as is determined by dividing the Original Purchase Price by the conversion price applicable to such share, in effect on the date that the certificate is surrendered for conversion. The initial conversion price of the preferred shares shall be the Original Purchase Price; provided, however, that the conversion price for the preferred shares shall be subject to certain adjustments.</w:t>
      </w:r>
    </w:p>
    <w:p>
      <w:pPr>
        <w:spacing w:after="0" w:line="28" w:lineRule="exact"/>
        <w:rPr>
          <w:rFonts w:ascii="Arial" w:cs="Arial" w:eastAsia="Arial" w:hAnsi="Arial"/>
          <w:sz w:val="17"/>
          <w:szCs w:val="17"/>
          <w:color w:val="auto"/>
        </w:rPr>
      </w:pPr>
    </w:p>
    <w:p>
      <w:pPr>
        <w:ind w:left="960" w:right="180" w:hanging="432"/>
        <w:spacing w:after="0" w:line="243" w:lineRule="auto"/>
        <w:tabs>
          <w:tab w:leader="none" w:pos="9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Automatic conversion - Each preferred share shall automatically be converted into ordinary shares at the Conversion Price at the time in effect for such preferred share, on the consummation of any one of the following events:</w:t>
      </w:r>
    </w:p>
    <w:p>
      <w:pPr>
        <w:spacing w:after="0" w:line="22" w:lineRule="exact"/>
        <w:rPr>
          <w:rFonts w:ascii="Arial" w:cs="Arial" w:eastAsia="Arial" w:hAnsi="Arial"/>
          <w:sz w:val="17"/>
          <w:szCs w:val="17"/>
          <w:color w:val="auto"/>
        </w:rPr>
      </w:pPr>
    </w:p>
    <w:p>
      <w:pPr>
        <w:ind w:left="1400" w:right="120" w:hanging="426"/>
        <w:spacing w:after="0" w:line="243" w:lineRule="auto"/>
        <w:tabs>
          <w:tab w:leader="none" w:pos="140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Upon the closing of an IPO, where the Company’s pre-money valuation is $75,000 or more with net proceeds to the Company of $25,000 or more (a “Qualified Public Offering”); or</w:t>
      </w:r>
    </w:p>
    <w:p>
      <w:pPr>
        <w:spacing w:after="0" w:line="22" w:lineRule="exact"/>
        <w:rPr>
          <w:rFonts w:ascii="Arial" w:cs="Arial" w:eastAsia="Arial" w:hAnsi="Arial"/>
          <w:sz w:val="17"/>
          <w:szCs w:val="17"/>
          <w:color w:val="auto"/>
        </w:rPr>
      </w:pPr>
    </w:p>
    <w:p>
      <w:pPr>
        <w:ind w:left="1400" w:right="320" w:hanging="426"/>
        <w:spacing w:after="0" w:line="243" w:lineRule="auto"/>
        <w:tabs>
          <w:tab w:leader="none" w:pos="140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In the event that holders of a majority of sixty percent (60%) of the then outstanding preferred shares, voting as a single class, consent to such.</w:t>
      </w:r>
    </w:p>
    <w:p>
      <w:pPr>
        <w:spacing w:after="0" w:line="22" w:lineRule="exact"/>
        <w:rPr>
          <w:rFonts w:ascii="Arial" w:cs="Arial" w:eastAsia="Arial" w:hAnsi="Arial"/>
          <w:sz w:val="17"/>
          <w:szCs w:val="17"/>
          <w:color w:val="auto"/>
        </w:rPr>
      </w:pPr>
    </w:p>
    <w:p>
      <w:pPr>
        <w:ind w:left="520" w:right="340" w:hanging="316"/>
        <w:spacing w:after="0" w:line="243" w:lineRule="auto"/>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preferred shares also confer on their holders certain anti-dilution rights that adjust the conversion ratio in the event that the Company issues new shares at a price lower than the original issue price to the respective preferred shareholders.</w:t>
      </w:r>
    </w:p>
    <w:p>
      <w:pPr>
        <w:spacing w:after="0" w:line="22" w:lineRule="exact"/>
        <w:rPr>
          <w:rFonts w:ascii="Arial" w:cs="Arial" w:eastAsia="Arial" w:hAnsi="Arial"/>
          <w:sz w:val="17"/>
          <w:szCs w:val="17"/>
          <w:color w:val="auto"/>
        </w:rPr>
      </w:pPr>
    </w:p>
    <w:p>
      <w:pPr>
        <w:ind w:left="540" w:right="100"/>
        <w:spacing w:after="0" w:line="243" w:lineRule="auto"/>
        <w:rPr>
          <w:rFonts w:ascii="Arial" w:cs="Arial" w:eastAsia="Arial" w:hAnsi="Arial"/>
          <w:sz w:val="17"/>
          <w:szCs w:val="17"/>
          <w:color w:val="auto"/>
        </w:rPr>
      </w:pPr>
      <w:r>
        <w:rPr>
          <w:rFonts w:ascii="Arial" w:cs="Arial" w:eastAsia="Arial" w:hAnsi="Arial"/>
          <w:sz w:val="17"/>
          <w:szCs w:val="17"/>
          <w:color w:val="auto"/>
        </w:rPr>
        <w:t>The Series A preferred shares are classified within permanent equity as they are not subject to liability classification under the scope of ASC 480, and meet all the requirements of equity classification under ASC 480-10-S99.</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 Share-based compensation</w:t>
      </w:r>
    </w:p>
    <w:p>
      <w:pPr>
        <w:spacing w:after="0" w:line="54" w:lineRule="exact"/>
        <w:rPr>
          <w:sz w:val="20"/>
          <w:szCs w:val="20"/>
          <w:color w:val="auto"/>
        </w:rPr>
      </w:pPr>
    </w:p>
    <w:p>
      <w:pPr>
        <w:ind w:left="200" w:right="400"/>
        <w:spacing w:after="0" w:line="243" w:lineRule="auto"/>
        <w:rPr>
          <w:sz w:val="20"/>
          <w:szCs w:val="20"/>
          <w:color w:val="auto"/>
        </w:rPr>
      </w:pPr>
      <w:r>
        <w:rPr>
          <w:rFonts w:ascii="Arial" w:cs="Arial" w:eastAsia="Arial" w:hAnsi="Arial"/>
          <w:sz w:val="17"/>
          <w:szCs w:val="17"/>
          <w:color w:val="auto"/>
        </w:rPr>
        <w:t>In October 2010, the Company’s board of directors approved a share option plan (the “Plan”) for grants to Company employees, consultants, directors, and other service providers.</w:t>
      </w:r>
    </w:p>
    <w:p>
      <w:pPr>
        <w:spacing w:after="0" w:line="14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The grant of options to Israeli employees under the Plan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 including amounts recorded as salary benefits in the Company’s accounts, with the exception of the work-income benefit component, if any, determined on grant date. For non-employees and for non-Israeli employees, the Plan is subject to Section 3(i) of the Israeli Income Tax Ordinance.</w:t>
      </w:r>
    </w:p>
    <w:p>
      <w:pPr>
        <w:spacing w:after="0" w:line="151" w:lineRule="exact"/>
        <w:rPr>
          <w:sz w:val="20"/>
          <w:szCs w:val="20"/>
          <w:color w:val="auto"/>
        </w:rPr>
      </w:pPr>
    </w:p>
    <w:p>
      <w:pPr>
        <w:ind w:left="200" w:right="140"/>
        <w:spacing w:after="0" w:line="235" w:lineRule="auto"/>
        <w:rPr>
          <w:sz w:val="20"/>
          <w:szCs w:val="20"/>
          <w:color w:val="auto"/>
        </w:rPr>
      </w:pPr>
      <w:r>
        <w:rPr>
          <w:rFonts w:ascii="Arial" w:cs="Arial" w:eastAsia="Arial" w:hAnsi="Arial"/>
          <w:sz w:val="17"/>
          <w:szCs w:val="17"/>
          <w:color w:val="auto"/>
        </w:rPr>
        <w:t>The expected volatility is based on the historical volatility of comparable companies. The risk-free interest rate assumption is based on observed interest rates appropriate for the expected term of the options granted in dollar terms. The expected term is the length of time until the expected dates of exercising the options, and is estimated for employees (except senior management) using the simplified method due to insufficient specific historical information of employees’ exercise behavior, and for non-employees, directors and senior management using the contractual term.</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years ended December 31, 2016 and 2015, the Company granted options to certain employees and non-employees as follows: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1) Options granted to employees and directors:</w:t>
      </w:r>
    </w:p>
    <w:p>
      <w:pPr>
        <w:spacing w:after="0" w:line="39" w:lineRule="exact"/>
        <w:rPr>
          <w:sz w:val="20"/>
          <w:szCs w:val="20"/>
          <w:color w:val="auto"/>
        </w:rPr>
      </w:pPr>
    </w:p>
    <w:p>
      <w:pPr>
        <w:ind w:left="200" w:right="240"/>
        <w:spacing w:after="0" w:line="243" w:lineRule="auto"/>
        <w:rPr>
          <w:sz w:val="20"/>
          <w:szCs w:val="20"/>
          <w:color w:val="auto"/>
        </w:rPr>
      </w:pPr>
      <w:r>
        <w:rPr>
          <w:rFonts w:ascii="Arial" w:cs="Arial" w:eastAsia="Arial" w:hAnsi="Arial"/>
          <w:sz w:val="17"/>
          <w:szCs w:val="17"/>
          <w:color w:val="auto"/>
        </w:rPr>
        <w:t>Set forth below are grants made by the Company to employees as of December 31, 2016. The majority of the options vest over a period of four years and expire on the seventh anniversary of the date of grant.</w:t>
      </w:r>
    </w:p>
    <w:p>
      <w:pPr>
        <w:spacing w:after="0" w:line="185" w:lineRule="exact"/>
        <w:rPr>
          <w:sz w:val="20"/>
          <w:szCs w:val="20"/>
          <w:color w:val="auto"/>
        </w:rPr>
      </w:pPr>
    </w:p>
    <w:p>
      <w:pPr>
        <w:ind w:left="520" w:hanging="316"/>
        <w:spacing w:after="0"/>
        <w:tabs>
          <w:tab w:leader="none" w:pos="5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During 2015, the Company granted 1,098,777 options to employees and directors with exercise prices ranging from $0 to $5.94 per share.</w:t>
      </w:r>
    </w:p>
    <w:p>
      <w:pPr>
        <w:spacing w:after="0" w:line="34" w:lineRule="exact"/>
        <w:rPr>
          <w:rFonts w:ascii="Arial" w:cs="Arial" w:eastAsia="Arial" w:hAnsi="Arial"/>
          <w:sz w:val="17"/>
          <w:szCs w:val="17"/>
          <w:color w:val="auto"/>
        </w:rPr>
      </w:pPr>
    </w:p>
    <w:p>
      <w:pPr>
        <w:ind w:left="520" w:hanging="316"/>
        <w:spacing w:after="0"/>
        <w:tabs>
          <w:tab w:leader="none" w:pos="5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During 2016, the Company granted 404,813 options to employees and directors with exercise prices ranging from $5 to $5.94 per share.</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fair value of options granted to employees and directors during 2016 and 2015 was $906 and $2,334, respectively.</w:t>
      </w:r>
    </w:p>
    <w:p>
      <w:pPr>
        <w:spacing w:after="0" w:line="156" w:lineRule="exact"/>
        <w:rPr>
          <w:sz w:val="20"/>
          <w:szCs w:val="20"/>
          <w:color w:val="auto"/>
        </w:rPr>
      </w:pPr>
    </w:p>
    <w:p>
      <w:pPr>
        <w:ind w:left="200" w:right="480"/>
        <w:spacing w:after="0" w:line="243" w:lineRule="auto"/>
        <w:rPr>
          <w:sz w:val="20"/>
          <w:szCs w:val="20"/>
          <w:color w:val="auto"/>
        </w:rPr>
      </w:pPr>
      <w:r>
        <w:rPr>
          <w:rFonts w:ascii="Arial" w:cs="Arial" w:eastAsia="Arial" w:hAnsi="Arial"/>
          <w:sz w:val="17"/>
          <w:szCs w:val="17"/>
          <w:color w:val="auto"/>
        </w:rPr>
        <w:t>The total unrecognized compensation cost of employee options at December 31, 2016 is $1,776, which is expected to be recognized over a weighted average period of 2.44 years.</w:t>
      </w:r>
    </w:p>
    <w:p>
      <w:pPr>
        <w:spacing w:after="0" w:line="144" w:lineRule="exact"/>
        <w:rPr>
          <w:sz w:val="20"/>
          <w:szCs w:val="20"/>
          <w:color w:val="auto"/>
        </w:rPr>
      </w:pPr>
    </w:p>
    <w:p>
      <w:pPr>
        <w:ind w:left="200" w:right="200"/>
        <w:spacing w:after="0" w:line="243" w:lineRule="auto"/>
        <w:rPr>
          <w:sz w:val="20"/>
          <w:szCs w:val="20"/>
          <w:color w:val="auto"/>
        </w:rPr>
      </w:pPr>
      <w:r>
        <w:rPr>
          <w:rFonts w:ascii="Arial" w:cs="Arial" w:eastAsia="Arial" w:hAnsi="Arial"/>
          <w:sz w:val="17"/>
          <w:szCs w:val="17"/>
          <w:color w:val="auto"/>
        </w:rPr>
        <w:t>The fair value of options granted to employees and directors on the date of grant was computed using the Black-Scholes model. The underlying data used for computing the fair value of the options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r>
      <w:tr>
        <w:trPr>
          <w:trHeight w:val="183"/>
        </w:trPr>
        <w:tc>
          <w:tcPr>
            <w:tcW w:w="20" w:type="dxa"/>
            <w:vAlign w:val="bottom"/>
          </w:tcPr>
          <w:p>
            <w:pPr>
              <w:spacing w:after="0"/>
              <w:rPr>
                <w:sz w:val="15"/>
                <w:szCs w:val="15"/>
                <w:color w:val="auto"/>
              </w:rPr>
            </w:pPr>
          </w:p>
        </w:tc>
        <w:tc>
          <w:tcPr>
            <w:tcW w:w="8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Value of ordinary shares</w:t>
            </w:r>
          </w:p>
        </w:tc>
        <w:tc>
          <w:tcPr>
            <w:tcW w:w="100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$2.98-5.54</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$2.98-3.01</w:t>
            </w:r>
          </w:p>
        </w:tc>
      </w:tr>
      <w:tr>
        <w:trPr>
          <w:trHeight w:val="189"/>
        </w:trPr>
        <w:tc>
          <w:tcPr>
            <w:tcW w:w="2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1000" w:type="dxa"/>
            <w:vAlign w:val="bottom"/>
          </w:tcPr>
          <w:p>
            <w:pPr>
              <w:jc w:val="center"/>
              <w:spacing w:after="0" w:line="189" w:lineRule="exact"/>
              <w:rPr>
                <w:sz w:val="20"/>
                <w:szCs w:val="20"/>
                <w:color w:val="auto"/>
              </w:rPr>
            </w:pPr>
            <w:r>
              <w:rPr>
                <w:rFonts w:ascii="Arial" w:cs="Arial" w:eastAsia="Arial" w:hAnsi="Arial"/>
                <w:sz w:val="17"/>
                <w:szCs w:val="17"/>
                <w:color w:val="auto"/>
                <w:w w:val="97"/>
              </w:rPr>
              <w:t>0%</w:t>
            </w:r>
          </w:p>
        </w:tc>
        <w:tc>
          <w:tcPr>
            <w:tcW w:w="2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17"/>
                <w:szCs w:val="17"/>
                <w:color w:val="auto"/>
                <w:w w:val="97"/>
              </w:rPr>
              <w:t>0%</w:t>
            </w:r>
          </w:p>
        </w:tc>
      </w:tr>
      <w:tr>
        <w:trPr>
          <w:trHeight w:val="189"/>
        </w:trPr>
        <w:tc>
          <w:tcPr>
            <w:tcW w:w="20" w:type="dxa"/>
            <w:vAlign w:val="bottom"/>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74.8%-80%</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69.78%-76.68%</w:t>
            </w:r>
          </w:p>
        </w:tc>
      </w:tr>
      <w:tr>
        <w:trPr>
          <w:trHeight w:val="189"/>
        </w:trPr>
        <w:tc>
          <w:tcPr>
            <w:tcW w:w="2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000" w:type="dxa"/>
            <w:vAlign w:val="bottom"/>
          </w:tcPr>
          <w:p>
            <w:pPr>
              <w:jc w:val="center"/>
              <w:spacing w:after="0" w:line="189" w:lineRule="exact"/>
              <w:rPr>
                <w:sz w:val="20"/>
                <w:szCs w:val="20"/>
                <w:color w:val="auto"/>
              </w:rPr>
            </w:pPr>
            <w:r>
              <w:rPr>
                <w:rFonts w:ascii="Arial" w:cs="Arial" w:eastAsia="Arial" w:hAnsi="Arial"/>
                <w:sz w:val="17"/>
                <w:szCs w:val="17"/>
                <w:color w:val="auto"/>
              </w:rPr>
              <w:t>1.4%-2.13%</w:t>
            </w:r>
          </w:p>
        </w:tc>
        <w:tc>
          <w:tcPr>
            <w:tcW w:w="20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17"/>
                <w:szCs w:val="17"/>
                <w:color w:val="auto"/>
              </w:rPr>
              <w:t>0.38%–2.08%</w:t>
            </w:r>
          </w:p>
        </w:tc>
      </w:tr>
      <w:tr>
        <w:trPr>
          <w:trHeight w:val="189"/>
        </w:trPr>
        <w:tc>
          <w:tcPr>
            <w:tcW w:w="20" w:type="dxa"/>
            <w:vAlign w:val="bottom"/>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w:t>
            </w:r>
          </w:p>
        </w:tc>
        <w:tc>
          <w:tcPr>
            <w:tcW w:w="12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7 years</w:t>
            </w:r>
          </w:p>
        </w:tc>
        <w:tc>
          <w:tcPr>
            <w:tcW w:w="134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1-7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7"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2) Options granted to consultants and other service providers:</w:t>
      </w:r>
    </w:p>
    <w:p>
      <w:pPr>
        <w:spacing w:after="0" w:line="52" w:lineRule="exact"/>
        <w:rPr>
          <w:sz w:val="20"/>
          <w:szCs w:val="20"/>
          <w:color w:val="auto"/>
        </w:rPr>
      </w:pPr>
    </w:p>
    <w:p>
      <w:pPr>
        <w:ind w:left="200" w:right="260"/>
        <w:spacing w:after="0" w:line="243" w:lineRule="auto"/>
        <w:rPr>
          <w:sz w:val="20"/>
          <w:szCs w:val="20"/>
          <w:color w:val="auto"/>
        </w:rPr>
      </w:pPr>
      <w:r>
        <w:rPr>
          <w:rFonts w:ascii="Arial" w:cs="Arial" w:eastAsia="Arial" w:hAnsi="Arial"/>
          <w:sz w:val="17"/>
          <w:szCs w:val="17"/>
          <w:color w:val="auto"/>
        </w:rPr>
        <w:t>During 2016 and 2015, the Company granted 132,032 and 203,820 options, respectively, to consultants and service providers with an exercise price ranging from $0 to $5.94 per share.</w:t>
      </w:r>
    </w:p>
    <w:p>
      <w:pPr>
        <w:spacing w:after="0" w:line="144" w:lineRule="exact"/>
        <w:rPr>
          <w:sz w:val="20"/>
          <w:szCs w:val="20"/>
          <w:color w:val="auto"/>
        </w:rPr>
      </w:pPr>
    </w:p>
    <w:p>
      <w:pPr>
        <w:ind w:left="200" w:right="160"/>
        <w:spacing w:after="0" w:line="243" w:lineRule="auto"/>
        <w:rPr>
          <w:sz w:val="20"/>
          <w:szCs w:val="20"/>
          <w:color w:val="auto"/>
        </w:rPr>
      </w:pPr>
      <w:r>
        <w:rPr>
          <w:rFonts w:ascii="Arial" w:cs="Arial" w:eastAsia="Arial" w:hAnsi="Arial"/>
          <w:sz w:val="17"/>
          <w:szCs w:val="17"/>
          <w:color w:val="auto"/>
        </w:rPr>
        <w:t>The fair value as of December 31, 2016 and 2015 of options granted to consultants and other service providers during 2016 and 2015 was $671 and $57, respectively.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fair value of options granted to consultants and other service providers as of December 31, 2016 and 2015 was computed using the Black-</w:t>
      </w:r>
    </w:p>
    <w:p>
      <w:pPr>
        <w:ind w:left="200"/>
        <w:spacing w:after="0"/>
        <w:rPr>
          <w:sz w:val="20"/>
          <w:szCs w:val="20"/>
          <w:color w:val="auto"/>
        </w:rPr>
      </w:pPr>
      <w:r>
        <w:rPr>
          <w:rFonts w:ascii="Arial" w:cs="Arial" w:eastAsia="Arial" w:hAnsi="Arial"/>
          <w:sz w:val="17"/>
          <w:szCs w:val="17"/>
          <w:color w:val="auto"/>
        </w:rPr>
        <w:t>Scholes model. The underlying data used for computing the fair value of the options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980" w:type="dxa"/>
            <w:vAlign w:val="bottom"/>
            <w:gridSpan w:val="2"/>
          </w:tcPr>
          <w:p>
            <w:pPr>
              <w:jc w:val="center"/>
              <w:ind w:left="481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r>
      <w:tr>
        <w:trPr>
          <w:trHeight w:val="183"/>
        </w:trPr>
        <w:tc>
          <w:tcPr>
            <w:tcW w:w="20" w:type="dxa"/>
            <w:vAlign w:val="bottom"/>
          </w:tcPr>
          <w:p>
            <w:pPr>
              <w:spacing w:after="0"/>
              <w:rPr>
                <w:sz w:val="15"/>
                <w:szCs w:val="15"/>
                <w:color w:val="auto"/>
              </w:rPr>
            </w:pPr>
          </w:p>
        </w:tc>
        <w:tc>
          <w:tcPr>
            <w:tcW w:w="3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Value of ordinary shares</w:t>
            </w:r>
          </w:p>
        </w:tc>
        <w:tc>
          <w:tcPr>
            <w:tcW w:w="49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$1.58-7.96</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w w:val="98"/>
              </w:rPr>
              <w:t>$2.98</w:t>
            </w: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5980" w:type="dxa"/>
            <w:vAlign w:val="bottom"/>
            <w:gridSpan w:val="2"/>
          </w:tcPr>
          <w:p>
            <w:pPr>
              <w:jc w:val="center"/>
              <w:ind w:left="4798"/>
              <w:spacing w:after="0" w:line="189" w:lineRule="exact"/>
              <w:rPr>
                <w:sz w:val="20"/>
                <w:szCs w:val="20"/>
                <w:color w:val="auto"/>
              </w:rPr>
            </w:pPr>
            <w:r>
              <w:rPr>
                <w:rFonts w:ascii="Arial" w:cs="Arial" w:eastAsia="Arial" w:hAnsi="Arial"/>
                <w:sz w:val="17"/>
                <w:szCs w:val="17"/>
                <w:color w:val="auto"/>
              </w:rPr>
              <w:t>0%</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0%</w:t>
            </w: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5980" w:type="dxa"/>
            <w:vAlign w:val="bottom"/>
            <w:gridSpan w:val="2"/>
            <w:shd w:val="clear" w:color="auto" w:fill="CCEEFF"/>
          </w:tcPr>
          <w:p>
            <w:pPr>
              <w:jc w:val="center"/>
              <w:ind w:left="4798"/>
              <w:spacing w:after="0" w:line="189" w:lineRule="exact"/>
              <w:rPr>
                <w:sz w:val="20"/>
                <w:szCs w:val="20"/>
                <w:color w:val="auto"/>
              </w:rPr>
            </w:pPr>
            <w:r>
              <w:rPr>
                <w:rFonts w:ascii="Arial" w:cs="Arial" w:eastAsia="Arial" w:hAnsi="Arial"/>
                <w:sz w:val="17"/>
                <w:szCs w:val="17"/>
                <w:color w:val="auto"/>
              </w:rPr>
              <w:t>72.72%-80%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73.31%-76.3%</w:t>
            </w: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5980" w:type="dxa"/>
            <w:vAlign w:val="bottom"/>
            <w:gridSpan w:val="2"/>
          </w:tcPr>
          <w:p>
            <w:pPr>
              <w:jc w:val="center"/>
              <w:ind w:left="4798"/>
              <w:spacing w:after="0" w:line="189" w:lineRule="exact"/>
              <w:rPr>
                <w:sz w:val="20"/>
                <w:szCs w:val="20"/>
                <w:color w:val="auto"/>
              </w:rPr>
            </w:pPr>
            <w:r>
              <w:rPr>
                <w:rFonts w:ascii="Arial" w:cs="Arial" w:eastAsia="Arial" w:hAnsi="Arial"/>
                <w:sz w:val="17"/>
                <w:szCs w:val="17"/>
                <w:color w:val="auto"/>
                <w:w w:val="99"/>
              </w:rPr>
              <w:t>1.56%-2.27%</w:t>
            </w:r>
          </w:p>
        </w:tc>
        <w:tc>
          <w:tcPr>
            <w:tcW w:w="22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7"/>
                <w:szCs w:val="17"/>
                <w:color w:val="auto"/>
              </w:rPr>
              <w:t>1.88%–2.07%</w:t>
            </w:r>
          </w:p>
        </w:tc>
      </w:tr>
      <w:tr>
        <w:trPr>
          <w:trHeight w:val="189"/>
        </w:trPr>
        <w:tc>
          <w:tcPr>
            <w:tcW w:w="20" w:type="dxa"/>
            <w:vAlign w:val="bottom"/>
          </w:tcPr>
          <w:p>
            <w:pPr>
              <w:spacing w:after="0"/>
              <w:rPr>
                <w:sz w:val="16"/>
                <w:szCs w:val="16"/>
                <w:color w:val="auto"/>
              </w:rPr>
            </w:pPr>
          </w:p>
        </w:tc>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w:t>
            </w:r>
          </w:p>
        </w:tc>
        <w:tc>
          <w:tcPr>
            <w:tcW w:w="49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5.8-8.5 years</w:t>
            </w:r>
          </w:p>
        </w:tc>
        <w:tc>
          <w:tcPr>
            <w:tcW w:w="12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6.8-7 years</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gridSpan w:val="3"/>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58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200" w:type="dxa"/>
            <w:vAlign w:val="bottom"/>
            <w:gridSpan w:val="3"/>
          </w:tcPr>
          <w:p>
            <w:pPr>
              <w:ind w:left="1740"/>
              <w:spacing w:after="0"/>
              <w:rPr>
                <w:sz w:val="20"/>
                <w:szCs w:val="20"/>
                <w:color w:val="auto"/>
              </w:rPr>
            </w:pPr>
            <w:r>
              <w:rPr>
                <w:rFonts w:ascii="Arial" w:cs="Arial" w:eastAsia="Arial" w:hAnsi="Arial"/>
                <w:sz w:val="16"/>
                <w:szCs w:val="16"/>
                <w:color w:val="auto"/>
              </w:rPr>
              <w:t>F-19</w:t>
            </w:r>
          </w:p>
        </w:tc>
        <w:tc>
          <w:tcPr>
            <w:tcW w:w="12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520" w:right="320" w:hanging="316"/>
        <w:spacing w:after="0" w:line="243" w:lineRule="auto"/>
        <w:tabs>
          <w:tab w:leader="none" w:pos="5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following table summarizes the number of options outstanding under the Plan for the years ended December 31, 2016 and 2015,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60" w:type="dxa"/>
            <w:vAlign w:val="bottom"/>
            <w:gridSpan w:val="5"/>
          </w:tcPr>
          <w:p>
            <w:pPr>
              <w:jc w:val="right"/>
              <w:ind w:right="637"/>
              <w:spacing w:after="0"/>
              <w:rPr>
                <w:sz w:val="20"/>
                <w:szCs w:val="20"/>
                <w:color w:val="auto"/>
              </w:rPr>
            </w:pPr>
            <w:r>
              <w:rPr>
                <w:rFonts w:ascii="Arial" w:cs="Arial" w:eastAsia="Arial" w:hAnsi="Arial"/>
                <w:sz w:val="14"/>
                <w:szCs w:val="14"/>
                <w:b w:val="1"/>
                <w:bCs w:val="1"/>
                <w:color w:val="auto"/>
              </w:rPr>
              <w:t>EMPLOYEES AND</w:t>
            </w:r>
          </w:p>
        </w:tc>
        <w:tc>
          <w:tcPr>
            <w:tcW w:w="560" w:type="dxa"/>
            <w:vAlign w:val="bottom"/>
          </w:tcPr>
          <w:p>
            <w:pPr>
              <w:spacing w:after="0"/>
              <w:rPr>
                <w:sz w:val="14"/>
                <w:szCs w:val="14"/>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9"/>
              </w:rPr>
              <w:t>CONSULTANTS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80" w:type="dxa"/>
            <w:vAlign w:val="bottom"/>
            <w:gridSpan w:val="4"/>
          </w:tcPr>
          <w:p>
            <w:pPr>
              <w:jc w:val="right"/>
              <w:ind w:right="837"/>
              <w:spacing w:after="0"/>
              <w:rPr>
                <w:sz w:val="20"/>
                <w:szCs w:val="20"/>
                <w:color w:val="auto"/>
              </w:rPr>
            </w:pPr>
            <w:r>
              <w:rPr>
                <w:rFonts w:ascii="Arial" w:cs="Arial" w:eastAsia="Arial" w:hAnsi="Arial"/>
                <w:sz w:val="14"/>
                <w:szCs w:val="14"/>
                <w:b w:val="1"/>
                <w:bCs w:val="1"/>
                <w:color w:val="auto"/>
              </w:rPr>
              <w:t>DIRECTORS</w:t>
            </w:r>
          </w:p>
        </w:tc>
        <w:tc>
          <w:tcPr>
            <w:tcW w:w="560" w:type="dxa"/>
            <w:vAlign w:val="bottom"/>
          </w:tcPr>
          <w:p>
            <w:pPr>
              <w:spacing w:after="0"/>
              <w:rPr>
                <w:sz w:val="15"/>
                <w:szCs w:val="15"/>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SERVICE PROVIDERS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7"/>
              <w:spacing w:after="0" w:line="143" w:lineRule="exact"/>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77"/>
              <w:spacing w:after="0" w:line="143"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NUMBER OF</w:t>
            </w:r>
          </w:p>
        </w:tc>
        <w:tc>
          <w:tcPr>
            <w:tcW w:w="146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56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Outstanding at January 1, 2015</w:t>
            </w:r>
          </w:p>
        </w:tc>
        <w:tc>
          <w:tcPr>
            <w:tcW w:w="1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595,823</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3.69</w:t>
            </w:r>
          </w:p>
        </w:tc>
        <w:tc>
          <w:tcPr>
            <w:tcW w:w="5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332,500</w:t>
            </w: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3.14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2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1,098,777</w:t>
            </w:r>
          </w:p>
        </w:tc>
        <w:tc>
          <w:tcPr>
            <w:tcW w:w="32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2.99</w:t>
            </w:r>
          </w:p>
        </w:tc>
        <w:tc>
          <w:tcPr>
            <w:tcW w:w="14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203,826</w:t>
            </w:r>
          </w:p>
        </w:tc>
        <w:tc>
          <w:tcPr>
            <w:tcW w:w="320" w:type="dxa"/>
            <w:vAlign w:val="bottom"/>
          </w:tcPr>
          <w:p>
            <w:pPr>
              <w:spacing w:after="0"/>
              <w:rPr>
                <w:sz w:val="16"/>
                <w:szCs w:val="16"/>
                <w:color w:val="auto"/>
              </w:rPr>
            </w:pP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Canceled/Forfeited</w:t>
            </w:r>
          </w:p>
        </w:tc>
        <w:tc>
          <w:tcPr>
            <w:tcW w:w="1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8"/>
              <w:spacing w:after="0" w:line="189" w:lineRule="exact"/>
              <w:rPr>
                <w:sz w:val="20"/>
                <w:szCs w:val="20"/>
                <w:color w:val="auto"/>
              </w:rPr>
            </w:pPr>
            <w:r>
              <w:rPr>
                <w:rFonts w:ascii="Arial" w:cs="Arial" w:eastAsia="Arial" w:hAnsi="Arial"/>
                <w:sz w:val="17"/>
                <w:szCs w:val="17"/>
                <w:color w:val="auto"/>
              </w:rPr>
              <w:t>(8,000)</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5.00</w:t>
            </w:r>
          </w:p>
        </w:tc>
        <w:tc>
          <w:tcPr>
            <w:tcW w:w="17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(23,088)</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Outstanding at December 31, 2015</w:t>
            </w: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1,686,600</w:t>
            </w: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513,238</w:t>
            </w:r>
          </w:p>
        </w:tc>
        <w:tc>
          <w:tcPr>
            <w:tcW w:w="32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Granted</w:t>
            </w:r>
          </w:p>
        </w:tc>
        <w:tc>
          <w:tcPr>
            <w:tcW w:w="2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404,813</w:t>
            </w: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3.50</w:t>
            </w:r>
          </w:p>
        </w:tc>
        <w:tc>
          <w:tcPr>
            <w:tcW w:w="1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132,032</w:t>
            </w:r>
          </w:p>
        </w:tc>
        <w:tc>
          <w:tcPr>
            <w:tcW w:w="3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Canceled/Forfeited</w:t>
            </w:r>
          </w:p>
        </w:tc>
        <w:tc>
          <w:tcPr>
            <w:tcW w:w="2360" w:type="dxa"/>
            <w:vAlign w:val="bottom"/>
            <w:gridSpan w:val="3"/>
          </w:tcPr>
          <w:p>
            <w:pPr>
              <w:jc w:val="right"/>
              <w:ind w:right="188"/>
              <w:spacing w:after="0" w:line="189" w:lineRule="exact"/>
              <w:rPr>
                <w:sz w:val="20"/>
                <w:szCs w:val="20"/>
                <w:color w:val="auto"/>
              </w:rPr>
            </w:pPr>
            <w:r>
              <w:rPr>
                <w:rFonts w:ascii="Arial" w:cs="Arial" w:eastAsia="Arial" w:hAnsi="Arial"/>
                <w:sz w:val="17"/>
                <w:szCs w:val="17"/>
                <w:color w:val="auto"/>
              </w:rPr>
              <w:t>(60,800)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3.03</w:t>
            </w:r>
          </w:p>
        </w:tc>
        <w:tc>
          <w:tcPr>
            <w:tcW w:w="176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(6,000)</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(4,784)</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Outstanding at December 31, 2016</w:t>
            </w: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2,030,613</w:t>
            </w: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3.29</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634,486</w:t>
            </w:r>
          </w:p>
        </w:tc>
        <w:tc>
          <w:tcPr>
            <w:tcW w:w="32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p>
      <w:pPr>
        <w:ind w:left="520" w:hanging="316"/>
        <w:spacing w:after="0"/>
        <w:tabs>
          <w:tab w:leader="none" w:pos="5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following tables summarize the outstanding and exercisable options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DECEMBER 31, 2016</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156"/>
        </w:trPr>
        <w:tc>
          <w:tcPr>
            <w:tcW w:w="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20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OPTIONS OUTSTANDING</w:t>
            </w:r>
          </w:p>
        </w:tc>
        <w:tc>
          <w:tcPr>
            <w:tcW w:w="3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300" w:type="dxa"/>
            <w:vAlign w:val="bottom"/>
            <w:tcBorders>
              <w:top w:val="single" w:sz="8" w:color="auto"/>
              <w:bottom w:val="single" w:sz="8" w:color="auto"/>
            </w:tcBorders>
            <w:gridSpan w:val="3"/>
          </w:tcPr>
          <w:p>
            <w:pPr>
              <w:ind w:left="1280"/>
              <w:spacing w:after="0" w:line="155" w:lineRule="exact"/>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EXERCISE</w:t>
            </w:r>
          </w:p>
        </w:tc>
        <w:tc>
          <w:tcPr>
            <w:tcW w:w="740" w:type="dxa"/>
            <w:vAlign w:val="bottom"/>
          </w:tcPr>
          <w:p>
            <w:pPr>
              <w:spacing w:after="0"/>
              <w:rPr>
                <w:sz w:val="13"/>
                <w:szCs w:val="13"/>
                <w:color w:val="auto"/>
              </w:rPr>
            </w:pPr>
          </w:p>
        </w:tc>
        <w:tc>
          <w:tcPr>
            <w:tcW w:w="20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NUMBER OF OPTIONS</w:t>
            </w:r>
          </w:p>
        </w:tc>
        <w:tc>
          <w:tcPr>
            <w:tcW w:w="1820" w:type="dxa"/>
            <w:vAlign w:val="bottom"/>
            <w:gridSpan w:val="2"/>
          </w:tcPr>
          <w:p>
            <w:pPr>
              <w:jc w:val="center"/>
              <w:ind w:left="196"/>
              <w:spacing w:after="0" w:line="155" w:lineRule="exact"/>
              <w:rPr>
                <w:sz w:val="20"/>
                <w:szCs w:val="20"/>
                <w:color w:val="auto"/>
              </w:rPr>
            </w:pPr>
            <w:r>
              <w:rPr>
                <w:rFonts w:ascii="Arial" w:cs="Arial" w:eastAsia="Arial" w:hAnsi="Arial"/>
                <w:sz w:val="14"/>
                <w:szCs w:val="14"/>
                <w:b w:val="1"/>
                <w:bCs w:val="1"/>
                <w:color w:val="auto"/>
              </w:rPr>
              <w:t>WEIGHTED AVERAGE</w:t>
            </w:r>
          </w:p>
        </w:tc>
        <w:tc>
          <w:tcPr>
            <w:tcW w:w="720" w:type="dxa"/>
            <w:vAlign w:val="bottom"/>
          </w:tcPr>
          <w:p>
            <w:pPr>
              <w:spacing w:after="0"/>
              <w:rPr>
                <w:sz w:val="13"/>
                <w:szCs w:val="13"/>
                <w:color w:val="auto"/>
              </w:rPr>
            </w:pPr>
          </w:p>
        </w:tc>
        <w:tc>
          <w:tcPr>
            <w:tcW w:w="1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NUMBER OF OPTIONS</w:t>
            </w:r>
          </w:p>
        </w:tc>
        <w:tc>
          <w:tcPr>
            <w:tcW w:w="720" w:type="dxa"/>
            <w:vAlign w:val="bottom"/>
          </w:tcPr>
          <w:p>
            <w:pPr>
              <w:spacing w:after="0"/>
              <w:rPr>
                <w:sz w:val="13"/>
                <w:szCs w:val="13"/>
                <w:color w:val="auto"/>
              </w:rPr>
            </w:pPr>
          </w:p>
        </w:tc>
        <w:tc>
          <w:tcPr>
            <w:tcW w:w="204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WEIGHTED AVERAGE</w:t>
            </w:r>
          </w:p>
        </w:tc>
      </w:tr>
      <w:tr>
        <w:trPr>
          <w:trHeight w:val="162"/>
        </w:trPr>
        <w:tc>
          <w:tcPr>
            <w:tcW w:w="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2780" w:type="dxa"/>
            <w:vAlign w:val="bottom"/>
            <w:gridSpan w:val="3"/>
          </w:tcPr>
          <w:p>
            <w:pPr>
              <w:ind w:left="740"/>
              <w:spacing w:after="0"/>
              <w:rPr>
                <w:sz w:val="20"/>
                <w:szCs w:val="20"/>
                <w:color w:val="auto"/>
              </w:rPr>
            </w:pPr>
            <w:r>
              <w:rPr>
                <w:rFonts w:ascii="Arial" w:cs="Arial" w:eastAsia="Arial" w:hAnsi="Arial"/>
                <w:sz w:val="14"/>
                <w:szCs w:val="14"/>
                <w:b w:val="1"/>
                <w:bCs w:val="1"/>
                <w:color w:val="auto"/>
              </w:rPr>
              <w:t>OUTSTANDING AT END</w:t>
            </w:r>
          </w:p>
        </w:tc>
        <w:tc>
          <w:tcPr>
            <w:tcW w:w="3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320" w:type="dxa"/>
            <w:vAlign w:val="bottom"/>
            <w:gridSpan w:val="2"/>
          </w:tcPr>
          <w:p>
            <w:pPr>
              <w:jc w:val="center"/>
              <w:ind w:left="616"/>
              <w:spacing w:after="0"/>
              <w:rPr>
                <w:sz w:val="20"/>
                <w:szCs w:val="20"/>
                <w:color w:val="auto"/>
              </w:rPr>
            </w:pPr>
            <w:r>
              <w:rPr>
                <w:rFonts w:ascii="Arial" w:cs="Arial" w:eastAsia="Arial" w:hAnsi="Arial"/>
                <w:sz w:val="14"/>
                <w:szCs w:val="14"/>
                <w:b w:val="1"/>
                <w:bCs w:val="1"/>
                <w:color w:val="auto"/>
              </w:rPr>
              <w:t>EXERCISABLE AT END</w:t>
            </w:r>
          </w:p>
        </w:tc>
        <w:tc>
          <w:tcPr>
            <w:tcW w:w="276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rPr>
              <w:t>REMAINING CONTRACTUAL</w:t>
            </w:r>
          </w:p>
        </w:tc>
      </w:tr>
      <w:tr>
        <w:trPr>
          <w:trHeight w:val="162"/>
        </w:trPr>
        <w:tc>
          <w:tcPr>
            <w:tcW w:w="4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SHARE</w:t>
            </w:r>
          </w:p>
        </w:tc>
        <w:tc>
          <w:tcPr>
            <w:tcW w:w="740" w:type="dxa"/>
            <w:vAlign w:val="bottom"/>
          </w:tcPr>
          <w:p>
            <w:pPr>
              <w:spacing w:after="0"/>
              <w:rPr>
                <w:sz w:val="14"/>
                <w:szCs w:val="14"/>
                <w:color w:val="auto"/>
              </w:rPr>
            </w:pPr>
          </w:p>
        </w:tc>
        <w:tc>
          <w:tcPr>
            <w:tcW w:w="204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rPr>
              <w:t>OF YEAR</w:t>
            </w:r>
          </w:p>
        </w:tc>
        <w:tc>
          <w:tcPr>
            <w:tcW w:w="300" w:type="dxa"/>
            <w:vAlign w:val="bottom"/>
          </w:tcPr>
          <w:p>
            <w:pPr>
              <w:spacing w:after="0"/>
              <w:rPr>
                <w:sz w:val="14"/>
                <w:szCs w:val="14"/>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CONTRACTUAL LIFE</w:t>
            </w:r>
          </w:p>
        </w:tc>
        <w:tc>
          <w:tcPr>
            <w:tcW w:w="720" w:type="dxa"/>
            <w:vAlign w:val="bottom"/>
          </w:tcPr>
          <w:p>
            <w:pPr>
              <w:spacing w:after="0"/>
              <w:rPr>
                <w:sz w:val="14"/>
                <w:szCs w:val="14"/>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OF YEAR</w:t>
            </w:r>
          </w:p>
        </w:tc>
        <w:tc>
          <w:tcPr>
            <w:tcW w:w="720" w:type="dxa"/>
            <w:vAlign w:val="bottom"/>
          </w:tcPr>
          <w:p>
            <w:pPr>
              <w:spacing w:after="0"/>
              <w:rPr>
                <w:sz w:val="14"/>
                <w:szCs w:val="14"/>
                <w:color w:val="auto"/>
              </w:rPr>
            </w:pPr>
          </w:p>
        </w:tc>
        <w:tc>
          <w:tcPr>
            <w:tcW w:w="20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LIFE</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0"/>
        </w:trPr>
        <w:tc>
          <w:tcPr>
            <w:tcW w:w="1340" w:type="dxa"/>
            <w:vAlign w:val="bottom"/>
            <w:gridSpan w:val="2"/>
            <w:shd w:val="clear" w:color="auto" w:fill="CCEEFF"/>
          </w:tcPr>
          <w:p>
            <w:pPr>
              <w:jc w:val="center"/>
              <w:spacing w:after="0" w:line="170" w:lineRule="exact"/>
              <w:rPr>
                <w:sz w:val="20"/>
                <w:szCs w:val="20"/>
                <w:color w:val="auto"/>
              </w:rPr>
            </w:pPr>
            <w:r>
              <w:rPr>
                <w:rFonts w:ascii="Arial" w:cs="Arial" w:eastAsia="Arial" w:hAnsi="Arial"/>
                <w:sz w:val="17"/>
                <w:szCs w:val="17"/>
                <w:color w:val="auto"/>
                <w:w w:val="94"/>
              </w:rPr>
              <w:t>$0</w:t>
            </w:r>
          </w:p>
        </w:tc>
        <w:tc>
          <w:tcPr>
            <w:tcW w:w="7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322,853</w:t>
            </w: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444"/>
              <w:spacing w:after="0" w:line="170" w:lineRule="exact"/>
              <w:rPr>
                <w:sz w:val="20"/>
                <w:szCs w:val="20"/>
                <w:color w:val="auto"/>
              </w:rPr>
            </w:pPr>
            <w:r>
              <w:rPr>
                <w:rFonts w:ascii="Arial" w:cs="Arial" w:eastAsia="Arial" w:hAnsi="Arial"/>
                <w:sz w:val="17"/>
                <w:szCs w:val="17"/>
                <w:color w:val="auto"/>
              </w:rPr>
              <w:t>5.0</w:t>
            </w:r>
          </w:p>
        </w:tc>
        <w:tc>
          <w:tcPr>
            <w:tcW w:w="7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138,187</w:t>
            </w:r>
          </w:p>
        </w:tc>
        <w:tc>
          <w:tcPr>
            <w:tcW w:w="720" w:type="dxa"/>
            <w:vAlign w:val="bottom"/>
            <w:shd w:val="clear" w:color="auto" w:fill="CCEEFF"/>
          </w:tcPr>
          <w:p>
            <w:pPr>
              <w:spacing w:after="0"/>
              <w:rPr>
                <w:sz w:val="14"/>
                <w:szCs w:val="14"/>
                <w:color w:val="auto"/>
              </w:rPr>
            </w:pPr>
          </w:p>
        </w:tc>
        <w:tc>
          <w:tcPr>
            <w:tcW w:w="1980" w:type="dxa"/>
            <w:vAlign w:val="bottom"/>
            <w:shd w:val="clear" w:color="auto" w:fill="CCEEFF"/>
          </w:tcPr>
          <w:p>
            <w:pPr>
              <w:jc w:val="center"/>
              <w:ind w:left="264"/>
              <w:spacing w:after="0" w:line="170" w:lineRule="exact"/>
              <w:rPr>
                <w:sz w:val="20"/>
                <w:szCs w:val="20"/>
                <w:color w:val="auto"/>
              </w:rPr>
            </w:pPr>
            <w:r>
              <w:rPr>
                <w:rFonts w:ascii="Arial" w:cs="Arial" w:eastAsia="Arial" w:hAnsi="Arial"/>
                <w:sz w:val="17"/>
                <w:szCs w:val="17"/>
                <w:color w:val="auto"/>
              </w:rPr>
              <w:t>5.6</w:t>
            </w:r>
          </w:p>
        </w:tc>
        <w:tc>
          <w:tcPr>
            <w:tcW w:w="60" w:type="dxa"/>
            <w:vAlign w:val="bottom"/>
            <w:shd w:val="clear" w:color="auto" w:fill="CCEEFF"/>
          </w:tcPr>
          <w:p>
            <w:pPr>
              <w:spacing w:after="0"/>
              <w:rPr>
                <w:sz w:val="14"/>
                <w:szCs w:val="14"/>
                <w:color w:val="auto"/>
              </w:rPr>
            </w:pPr>
          </w:p>
        </w:tc>
      </w:tr>
      <w:tr>
        <w:trPr>
          <w:trHeight w:val="189"/>
        </w:trPr>
        <w:tc>
          <w:tcPr>
            <w:tcW w:w="134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8"/>
              </w:rPr>
              <w:t>$1.56</w:t>
            </w:r>
          </w:p>
        </w:tc>
        <w:tc>
          <w:tcPr>
            <w:tcW w:w="2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12,800</w:t>
            </w:r>
          </w:p>
        </w:tc>
        <w:tc>
          <w:tcPr>
            <w:tcW w:w="420" w:type="dxa"/>
            <w:vAlign w:val="bottom"/>
          </w:tcPr>
          <w:p>
            <w:pPr>
              <w:spacing w:after="0"/>
              <w:rPr>
                <w:sz w:val="16"/>
                <w:szCs w:val="16"/>
                <w:color w:val="auto"/>
              </w:rPr>
            </w:pPr>
          </w:p>
        </w:tc>
        <w:tc>
          <w:tcPr>
            <w:tcW w:w="1820" w:type="dxa"/>
            <w:vAlign w:val="bottom"/>
            <w:gridSpan w:val="2"/>
          </w:tcPr>
          <w:p>
            <w:pPr>
              <w:jc w:val="right"/>
              <w:ind w:right="444"/>
              <w:spacing w:after="0" w:line="189" w:lineRule="exact"/>
              <w:rPr>
                <w:sz w:val="20"/>
                <w:szCs w:val="20"/>
                <w:color w:val="auto"/>
              </w:rPr>
            </w:pPr>
            <w:r>
              <w:rPr>
                <w:rFonts w:ascii="Arial" w:cs="Arial" w:eastAsia="Arial" w:hAnsi="Arial"/>
                <w:sz w:val="17"/>
                <w:szCs w:val="17"/>
                <w:color w:val="auto"/>
              </w:rPr>
              <w:t>6.3</w:t>
            </w:r>
          </w:p>
        </w:tc>
        <w:tc>
          <w:tcPr>
            <w:tcW w:w="2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12,800</w:t>
            </w:r>
          </w:p>
        </w:tc>
        <w:tc>
          <w:tcPr>
            <w:tcW w:w="2700" w:type="dxa"/>
            <w:vAlign w:val="bottom"/>
            <w:gridSpan w:val="2"/>
          </w:tcPr>
          <w:p>
            <w:pPr>
              <w:jc w:val="center"/>
              <w:ind w:left="976"/>
              <w:spacing w:after="0" w:line="189" w:lineRule="exact"/>
              <w:rPr>
                <w:sz w:val="20"/>
                <w:szCs w:val="20"/>
                <w:color w:val="auto"/>
              </w:rPr>
            </w:pPr>
            <w:r>
              <w:rPr>
                <w:rFonts w:ascii="Arial" w:cs="Arial" w:eastAsia="Arial" w:hAnsi="Arial"/>
                <w:sz w:val="17"/>
                <w:szCs w:val="17"/>
                <w:color w:val="auto"/>
              </w:rPr>
              <w:t>6.3</w:t>
            </w:r>
          </w:p>
        </w:tc>
        <w:tc>
          <w:tcPr>
            <w:tcW w:w="60" w:type="dxa"/>
            <w:vAlign w:val="bottom"/>
          </w:tcPr>
          <w:p>
            <w:pPr>
              <w:spacing w:after="0"/>
              <w:rPr>
                <w:sz w:val="16"/>
                <w:szCs w:val="16"/>
                <w:color w:val="auto"/>
              </w:rPr>
            </w:pPr>
          </w:p>
        </w:tc>
      </w:tr>
      <w:tr>
        <w:trPr>
          <w:trHeight w:val="189"/>
        </w:trPr>
        <w:tc>
          <w:tcPr>
            <w:tcW w:w="13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$1.78</w:t>
            </w:r>
          </w:p>
        </w:tc>
        <w:tc>
          <w:tcPr>
            <w:tcW w:w="2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54,400</w:t>
            </w:r>
          </w:p>
        </w:tc>
        <w:tc>
          <w:tcPr>
            <w:tcW w:w="4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444"/>
              <w:spacing w:after="0" w:line="189" w:lineRule="exact"/>
              <w:rPr>
                <w:sz w:val="20"/>
                <w:szCs w:val="20"/>
                <w:color w:val="auto"/>
              </w:rPr>
            </w:pPr>
            <w:r>
              <w:rPr>
                <w:rFonts w:ascii="Arial" w:cs="Arial" w:eastAsia="Arial" w:hAnsi="Arial"/>
                <w:sz w:val="17"/>
                <w:szCs w:val="17"/>
                <w:color w:val="auto"/>
              </w:rPr>
              <w:t>5.8</w:t>
            </w:r>
          </w:p>
        </w:tc>
        <w:tc>
          <w:tcPr>
            <w:tcW w:w="2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18,134</w:t>
            </w:r>
          </w:p>
        </w:tc>
        <w:tc>
          <w:tcPr>
            <w:tcW w:w="2700" w:type="dxa"/>
            <w:vAlign w:val="bottom"/>
            <w:gridSpan w:val="2"/>
            <w:shd w:val="clear" w:color="auto" w:fill="CCEEFF"/>
          </w:tcPr>
          <w:p>
            <w:pPr>
              <w:jc w:val="center"/>
              <w:ind w:left="976"/>
              <w:spacing w:after="0" w:line="189" w:lineRule="exact"/>
              <w:rPr>
                <w:sz w:val="20"/>
                <w:szCs w:val="20"/>
                <w:color w:val="auto"/>
              </w:rPr>
            </w:pPr>
            <w:r>
              <w:rPr>
                <w:rFonts w:ascii="Arial" w:cs="Arial" w:eastAsia="Arial" w:hAnsi="Arial"/>
                <w:sz w:val="17"/>
                <w:szCs w:val="17"/>
                <w:color w:val="auto"/>
              </w:rPr>
              <w:t>5.8</w:t>
            </w:r>
          </w:p>
        </w:tc>
        <w:tc>
          <w:tcPr>
            <w:tcW w:w="60" w:type="dxa"/>
            <w:vAlign w:val="bottom"/>
            <w:shd w:val="clear" w:color="auto" w:fill="CCEEFF"/>
          </w:tcPr>
          <w:p>
            <w:pPr>
              <w:spacing w:after="0"/>
              <w:rPr>
                <w:sz w:val="16"/>
                <w:szCs w:val="16"/>
                <w:color w:val="auto"/>
              </w:rPr>
            </w:pPr>
          </w:p>
        </w:tc>
      </w:tr>
      <w:tr>
        <w:trPr>
          <w:trHeight w:val="189"/>
        </w:trPr>
        <w:tc>
          <w:tcPr>
            <w:tcW w:w="134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8"/>
              </w:rPr>
              <w:t>$2.45</w:t>
            </w:r>
          </w:p>
        </w:tc>
        <w:tc>
          <w:tcPr>
            <w:tcW w:w="2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180,145</w:t>
            </w:r>
          </w:p>
        </w:tc>
        <w:tc>
          <w:tcPr>
            <w:tcW w:w="420" w:type="dxa"/>
            <w:vAlign w:val="bottom"/>
          </w:tcPr>
          <w:p>
            <w:pPr>
              <w:spacing w:after="0"/>
              <w:rPr>
                <w:sz w:val="16"/>
                <w:szCs w:val="16"/>
                <w:color w:val="auto"/>
              </w:rPr>
            </w:pPr>
          </w:p>
        </w:tc>
        <w:tc>
          <w:tcPr>
            <w:tcW w:w="1820" w:type="dxa"/>
            <w:vAlign w:val="bottom"/>
            <w:gridSpan w:val="2"/>
          </w:tcPr>
          <w:p>
            <w:pPr>
              <w:jc w:val="right"/>
              <w:ind w:right="444"/>
              <w:spacing w:after="0" w:line="189" w:lineRule="exact"/>
              <w:rPr>
                <w:sz w:val="20"/>
                <w:szCs w:val="20"/>
                <w:color w:val="auto"/>
              </w:rPr>
            </w:pPr>
            <w:r>
              <w:rPr>
                <w:rFonts w:ascii="Arial" w:cs="Arial" w:eastAsia="Arial" w:hAnsi="Arial"/>
                <w:sz w:val="17"/>
                <w:szCs w:val="17"/>
                <w:color w:val="auto"/>
              </w:rPr>
              <w:t>1.0</w:t>
            </w:r>
          </w:p>
        </w:tc>
        <w:tc>
          <w:tcPr>
            <w:tcW w:w="2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180,145</w:t>
            </w:r>
          </w:p>
        </w:tc>
        <w:tc>
          <w:tcPr>
            <w:tcW w:w="2700" w:type="dxa"/>
            <w:vAlign w:val="bottom"/>
            <w:gridSpan w:val="2"/>
          </w:tcPr>
          <w:p>
            <w:pPr>
              <w:jc w:val="center"/>
              <w:ind w:left="976"/>
              <w:spacing w:after="0" w:line="189" w:lineRule="exact"/>
              <w:rPr>
                <w:sz w:val="20"/>
                <w:szCs w:val="20"/>
                <w:color w:val="auto"/>
              </w:rPr>
            </w:pPr>
            <w:r>
              <w:rPr>
                <w:rFonts w:ascii="Arial" w:cs="Arial" w:eastAsia="Arial" w:hAnsi="Arial"/>
                <w:sz w:val="17"/>
                <w:szCs w:val="17"/>
                <w:color w:val="auto"/>
              </w:rPr>
              <w:t>1.0</w:t>
            </w:r>
          </w:p>
        </w:tc>
        <w:tc>
          <w:tcPr>
            <w:tcW w:w="60" w:type="dxa"/>
            <w:vAlign w:val="bottom"/>
          </w:tcPr>
          <w:p>
            <w:pPr>
              <w:spacing w:after="0"/>
              <w:rPr>
                <w:sz w:val="16"/>
                <w:szCs w:val="16"/>
                <w:color w:val="auto"/>
              </w:rPr>
            </w:pPr>
          </w:p>
        </w:tc>
      </w:tr>
      <w:tr>
        <w:trPr>
          <w:trHeight w:val="189"/>
        </w:trPr>
        <w:tc>
          <w:tcPr>
            <w:tcW w:w="13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$4.02</w:t>
            </w:r>
          </w:p>
        </w:tc>
        <w:tc>
          <w:tcPr>
            <w:tcW w:w="2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194,195</w:t>
            </w:r>
          </w:p>
        </w:tc>
        <w:tc>
          <w:tcPr>
            <w:tcW w:w="4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444"/>
              <w:spacing w:after="0" w:line="189" w:lineRule="exact"/>
              <w:rPr>
                <w:sz w:val="20"/>
                <w:szCs w:val="20"/>
                <w:color w:val="auto"/>
              </w:rPr>
            </w:pPr>
            <w:r>
              <w:rPr>
                <w:rFonts w:ascii="Arial" w:cs="Arial" w:eastAsia="Arial" w:hAnsi="Arial"/>
                <w:sz w:val="17"/>
                <w:szCs w:val="17"/>
                <w:color w:val="auto"/>
              </w:rPr>
              <w:t>2.4</w:t>
            </w:r>
          </w:p>
        </w:tc>
        <w:tc>
          <w:tcPr>
            <w:tcW w:w="2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194,195</w:t>
            </w:r>
          </w:p>
        </w:tc>
        <w:tc>
          <w:tcPr>
            <w:tcW w:w="2700" w:type="dxa"/>
            <w:vAlign w:val="bottom"/>
            <w:gridSpan w:val="2"/>
            <w:shd w:val="clear" w:color="auto" w:fill="CCEEFF"/>
          </w:tcPr>
          <w:p>
            <w:pPr>
              <w:jc w:val="center"/>
              <w:ind w:left="976"/>
              <w:spacing w:after="0" w:line="189" w:lineRule="exact"/>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6"/>
                <w:szCs w:val="16"/>
                <w:color w:val="auto"/>
              </w:rPr>
            </w:pPr>
          </w:p>
        </w:tc>
      </w:tr>
      <w:tr>
        <w:trPr>
          <w:trHeight w:val="189"/>
        </w:trPr>
        <w:tc>
          <w:tcPr>
            <w:tcW w:w="134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8"/>
              </w:rPr>
              <w:t>$5.00</w:t>
            </w:r>
          </w:p>
        </w:tc>
        <w:tc>
          <w:tcPr>
            <w:tcW w:w="2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1,357,645</w:t>
            </w:r>
          </w:p>
        </w:tc>
        <w:tc>
          <w:tcPr>
            <w:tcW w:w="420" w:type="dxa"/>
            <w:vAlign w:val="bottom"/>
          </w:tcPr>
          <w:p>
            <w:pPr>
              <w:spacing w:after="0"/>
              <w:rPr>
                <w:sz w:val="16"/>
                <w:szCs w:val="16"/>
                <w:color w:val="auto"/>
              </w:rPr>
            </w:pPr>
          </w:p>
        </w:tc>
        <w:tc>
          <w:tcPr>
            <w:tcW w:w="1820" w:type="dxa"/>
            <w:vAlign w:val="bottom"/>
            <w:gridSpan w:val="2"/>
          </w:tcPr>
          <w:p>
            <w:pPr>
              <w:jc w:val="right"/>
              <w:ind w:right="444"/>
              <w:spacing w:after="0" w:line="189" w:lineRule="exact"/>
              <w:rPr>
                <w:sz w:val="20"/>
                <w:szCs w:val="20"/>
                <w:color w:val="auto"/>
              </w:rPr>
            </w:pPr>
            <w:r>
              <w:rPr>
                <w:rFonts w:ascii="Arial" w:cs="Arial" w:eastAsia="Arial" w:hAnsi="Arial"/>
                <w:sz w:val="17"/>
                <w:szCs w:val="17"/>
                <w:color w:val="auto"/>
              </w:rPr>
              <w:t>5.1</w:t>
            </w:r>
          </w:p>
        </w:tc>
        <w:tc>
          <w:tcPr>
            <w:tcW w:w="2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765,043</w:t>
            </w:r>
          </w:p>
        </w:tc>
        <w:tc>
          <w:tcPr>
            <w:tcW w:w="2700" w:type="dxa"/>
            <w:vAlign w:val="bottom"/>
            <w:gridSpan w:val="2"/>
          </w:tcPr>
          <w:p>
            <w:pPr>
              <w:jc w:val="center"/>
              <w:ind w:left="976"/>
              <w:spacing w:after="0" w:line="189" w:lineRule="exact"/>
              <w:rPr>
                <w:sz w:val="20"/>
                <w:szCs w:val="20"/>
                <w:color w:val="auto"/>
              </w:rPr>
            </w:pPr>
            <w:r>
              <w:rPr>
                <w:rFonts w:ascii="Arial" w:cs="Arial" w:eastAsia="Arial" w:hAnsi="Arial"/>
                <w:sz w:val="17"/>
                <w:szCs w:val="17"/>
                <w:color w:val="auto"/>
              </w:rPr>
              <w:t>4.6</w:t>
            </w:r>
          </w:p>
        </w:tc>
        <w:tc>
          <w:tcPr>
            <w:tcW w:w="60" w:type="dxa"/>
            <w:vAlign w:val="bottom"/>
          </w:tcPr>
          <w:p>
            <w:pPr>
              <w:spacing w:after="0"/>
              <w:rPr>
                <w:sz w:val="16"/>
                <w:szCs w:val="16"/>
                <w:color w:val="auto"/>
              </w:rPr>
            </w:pPr>
          </w:p>
        </w:tc>
      </w:tr>
      <w:tr>
        <w:trPr>
          <w:trHeight w:val="189"/>
        </w:trPr>
        <w:tc>
          <w:tcPr>
            <w:tcW w:w="13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$5.94</w:t>
            </w:r>
          </w:p>
        </w:tc>
        <w:tc>
          <w:tcPr>
            <w:tcW w:w="2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500,799</w:t>
            </w:r>
          </w:p>
        </w:tc>
        <w:tc>
          <w:tcPr>
            <w:tcW w:w="4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444"/>
              <w:spacing w:after="0" w:line="189" w:lineRule="exact"/>
              <w:rPr>
                <w:sz w:val="20"/>
                <w:szCs w:val="20"/>
                <w:color w:val="auto"/>
              </w:rPr>
            </w:pPr>
            <w:r>
              <w:rPr>
                <w:rFonts w:ascii="Arial" w:cs="Arial" w:eastAsia="Arial" w:hAnsi="Arial"/>
                <w:sz w:val="17"/>
                <w:szCs w:val="17"/>
                <w:color w:val="auto"/>
              </w:rPr>
              <w:t>6.3</w:t>
            </w:r>
          </w:p>
        </w:tc>
        <w:tc>
          <w:tcPr>
            <w:tcW w:w="2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80,000</w:t>
            </w:r>
          </w:p>
        </w:tc>
        <w:tc>
          <w:tcPr>
            <w:tcW w:w="2700" w:type="dxa"/>
            <w:vAlign w:val="bottom"/>
            <w:gridSpan w:val="2"/>
            <w:shd w:val="clear" w:color="auto" w:fill="CCEEFF"/>
          </w:tcPr>
          <w:p>
            <w:pPr>
              <w:jc w:val="center"/>
              <w:ind w:left="976"/>
              <w:spacing w:after="0" w:line="189" w:lineRule="exact"/>
              <w:rPr>
                <w:sz w:val="20"/>
                <w:szCs w:val="20"/>
                <w:color w:val="auto"/>
              </w:rPr>
            </w:pPr>
            <w:r>
              <w:rPr>
                <w:rFonts w:ascii="Arial" w:cs="Arial" w:eastAsia="Arial" w:hAnsi="Arial"/>
                <w:sz w:val="17"/>
                <w:szCs w:val="17"/>
                <w:color w:val="auto"/>
                <w:w w:val="84"/>
              </w:rPr>
              <w:t>6</w:t>
            </w:r>
          </w:p>
        </w:tc>
        <w:tc>
          <w:tcPr>
            <w:tcW w:w="60" w:type="dxa"/>
            <w:vAlign w:val="bottom"/>
            <w:shd w:val="clear" w:color="auto" w:fill="CCEEFF"/>
          </w:tcPr>
          <w:p>
            <w:pPr>
              <w:spacing w:after="0"/>
              <w:rPr>
                <w:sz w:val="16"/>
                <w:szCs w:val="16"/>
                <w:color w:val="auto"/>
              </w:rPr>
            </w:pPr>
          </w:p>
        </w:tc>
      </w:tr>
      <w:tr>
        <w:trPr>
          <w:trHeight w:val="196"/>
        </w:trPr>
        <w:tc>
          <w:tcPr>
            <w:tcW w:w="134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8"/>
              </w:rPr>
              <w:t>$6.73</w:t>
            </w:r>
          </w:p>
        </w:tc>
        <w:tc>
          <w:tcPr>
            <w:tcW w:w="74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42,262</w:t>
            </w:r>
          </w:p>
        </w:tc>
        <w:tc>
          <w:tcPr>
            <w:tcW w:w="420" w:type="dxa"/>
            <w:vAlign w:val="bottom"/>
          </w:tcPr>
          <w:p>
            <w:pPr>
              <w:spacing w:after="0"/>
              <w:rPr>
                <w:sz w:val="17"/>
                <w:szCs w:val="17"/>
                <w:color w:val="auto"/>
              </w:rPr>
            </w:pPr>
          </w:p>
        </w:tc>
        <w:tc>
          <w:tcPr>
            <w:tcW w:w="1820" w:type="dxa"/>
            <w:vAlign w:val="bottom"/>
            <w:gridSpan w:val="2"/>
          </w:tcPr>
          <w:p>
            <w:pPr>
              <w:jc w:val="right"/>
              <w:ind w:right="444"/>
              <w:spacing w:after="0" w:line="189" w:lineRule="exact"/>
              <w:rPr>
                <w:sz w:val="20"/>
                <w:szCs w:val="20"/>
                <w:color w:val="auto"/>
              </w:rPr>
            </w:pPr>
            <w:r>
              <w:rPr>
                <w:rFonts w:ascii="Arial" w:cs="Arial" w:eastAsia="Arial" w:hAnsi="Arial"/>
                <w:sz w:val="17"/>
                <w:szCs w:val="17"/>
                <w:color w:val="auto"/>
              </w:rPr>
              <w:t>0.7</w:t>
            </w:r>
          </w:p>
        </w:tc>
        <w:tc>
          <w:tcPr>
            <w:tcW w:w="72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42,262</w:t>
            </w:r>
          </w:p>
        </w:tc>
        <w:tc>
          <w:tcPr>
            <w:tcW w:w="2700" w:type="dxa"/>
            <w:vAlign w:val="bottom"/>
            <w:gridSpan w:val="2"/>
          </w:tcPr>
          <w:p>
            <w:pPr>
              <w:jc w:val="center"/>
              <w:ind w:left="976"/>
              <w:spacing w:after="0" w:line="189" w:lineRule="exact"/>
              <w:rPr>
                <w:sz w:val="20"/>
                <w:szCs w:val="20"/>
                <w:color w:val="auto"/>
              </w:rPr>
            </w:pPr>
            <w:r>
              <w:rPr>
                <w:rFonts w:ascii="Arial" w:cs="Arial" w:eastAsia="Arial" w:hAnsi="Arial"/>
                <w:sz w:val="17"/>
                <w:szCs w:val="17"/>
                <w:color w:val="auto"/>
              </w:rPr>
              <w:t>0.7</w:t>
            </w:r>
          </w:p>
        </w:tc>
        <w:tc>
          <w:tcPr>
            <w:tcW w:w="60" w:type="dxa"/>
            <w:vAlign w:val="bottom"/>
          </w:tcPr>
          <w:p>
            <w:pPr>
              <w:spacing w:after="0"/>
              <w:rPr>
                <w:sz w:val="17"/>
                <w:szCs w:val="17"/>
                <w:color w:val="auto"/>
              </w:rPr>
            </w:pPr>
          </w:p>
        </w:tc>
      </w:tr>
      <w:tr>
        <w:trPr>
          <w:trHeight w:val="189"/>
        </w:trPr>
        <w:tc>
          <w:tcPr>
            <w:tcW w:w="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2,665,099</w:t>
            </w: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1,430,766</w:t>
            </w:r>
          </w:p>
        </w:tc>
        <w:tc>
          <w:tcPr>
            <w:tcW w:w="7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aggregate intrinsic value of the total vested and exercisable options as of December 31, 2016 is $5,683.</w:t>
      </w:r>
    </w:p>
    <w:p>
      <w:pPr>
        <w:spacing w:after="0" w:line="196" w:lineRule="exact"/>
        <w:rPr>
          <w:sz w:val="20"/>
          <w:szCs w:val="20"/>
          <w:color w:val="auto"/>
        </w:rPr>
      </w:pPr>
    </w:p>
    <w:p>
      <w:pPr>
        <w:ind w:left="520" w:hanging="316"/>
        <w:spacing w:after="0"/>
        <w:tabs>
          <w:tab w:leader="none" w:pos="5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following table illustrates the effect of share-based compensation on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4100" w:type="dxa"/>
            <w:vAlign w:val="bottom"/>
            <w:tcBorders>
              <w:bottom w:val="single" w:sz="8" w:color="CCEEFF"/>
            </w:tcBorders>
          </w:tcPr>
          <w:p>
            <w:pPr>
              <w:spacing w:after="0"/>
              <w:rPr>
                <w:sz w:val="13"/>
                <w:szCs w:val="13"/>
                <w:color w:val="auto"/>
              </w:rPr>
            </w:pPr>
          </w:p>
        </w:tc>
        <w:tc>
          <w:tcPr>
            <w:tcW w:w="42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expenses</w:t>
            </w:r>
          </w:p>
        </w:tc>
        <w:tc>
          <w:tcPr>
            <w:tcW w:w="4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1,167</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170</w:t>
            </w:r>
          </w:p>
        </w:tc>
        <w:tc>
          <w:tcPr>
            <w:tcW w:w="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4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800</w:t>
            </w:r>
          </w:p>
        </w:tc>
        <w:tc>
          <w:tcPr>
            <w:tcW w:w="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279</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4440" w:type="dxa"/>
            <w:vAlign w:val="bottom"/>
            <w:gridSpan w:val="2"/>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1,967</w:t>
            </w:r>
          </w:p>
        </w:tc>
        <w:tc>
          <w:tcPr>
            <w:tcW w:w="960" w:type="dxa"/>
            <w:vAlign w:val="bottom"/>
            <w:gridSpan w:val="2"/>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440" w:type="dxa"/>
            <w:vAlign w:val="bottom"/>
            <w:gridSpan w:val="2"/>
          </w:tcPr>
          <w:p>
            <w:pPr>
              <w:jc w:val="right"/>
              <w:ind w:right="2805"/>
              <w:spacing w:after="0"/>
              <w:rPr>
                <w:sz w:val="20"/>
                <w:szCs w:val="20"/>
                <w:color w:val="auto"/>
              </w:rPr>
            </w:pPr>
            <w:r>
              <w:rPr>
                <w:rFonts w:ascii="Arial" w:cs="Arial" w:eastAsia="Arial" w:hAnsi="Arial"/>
                <w:sz w:val="16"/>
                <w:szCs w:val="16"/>
                <w:color w:val="auto"/>
              </w:rPr>
              <w:t>F-20</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jc w:val="both"/>
        <w:ind w:left="520" w:right="60" w:hanging="316"/>
        <w:spacing w:after="0" w:line="238" w:lineRule="auto"/>
        <w:tabs>
          <w:tab w:leader="none" w:pos="5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February, March, April, June and November 2016, the Company increased the number of ordinary shares reserved for issuance under the Company’s share option/incentive plans and arrangements by 320,000, 208,000, 137,600, 131,200 and 90,220 ordinary shares, respectively, to a total amount of 2,703,499 ordinary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9—TAXES ON INCOME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is taxed under Israeli tax laws:</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 Tax rates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income of the Company is taxed at the regular rate. The corporate tax rate for 2016 was 25% and for 2015 was 26.5%.</w:t>
      </w:r>
    </w:p>
    <w:p>
      <w:pPr>
        <w:spacing w:after="0" w:line="156"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7"/>
          <w:szCs w:val="17"/>
          <w:color w:val="auto"/>
        </w:rPr>
        <w:t>In December 2016, the Economic Efficiency Law (Legislative Amendments for Implementing the Economic Policy for the 2017 and 2018 Budget Year), 2016 was published, introducing a gradual reduction in corporate tax rate from 25% to 23%. However, the law also included a temporary provision setting the corporate tax rate in 2017 at 24%. As a result, the corporate tax rate will be 24% in 2017 and 23% in 2018 and thereafter.</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change in tax rate as mentioned above has not affected the Company since the Company has not recognized taxes to date.</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 Tax assessments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All the tax assessments filed by 2013 are considered final.</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 Losses for tax purposes carried forward to future years</w:t>
      </w:r>
    </w:p>
    <w:p>
      <w:pPr>
        <w:spacing w:after="0" w:line="54" w:lineRule="exact"/>
        <w:rPr>
          <w:sz w:val="20"/>
          <w:szCs w:val="20"/>
          <w:color w:val="auto"/>
        </w:rPr>
      </w:pPr>
    </w:p>
    <w:p>
      <w:pPr>
        <w:ind w:left="200" w:right="380"/>
        <w:spacing w:after="0" w:line="243" w:lineRule="auto"/>
        <w:rPr>
          <w:sz w:val="20"/>
          <w:szCs w:val="20"/>
          <w:color w:val="auto"/>
        </w:rPr>
      </w:pPr>
      <w:r>
        <w:rPr>
          <w:rFonts w:ascii="Arial" w:cs="Arial" w:eastAsia="Arial" w:hAnsi="Arial"/>
          <w:sz w:val="17"/>
          <w:szCs w:val="17"/>
          <w:color w:val="auto"/>
        </w:rPr>
        <w:t>As of December 31, 2016, the Company had approximately $14,260 of net carry forward tax losses available to reduce future taxable income without limitation of use.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149860</wp:posOffset>
            </wp:positionV>
            <wp:extent cx="6997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ind w:right="57"/>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8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In respect of:</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7"/>
                <w:szCs w:val="17"/>
                <w:color w:val="auto"/>
              </w:rPr>
              <w:t>Net operating loss carry forward</w:t>
            </w:r>
          </w:p>
        </w:tc>
        <w:tc>
          <w:tcPr>
            <w:tcW w:w="14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$ 3,280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3,691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7"/>
                <w:szCs w:val="17"/>
                <w:color w:val="auto"/>
              </w:rPr>
              <w:t>In-Process R&amp;D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7"/>
                <w:szCs w:val="17"/>
                <w:color w:val="auto"/>
              </w:rPr>
              <w:t>Less—valuation allowance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w w:val="96"/>
              </w:rPr>
              <w:t>(4,158)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500" w:type="dxa"/>
            <w:vAlign w:val="bottom"/>
            <w:gridSpan w:val="2"/>
          </w:tcPr>
          <w:p>
            <w:pPr>
              <w:spacing w:after="0"/>
              <w:rPr>
                <w:sz w:val="20"/>
                <w:szCs w:val="20"/>
                <w:color w:val="auto"/>
              </w:rPr>
            </w:pPr>
            <w:r>
              <w:rPr>
                <w:rFonts w:ascii="Arial" w:cs="Arial" w:eastAsia="Arial" w:hAnsi="Arial"/>
                <w:sz w:val="17"/>
                <w:szCs w:val="17"/>
                <w:color w:val="auto"/>
              </w:rPr>
              <w:t>The change in valuation allowance for the years ended December 31, 2016 and 2015 were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the beginning of the year</w:t>
            </w: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88"/>
              </w:rPr>
              <w:t>$(4,499)</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(2,551)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7"/>
                <w:szCs w:val="17"/>
                <w:color w:val="auto"/>
              </w:rPr>
              <w:t>Changes during the year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341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the end of the year</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(4,158)</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8480" w:type="dxa"/>
            <w:vAlign w:val="bottom"/>
          </w:tcPr>
          <w:p>
            <w:pPr>
              <w:ind w:left="5320"/>
              <w:spacing w:after="0"/>
              <w:rPr>
                <w:sz w:val="20"/>
                <w:szCs w:val="20"/>
                <w:color w:val="auto"/>
              </w:rPr>
            </w:pPr>
            <w:r>
              <w:rPr>
                <w:rFonts w:ascii="Arial" w:cs="Arial" w:eastAsia="Arial" w:hAnsi="Arial"/>
                <w:sz w:val="16"/>
                <w:szCs w:val="16"/>
                <w:color w:val="auto"/>
              </w:rPr>
              <w:t>F-21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The main reconciling item between the statutory tax rate of the Company and the effective rate is the share based compensation and provision for full valuation allowance in respect of tax benefits from carry forward tax losses due to the uncertainty of the realization of such tax benefits.</w:t>
      </w:r>
    </w:p>
    <w:p>
      <w:pPr>
        <w:spacing w:after="0" w:line="185" w:lineRule="exact"/>
        <w:rPr>
          <w:sz w:val="20"/>
          <w:szCs w:val="20"/>
          <w:color w:val="auto"/>
        </w:rPr>
      </w:pPr>
    </w:p>
    <w:p>
      <w:pPr>
        <w:ind w:left="520" w:hanging="316"/>
        <w:spacing w:after="0"/>
        <w:tabs>
          <w:tab w:leader="none" w:pos="520"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As of December 31, 2016 and 2015, the Company had not accrued a provision for uncertain tax positions.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10—LOSS PER ORDINARY SHARE: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sets forth the calculation of basic and diluted loss per share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Basic and diluted: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0" w:type="dxa"/>
            <w:vAlign w:val="bottom"/>
          </w:tcPr>
          <w:p>
            <w:pPr>
              <w:spacing w:after="0" w:line="189" w:lineRule="exact"/>
              <w:rPr>
                <w:sz w:val="20"/>
                <w:szCs w:val="20"/>
                <w:color w:val="auto"/>
              </w:rPr>
            </w:pPr>
            <w:r>
              <w:rPr>
                <w:rFonts w:ascii="Arial" w:cs="Arial" w:eastAsia="Arial" w:hAnsi="Arial"/>
                <w:sz w:val="17"/>
                <w:szCs w:val="17"/>
                <w:color w:val="auto"/>
              </w:rPr>
              <w:t>Loss attributable to equity holders of the Company</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1,941</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12,689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Dividend accumulated for preferred shares during the period</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2,467</w:t>
            </w: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20" w:type="dxa"/>
            <w:vAlign w:val="bottom"/>
            <w:gridSpan w:val="2"/>
          </w:tcPr>
          <w:p>
            <w:pPr>
              <w:spacing w:after="0" w:line="190" w:lineRule="exact"/>
              <w:rPr>
                <w:sz w:val="20"/>
                <w:szCs w:val="20"/>
                <w:color w:val="auto"/>
              </w:rPr>
            </w:pPr>
            <w:r>
              <w:rPr>
                <w:rFonts w:ascii="Arial" w:cs="Arial" w:eastAsia="Arial" w:hAnsi="Arial"/>
                <w:sz w:val="17"/>
                <w:szCs w:val="17"/>
                <w:color w:val="auto"/>
              </w:rPr>
              <w:t>Loss attributable to equity holders of the Company, after deducting dividend accumulated for preferred</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0" w:type="dxa"/>
            <w:vAlign w:val="bottom"/>
          </w:tcPr>
          <w:p>
            <w:pPr>
              <w:ind w:left="240"/>
              <w:spacing w:after="0"/>
              <w:rPr>
                <w:sz w:val="20"/>
                <w:szCs w:val="20"/>
                <w:color w:val="auto"/>
              </w:rPr>
            </w:pPr>
            <w:r>
              <w:rPr>
                <w:rFonts w:ascii="Arial" w:cs="Arial" w:eastAsia="Arial" w:hAnsi="Arial"/>
                <w:sz w:val="17"/>
                <w:szCs w:val="17"/>
                <w:color w:val="auto"/>
              </w:rPr>
              <w:t>shares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4,408</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13,541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number of ordinary shares</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2,305,503</w:t>
            </w:r>
          </w:p>
        </w:tc>
        <w:tc>
          <w:tcPr>
            <w:tcW w:w="6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2,300,968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7"/>
                <w:szCs w:val="17"/>
                <w:color w:val="auto"/>
              </w:rPr>
              <w:t>Loss per ordinary share (LPS)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20" w:type="dxa"/>
            <w:vAlign w:val="bottom"/>
            <w:gridSpan w:val="2"/>
            <w:vMerge w:val="continue"/>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1.91</w:t>
            </w:r>
          </w:p>
        </w:tc>
        <w:tc>
          <w:tcPr>
            <w:tcW w:w="8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7"/>
                <w:szCs w:val="17"/>
                <w:color w:val="auto"/>
              </w:rPr>
              <w:t>5.88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For the years ended December 31, 2016 and 2015, all ordinary shares underlying outstanding options, A-1 warrants and convertible preferred shares have been excluded from the calculation of the diluted loss per share since their effect was anti-dilutive. Diluted LPS does not include 2,665,099 and 2,199,838 ordinary shares underlying outstanding options for the years ended December 31, 2016 and 2015, respectively, 728,312 shares issuable upon exercise of the A-1 warrants for series A-1 preferred shares for the years ended December 31, 2016 and 2015, and 5,193,427 shares issuable upon conversion of preferred shares for the years ended December 31, 2016 and 2015.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11—RELATED PARTIES-TRANSACTIONS AND BALANCES:</w:t>
      </w:r>
    </w:p>
    <w:p>
      <w:pPr>
        <w:spacing w:after="0" w:line="93" w:lineRule="exact"/>
        <w:rPr>
          <w:sz w:val="20"/>
          <w:szCs w:val="20"/>
          <w:color w:val="auto"/>
        </w:rPr>
      </w:pPr>
    </w:p>
    <w:p>
      <w:pPr>
        <w:ind w:left="200" w:right="1060"/>
        <w:spacing w:after="0" w:line="326" w:lineRule="auto"/>
        <w:rPr>
          <w:sz w:val="20"/>
          <w:szCs w:val="20"/>
          <w:color w:val="auto"/>
        </w:rPr>
      </w:pPr>
      <w:r>
        <w:rPr>
          <w:rFonts w:ascii="Arial" w:cs="Arial" w:eastAsia="Arial" w:hAnsi="Arial"/>
          <w:sz w:val="17"/>
          <w:szCs w:val="17"/>
          <w:color w:val="auto"/>
        </w:rPr>
        <w:t xml:space="preserve">Related parties include the Chairman of the Board of Directors, the board members and the Chief Executive Officer of the Company. </w:t>
      </w:r>
      <w:r>
        <w:rPr>
          <w:rFonts w:ascii="Arial" w:cs="Arial" w:eastAsia="Arial" w:hAnsi="Arial"/>
          <w:sz w:val="17"/>
          <w:szCs w:val="17"/>
          <w:b w:val="1"/>
          <w:bCs w:val="1"/>
          <w:i w:val="1"/>
          <w:iCs w:val="1"/>
          <w:color w:val="auto"/>
        </w:rPr>
        <w:t>a.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0"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2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Expenses: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gridSpan w:val="2"/>
          </w:tcPr>
          <w:p>
            <w:pPr>
              <w:spacing w:after="0" w:line="189" w:lineRule="exact"/>
              <w:rPr>
                <w:sz w:val="20"/>
                <w:szCs w:val="20"/>
                <w:color w:val="auto"/>
              </w:rPr>
            </w:pPr>
            <w:r>
              <w:rPr>
                <w:rFonts w:ascii="Arial" w:cs="Arial" w:eastAsia="Arial" w:hAnsi="Arial"/>
                <w:sz w:val="17"/>
                <w:szCs w:val="17"/>
                <w:color w:val="auto"/>
              </w:rPr>
              <w:t>Payroll and related expenses</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622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w w:val="98"/>
              </w:rPr>
              <w:t>440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Management fees</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139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tcPr>
          <w:p>
            <w:pPr>
              <w:spacing w:after="0" w:line="189" w:lineRule="exact"/>
              <w:rPr>
                <w:sz w:val="20"/>
                <w:szCs w:val="20"/>
                <w:color w:val="auto"/>
              </w:rPr>
            </w:pPr>
            <w:r>
              <w:rPr>
                <w:rFonts w:ascii="Arial" w:cs="Arial" w:eastAsia="Arial" w:hAnsi="Arial"/>
                <w:sz w:val="17"/>
                <w:szCs w:val="17"/>
                <w:color w:val="auto"/>
              </w:rPr>
              <w:t>Research grants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896</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579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4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b. Balances with related parties: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spacing w:after="0"/>
              <w:rPr>
                <w:sz w:val="17"/>
                <w:szCs w:val="17"/>
                <w:color w:val="auto"/>
              </w:rPr>
            </w:pPr>
          </w:p>
        </w:tc>
        <w:tc>
          <w:tcPr>
            <w:tcW w:w="50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4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6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Accounts payable and accrued expenses</w:t>
            </w:r>
          </w:p>
        </w:tc>
        <w:tc>
          <w:tcPr>
            <w:tcW w:w="114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7"/>
                <w:szCs w:val="17"/>
                <w:color w:val="auto"/>
              </w:rPr>
              <w:t>Prepaid expenses and other current assets</w:t>
            </w:r>
          </w:p>
        </w:tc>
        <w:tc>
          <w:tcPr>
            <w:tcW w:w="1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gridSpan w:val="3"/>
            <w:vMerge w:val="continue"/>
          </w:tcPr>
          <w:p>
            <w:pPr>
              <w:spacing w:after="0"/>
              <w:rPr>
                <w:sz w:val="15"/>
                <w:szCs w:val="15"/>
                <w:color w:val="auto"/>
              </w:rPr>
            </w:pPr>
          </w:p>
        </w:tc>
        <w:tc>
          <w:tcPr>
            <w:tcW w:w="126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7"/>
                <w:szCs w:val="17"/>
                <w:color w:val="auto"/>
              </w:rPr>
              <w:t>17</w:t>
            </w:r>
          </w:p>
        </w:tc>
        <w:tc>
          <w:tcPr>
            <w:tcW w:w="20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gridSpan w:val="2"/>
            <w:vMerge w:val="restart"/>
          </w:tcPr>
          <w:p>
            <w:pPr>
              <w:ind w:left="5320"/>
              <w:spacing w:after="0"/>
              <w:rPr>
                <w:sz w:val="20"/>
                <w:szCs w:val="20"/>
                <w:color w:val="auto"/>
              </w:rPr>
            </w:pPr>
            <w:r>
              <w:rPr>
                <w:rFonts w:ascii="Arial" w:cs="Arial" w:eastAsia="Arial" w:hAnsi="Arial"/>
                <w:sz w:val="16"/>
                <w:szCs w:val="16"/>
                <w:color w:val="auto"/>
              </w:rPr>
              <w:t>F-22</w:t>
            </w: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 w:type="dxa"/>
            <w:vAlign w:val="bottom"/>
          </w:tcPr>
          <w:p>
            <w:pPr>
              <w:spacing w:after="0"/>
              <w:rPr>
                <w:sz w:val="24"/>
                <w:szCs w:val="24"/>
                <w:color w:val="auto"/>
              </w:rPr>
            </w:pPr>
          </w:p>
        </w:tc>
        <w:tc>
          <w:tcPr>
            <w:tcW w:w="84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162560</wp:posOffset>
            </wp:positionV>
            <wp:extent cx="6997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 Related parties:</w:t>
      </w:r>
    </w:p>
    <w:p>
      <w:pPr>
        <w:spacing w:after="0" w:line="95" w:lineRule="exact"/>
        <w:rPr>
          <w:sz w:val="20"/>
          <w:szCs w:val="20"/>
          <w:color w:val="auto"/>
        </w:rPr>
      </w:pPr>
    </w:p>
    <w:p>
      <w:pPr>
        <w:jc w:val="both"/>
        <w:ind w:left="200"/>
        <w:spacing w:after="0" w:line="238" w:lineRule="auto"/>
        <w:rPr>
          <w:sz w:val="20"/>
          <w:szCs w:val="20"/>
          <w:color w:val="auto"/>
        </w:rPr>
      </w:pPr>
      <w:r>
        <w:rPr>
          <w:rFonts w:ascii="Arial" w:cs="Arial" w:eastAsia="Arial" w:hAnsi="Arial"/>
          <w:sz w:val="17"/>
          <w:szCs w:val="17"/>
          <w:color w:val="auto"/>
        </w:rPr>
        <w:t>UPI entered into a lease agreement, dated as of November 2015 and commencing as of May 2016, for office space in New York, which serves as the headquarters for UPI (see note 6). UPI shares the office space equitably with Kite Pharma, Inc., a Delaware corporation, who is a cosignatory to such lease agreement. Arie Belldegrun, M.D., UPL’s chairman, serves as the Chairman and Chief Executive Officer of Kite Pharma, Inc.</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12—SUBSEQUENT EVENTS:</w:t>
      </w:r>
    </w:p>
    <w:p>
      <w:pPr>
        <w:spacing w:after="0" w:line="80" w:lineRule="exact"/>
        <w:rPr>
          <w:sz w:val="20"/>
          <w:szCs w:val="20"/>
          <w:color w:val="auto"/>
        </w:rPr>
      </w:pPr>
    </w:p>
    <w:p>
      <w:pPr>
        <w:ind w:left="200" w:right="40"/>
        <w:spacing w:after="0" w:line="235" w:lineRule="auto"/>
        <w:rPr>
          <w:sz w:val="20"/>
          <w:szCs w:val="20"/>
          <w:color w:val="auto"/>
        </w:rPr>
      </w:pPr>
      <w:r>
        <w:rPr>
          <w:rFonts w:ascii="Arial" w:cs="Arial" w:eastAsia="Arial" w:hAnsi="Arial"/>
          <w:sz w:val="17"/>
          <w:szCs w:val="17"/>
          <w:color w:val="auto"/>
        </w:rPr>
        <w:t>On April 19, 2017, the Company’s board of directors and shareholders approved an aggregate 3.2-for-1 share split of the Company’s ordinary, Preferred A and Preferred A-1 shares. The share split was effected on April 19, 2017 by the issuance of 2.2 ordinary shares for each outstanding ordinary, Preferred A and Preferred A-1 share held immediately prior to the share split. The Company has evaluated subsequent events through March 8, 2017, the date the financial statements were available to be issued. In connection with the reissuance of the financial statements, the Company has evaluated subsequent events through April 24, 2017, the date the financial statements were available to be reissued.</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80"/>
          </w:cols>
          <w:pgMar w:left="240" w:top="460"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shd w:val="clear" w:color="auto" w:fill="CCEEFF"/>
          </w:tcPr>
          <w:p>
            <w:pPr>
              <w:ind w:left="5140"/>
              <w:spacing w:after="0" w:line="18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line="189" w:lineRule="exact"/>
              <w:rPr>
                <w:sz w:val="20"/>
                <w:szCs w:val="20"/>
                <w:color w:val="auto"/>
              </w:rPr>
            </w:pPr>
            <w:r>
              <w:rPr>
                <w:rFonts w:ascii="Arial" w:cs="Arial" w:eastAsia="Arial" w:hAnsi="Arial"/>
                <w:sz w:val="17"/>
                <w:szCs w:val="17"/>
                <w:b w:val="1"/>
                <w:bCs w:val="1"/>
                <w:color w:val="auto"/>
              </w:rPr>
              <w:t>CURRENT ASSETS: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79,171</w:t>
            </w:r>
          </w:p>
        </w:tc>
        <w:tc>
          <w:tcPr>
            <w:tcW w:w="4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21,362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197</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Inventory</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137</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910</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80,449</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NON-CURRENT ASSETS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710</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741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Other non-current assets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81,188</w:t>
            </w:r>
          </w:p>
        </w:tc>
        <w:tc>
          <w:tcPr>
            <w:tcW w:w="4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LIABILITIES: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3,488</w:t>
            </w:r>
          </w:p>
        </w:tc>
        <w:tc>
          <w:tcPr>
            <w:tcW w:w="400" w:type="dxa"/>
            <w:vAlign w:val="bottom"/>
          </w:tcPr>
          <w:p>
            <w:pPr>
              <w:spacing w:after="0"/>
              <w:rPr>
                <w:sz w:val="16"/>
                <w:szCs w:val="16"/>
                <w:color w:val="auto"/>
              </w:rPr>
            </w:pPr>
          </w:p>
        </w:tc>
        <w:tc>
          <w:tcPr>
            <w:tcW w:w="600" w:type="dxa"/>
            <w:vAlign w:val="bottom"/>
            <w:gridSpan w:val="2"/>
          </w:tcPr>
          <w:p>
            <w:pPr>
              <w:ind w:left="36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1,880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Employee related accrued expenses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1,139</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Deferred revenues</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300</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Proceeds from exercise of warrants for preferred shares</w:t>
            </w:r>
          </w:p>
        </w:tc>
        <w:tc>
          <w:tcPr>
            <w:tcW w:w="2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4,927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NON-CURRENT LIABILITIES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Warrants for preferred shares</w:t>
            </w:r>
          </w:p>
        </w:tc>
        <w:tc>
          <w:tcPr>
            <w:tcW w:w="260" w:type="dxa"/>
            <w:vAlign w:val="bottom"/>
          </w:tcPr>
          <w:p>
            <w:pPr>
              <w:spacing w:after="0"/>
              <w:rPr>
                <w:sz w:val="16"/>
                <w:szCs w:val="16"/>
                <w:color w:val="auto"/>
              </w:rPr>
            </w:pPr>
          </w:p>
        </w:tc>
        <w:tc>
          <w:tcPr>
            <w:tcW w:w="13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3,612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4,927</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6,749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NIS 0.01 par value: 100,000,000 shares and 17,600,000 shares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authorized at September 30, 2017 and December 31, 2016, respectively; 13,178,400</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and 2,305,743 issued and outstanding at September 30, 2017 and December 31, 2016,</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respectively.</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00" w:type="dxa"/>
            <w:vAlign w:val="bottom"/>
          </w:tcPr>
          <w:p>
            <w:pPr>
              <w:ind w:left="240"/>
              <w:spacing w:after="0" w:line="183" w:lineRule="exact"/>
              <w:rPr>
                <w:sz w:val="20"/>
                <w:szCs w:val="20"/>
                <w:color w:val="auto"/>
              </w:rPr>
            </w:pPr>
            <w:r>
              <w:rPr>
                <w:rFonts w:ascii="Arial" w:cs="Arial" w:eastAsia="Arial" w:hAnsi="Arial"/>
                <w:sz w:val="17"/>
                <w:szCs w:val="17"/>
                <w:color w:val="auto"/>
              </w:rPr>
              <w:t>Preferred A and Preferred A-1 shares, NIS 0.01 par value: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ind w:left="480"/>
              <w:spacing w:after="0" w:line="189" w:lineRule="exact"/>
              <w:rPr>
                <w:sz w:val="20"/>
                <w:szCs w:val="20"/>
                <w:color w:val="auto"/>
              </w:rPr>
            </w:pPr>
            <w:r>
              <w:rPr>
                <w:rFonts w:ascii="Arial" w:cs="Arial" w:eastAsia="Arial" w:hAnsi="Arial"/>
                <w:sz w:val="17"/>
                <w:szCs w:val="17"/>
                <w:color w:val="auto"/>
              </w:rPr>
              <w:t>14,400,000 shares authorized at December 31, 2016, 5,193,427 shares issued and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900" w:type="dxa"/>
            <w:vAlign w:val="bottom"/>
          </w:tcPr>
          <w:p>
            <w:pPr>
              <w:ind w:left="480"/>
              <w:spacing w:after="0"/>
              <w:rPr>
                <w:sz w:val="20"/>
                <w:szCs w:val="20"/>
                <w:color w:val="auto"/>
              </w:rPr>
            </w:pPr>
            <w:r>
              <w:rPr>
                <w:rFonts w:ascii="Arial" w:cs="Arial" w:eastAsia="Arial" w:hAnsi="Arial"/>
                <w:sz w:val="17"/>
                <w:szCs w:val="17"/>
                <w:color w:val="auto"/>
              </w:rPr>
              <w:t>outstanding at December 31, 2016.</w:t>
            </w:r>
          </w:p>
        </w:tc>
        <w:tc>
          <w:tcPr>
            <w:tcW w:w="26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113,354</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43,502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260" w:type="dxa"/>
            <w:vAlign w:val="bottom"/>
          </w:tcPr>
          <w:p>
            <w:pPr>
              <w:spacing w:after="0"/>
              <w:rPr>
                <w:sz w:val="17"/>
                <w:szCs w:val="17"/>
                <w:color w:val="auto"/>
              </w:rPr>
            </w:pPr>
          </w:p>
        </w:tc>
        <w:tc>
          <w:tcPr>
            <w:tcW w:w="13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(37,128)</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(27,214)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76,261</w:t>
            </w: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81,188</w:t>
            </w:r>
          </w:p>
        </w:tc>
        <w:tc>
          <w:tcPr>
            <w:tcW w:w="40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23,056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and per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REVENUES</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7,831</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89" w:lineRule="exact"/>
              <w:rPr>
                <w:sz w:val="20"/>
                <w:szCs w:val="20"/>
                <w:color w:val="auto"/>
              </w:rPr>
            </w:pPr>
            <w:r>
              <w:rPr>
                <w:rFonts w:ascii="Arial" w:cs="Arial" w:eastAsia="Arial" w:hAnsi="Arial"/>
                <w:sz w:val="17"/>
                <w:szCs w:val="17"/>
                <w:b w:val="1"/>
                <w:bCs w:val="1"/>
                <w:color w:val="auto"/>
              </w:rPr>
              <w:t>COST OF REVENUES</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313</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GROSS PROFIT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7,518</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tcPr>
          <w:p>
            <w:pPr>
              <w:spacing w:after="0" w:line="189" w:lineRule="exact"/>
              <w:rPr>
                <w:sz w:val="20"/>
                <w:szCs w:val="20"/>
                <w:color w:val="auto"/>
              </w:rPr>
            </w:pPr>
            <w:r>
              <w:rPr>
                <w:rFonts w:ascii="Arial" w:cs="Arial" w:eastAsia="Arial" w:hAnsi="Arial"/>
                <w:sz w:val="17"/>
                <w:szCs w:val="17"/>
                <w:b w:val="1"/>
                <w:bCs w:val="1"/>
                <w:color w:val="auto"/>
              </w:rPr>
              <w:t>OPERATING EXPENSES: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 EXPENSES, NET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11,936</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 EXPENSES</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5,374</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LOSS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9,792</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13,103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89" w:lineRule="exact"/>
              <w:rPr>
                <w:sz w:val="20"/>
                <w:szCs w:val="20"/>
                <w:color w:val="auto"/>
              </w:rPr>
            </w:pPr>
            <w:r>
              <w:rPr>
                <w:rFonts w:ascii="Arial" w:cs="Arial" w:eastAsia="Arial" w:hAnsi="Arial"/>
                <w:sz w:val="17"/>
                <w:szCs w:val="17"/>
                <w:b w:val="1"/>
                <w:bCs w:val="1"/>
                <w:color w:val="auto"/>
              </w:rPr>
              <w:t>FINANCE EXPENSES, net</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122</w:t>
            </w: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9,914</w:t>
            </w:r>
          </w:p>
        </w:tc>
        <w:tc>
          <w:tcPr>
            <w:tcW w:w="7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14,864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PER ORDINARY SHARE BASIC AND DILUTED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gridSpan w:val="2"/>
            <w:vMerge w:val="continue"/>
          </w:tcPr>
          <w:p>
            <w:pPr>
              <w:spacing w:after="0"/>
              <w:rPr>
                <w:sz w:val="15"/>
                <w:szCs w:val="15"/>
                <w:color w:val="auto"/>
              </w:rPr>
            </w:pPr>
          </w:p>
        </w:tc>
        <w:tc>
          <w:tcPr>
            <w:tcW w:w="4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1.31</w:t>
            </w:r>
          </w:p>
        </w:tc>
        <w:tc>
          <w:tcPr>
            <w:tcW w:w="76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220" w:type="dxa"/>
            <w:vAlign w:val="bottom"/>
            <w:shd w:val="clear" w:color="auto" w:fill="CCEEFF"/>
          </w:tcPr>
          <w:p>
            <w:pPr>
              <w:spacing w:after="0" w:line="157" w:lineRule="exact"/>
              <w:rPr>
                <w:sz w:val="20"/>
                <w:szCs w:val="20"/>
                <w:color w:val="auto"/>
              </w:rPr>
            </w:pPr>
            <w:r>
              <w:rPr>
                <w:rFonts w:ascii="Arial" w:cs="Arial" w:eastAsia="Arial" w:hAnsi="Arial"/>
                <w:sz w:val="17"/>
                <w:szCs w:val="17"/>
                <w:b w:val="1"/>
                <w:bCs w:val="1"/>
                <w:color w:val="auto"/>
              </w:rPr>
              <w:t>WEIGHTED AVERAGE NUMBER OF ORDINARY SHARES OUTSTANDING USED IN COMPUTATING</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BASIC AND DILUTED LOSS PER ORDINARY SHARE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8,223,124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 7</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ORDINARY</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left="288"/>
              <w:spacing w:after="0"/>
              <w:rPr>
                <w:sz w:val="20"/>
                <w:szCs w:val="20"/>
                <w:color w:val="auto"/>
              </w:rPr>
            </w:pPr>
            <w:r>
              <w:rPr>
                <w:rFonts w:ascii="Arial" w:cs="Arial" w:eastAsia="Arial" w:hAnsi="Arial"/>
                <w:sz w:val="14"/>
                <w:szCs w:val="14"/>
                <w:b w:val="1"/>
                <w:bCs w:val="1"/>
                <w:color w:val="auto"/>
              </w:rPr>
              <w:t>PREFERRED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4"/>
          </w:tcPr>
          <w:p>
            <w:pPr>
              <w:ind w:lef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Borders>
              <w:bottom w:val="single" w:sz="8" w:color="auto"/>
            </w:tcBorders>
            <w:gridSpan w:val="4"/>
          </w:tcPr>
          <w:p>
            <w:pPr>
              <w:jc w:val="center"/>
              <w:ind w:left="288"/>
              <w:spacing w:after="0" w:line="155" w:lineRule="exact"/>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20" w:type="dxa"/>
            <w:vAlign w:val="bottom"/>
            <w:gridSpan w:val="3"/>
          </w:tcPr>
          <w:p>
            <w:pPr>
              <w:jc w:val="right"/>
              <w:ind w:right="160"/>
              <w:spacing w:after="0" w:line="156"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gridSpan w:val="3"/>
          </w:tcPr>
          <w:p>
            <w:pPr>
              <w:jc w:val="right"/>
              <w:ind w:right="160"/>
              <w:spacing w:after="0" w:line="156"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8"/>
              <w:spacing w:after="0" w:line="156"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2017</w:t>
            </w: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2,305,743</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w:t>
            </w:r>
          </w:p>
        </w:tc>
        <w:tc>
          <w:tcPr>
            <w:tcW w:w="10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5,193,427</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43,502</w:t>
            </w:r>
          </w:p>
        </w:tc>
        <w:tc>
          <w:tcPr>
            <w:tcW w:w="360" w:type="dxa"/>
            <w:vAlign w:val="bottom"/>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(27,214)</w:t>
            </w:r>
          </w:p>
        </w:tc>
        <w:tc>
          <w:tcPr>
            <w:tcW w:w="2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16,307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NINE MONTHS ENDED</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tcPr>
          <w:p>
            <w:pPr>
              <w:ind w:left="2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Exercise of options into ordinary shares</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170,816*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Exercise of warrants into preferred shares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364,036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auto"/>
              </w:rPr>
              <w:t>Conversion of preferred shares into ordinary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tcPr>
          <w:p>
            <w:pPr>
              <w:ind w:left="480"/>
              <w:spacing w:after="0" w:line="157" w:lineRule="exact"/>
              <w:rPr>
                <w:sz w:val="20"/>
                <w:szCs w:val="20"/>
                <w:color w:val="auto"/>
              </w:rPr>
            </w:pPr>
            <w:r>
              <w:rPr>
                <w:rFonts w:ascii="Arial" w:cs="Arial" w:eastAsia="Arial" w:hAnsi="Arial"/>
                <w:sz w:val="14"/>
                <w:szCs w:val="14"/>
                <w:color w:val="auto"/>
              </w:rPr>
              <w:t>shares</w:t>
            </w:r>
          </w:p>
        </w:tc>
        <w:tc>
          <w:tcPr>
            <w:tcW w:w="10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5,557,463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14</w:t>
            </w:r>
          </w:p>
        </w:tc>
        <w:tc>
          <w:tcPr>
            <w:tcW w:w="1240" w:type="dxa"/>
            <w:vAlign w:val="bottom"/>
            <w:gridSpan w:val="3"/>
          </w:tcPr>
          <w:p>
            <w:pPr>
              <w:jc w:val="right"/>
              <w:ind w:right="120"/>
              <w:spacing w:after="0" w:line="157" w:lineRule="exact"/>
              <w:rPr>
                <w:sz w:val="20"/>
                <w:szCs w:val="20"/>
                <w:color w:val="auto"/>
              </w:rPr>
            </w:pPr>
            <w:r>
              <w:rPr>
                <w:rFonts w:ascii="Arial" w:cs="Arial" w:eastAsia="Arial" w:hAnsi="Arial"/>
                <w:sz w:val="14"/>
                <w:szCs w:val="14"/>
                <w:color w:val="auto"/>
              </w:rPr>
              <w:t>(5,557,463)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ordinary shares, net of issuance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00" w:type="dxa"/>
            <w:vAlign w:val="bottom"/>
            <w:shd w:val="clear" w:color="auto" w:fill="CCEEFF"/>
          </w:tcPr>
          <w:p>
            <w:pPr>
              <w:ind w:left="480"/>
              <w:spacing w:after="0" w:line="157" w:lineRule="exact"/>
              <w:rPr>
                <w:sz w:val="20"/>
                <w:szCs w:val="20"/>
                <w:color w:val="auto"/>
              </w:rPr>
            </w:pPr>
            <w:r>
              <w:rPr>
                <w:rFonts w:ascii="Arial" w:cs="Arial" w:eastAsia="Arial" w:hAnsi="Arial"/>
                <w:sz w:val="14"/>
                <w:szCs w:val="14"/>
                <w:color w:val="auto"/>
              </w:rPr>
              <w:t>expenses</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5,144,378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60,757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60,772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(9,914)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(9,914)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SEPTEMBER 30, 2017</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13,178,4000</w:t>
            </w: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113,354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(37,128)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JANUARY 1, 2016</w:t>
            </w: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2"/>
            <w:vMerge w:val="continue"/>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2,300,959</w:t>
            </w:r>
          </w:p>
        </w:tc>
        <w:tc>
          <w:tcPr>
            <w:tcW w:w="160" w:type="dxa"/>
            <w:vAlign w:val="bottom"/>
          </w:tcPr>
          <w:p>
            <w:pPr>
              <w:spacing w:after="0"/>
              <w:rPr>
                <w:sz w:val="13"/>
                <w:szCs w:val="13"/>
                <w:color w:val="auto"/>
              </w:rPr>
            </w:pPr>
          </w:p>
        </w:tc>
        <w:tc>
          <w:tcPr>
            <w:tcW w:w="48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6" w:lineRule="exact"/>
              <w:rPr>
                <w:sz w:val="20"/>
                <w:szCs w:val="20"/>
                <w:color w:val="auto"/>
              </w:rPr>
            </w:pPr>
            <w:r>
              <w:rPr>
                <w:rFonts w:ascii="Arial" w:cs="Arial" w:eastAsia="Arial" w:hAnsi="Arial"/>
                <w:sz w:val="14"/>
                <w:szCs w:val="14"/>
                <w:color w:val="auto"/>
              </w:rPr>
              <w:t>6</w:t>
            </w: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5,193,427</w:t>
            </w:r>
          </w:p>
        </w:tc>
        <w:tc>
          <w:tcPr>
            <w:tcW w:w="160" w:type="dxa"/>
            <w:vAlign w:val="bottom"/>
          </w:tcPr>
          <w:p>
            <w:pPr>
              <w:spacing w:after="0"/>
              <w:rPr>
                <w:sz w:val="13"/>
                <w:szCs w:val="13"/>
                <w:color w:val="auto"/>
              </w:rPr>
            </w:pPr>
          </w:p>
        </w:tc>
        <w:tc>
          <w:tcPr>
            <w:tcW w:w="48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6"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3"/>
                <w:szCs w:val="13"/>
                <w:color w:val="auto"/>
              </w:rPr>
            </w:pPr>
          </w:p>
        </w:tc>
        <w:tc>
          <w:tcPr>
            <w:tcW w:w="22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41,535</w:t>
            </w:r>
          </w:p>
        </w:tc>
        <w:tc>
          <w:tcPr>
            <w:tcW w:w="360" w:type="dxa"/>
            <w:vAlign w:val="bottom"/>
            <w:gridSpan w:val="2"/>
          </w:tcPr>
          <w:p>
            <w:pPr>
              <w:ind w:left="220"/>
              <w:spacing w:after="0" w:line="156"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(25,273)</w:t>
            </w:r>
          </w:p>
        </w:tc>
        <w:tc>
          <w:tcPr>
            <w:tcW w:w="2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16,281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CHANGES DURING THE NINE MONTHS ENDED</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auto"/>
              </w:rPr>
              <w:t>Exercise of options into ordinary shares</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Share-based compensation</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(14,864)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(14,864)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SEPTEMBER 30, 2016</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2,305,743</w:t>
            </w: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5,193,427</w:t>
            </w: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42,921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(40,137)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Represents less than one thousand</w:t>
      </w: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w:t>
      </w:r>
    </w:p>
    <w:p>
      <w:pPr>
        <w:jc w:val="center"/>
        <w:ind w:right="-17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8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874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740" w:type="dxa"/>
            <w:vAlign w:val="bottom"/>
          </w:tcPr>
          <w:p>
            <w:pPr>
              <w:ind w:left="240"/>
              <w:spacing w:after="0" w:line="189" w:lineRule="exact"/>
              <w:rPr>
                <w:sz w:val="20"/>
                <w:szCs w:val="20"/>
                <w:color w:val="auto"/>
              </w:rPr>
            </w:pPr>
            <w:r>
              <w:rPr>
                <w:rFonts w:ascii="Arial" w:cs="Arial" w:eastAsia="Arial" w:hAnsi="Arial"/>
                <w:sz w:val="17"/>
                <w:szCs w:val="17"/>
                <w:color w:val="auto"/>
              </w:rPr>
              <w:t>Net loss</w:t>
            </w:r>
          </w:p>
        </w:tc>
        <w:tc>
          <w:tcPr>
            <w:tcW w:w="1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(9,914)</w:t>
            </w:r>
          </w:p>
        </w:tc>
        <w:tc>
          <w:tcPr>
            <w:tcW w:w="3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(14,864)</w:t>
            </w: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Adjustments required to reconcile net loss to net cash used in operating activities: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tcPr>
          <w:p>
            <w:pPr>
              <w:ind w:left="480"/>
              <w:spacing w:after="0" w:line="189" w:lineRule="exact"/>
              <w:rPr>
                <w:sz w:val="20"/>
                <w:szCs w:val="20"/>
                <w:color w:val="auto"/>
              </w:rPr>
            </w:pPr>
            <w:r>
              <w:rPr>
                <w:rFonts w:ascii="Arial" w:cs="Arial" w:eastAsia="Arial" w:hAnsi="Arial"/>
                <w:sz w:val="17"/>
                <w:szCs w:val="17"/>
                <w:color w:val="auto"/>
              </w:rPr>
              <w:t>Depreciation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149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132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Share-based compensation</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4,031</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1,386</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tcPr>
          <w:p>
            <w:pPr>
              <w:ind w:left="480"/>
              <w:spacing w:after="0" w:line="189" w:lineRule="exact"/>
              <w:rPr>
                <w:sz w:val="20"/>
                <w:szCs w:val="20"/>
                <w:color w:val="auto"/>
              </w:rPr>
            </w:pPr>
            <w:r>
              <w:rPr>
                <w:rFonts w:ascii="Arial" w:cs="Arial" w:eastAsia="Arial" w:hAnsi="Arial"/>
                <w:sz w:val="17"/>
                <w:szCs w:val="17"/>
                <w:color w:val="auto"/>
              </w:rPr>
              <w:t>Exchange rates differences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Fair value adjustment of warrants for preferred shares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1,761</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tcPr>
          <w:p>
            <w:pPr>
              <w:ind w:left="240"/>
              <w:spacing w:after="0" w:line="189" w:lineRule="exact"/>
              <w:rPr>
                <w:sz w:val="20"/>
                <w:szCs w:val="20"/>
                <w:color w:val="auto"/>
              </w:rPr>
            </w:pPr>
            <w:r>
              <w:rPr>
                <w:rFonts w:ascii="Arial" w:cs="Arial" w:eastAsia="Arial" w:hAnsi="Arial"/>
                <w:sz w:val="17"/>
                <w:szCs w:val="17"/>
                <w:color w:val="auto"/>
              </w:rPr>
              <w:t>Changes in operating asset and liabilities: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Decrease (increase) in inventory</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740" w:type="dxa"/>
            <w:vAlign w:val="bottom"/>
          </w:tcPr>
          <w:p>
            <w:pPr>
              <w:ind w:left="480"/>
              <w:spacing w:after="0" w:line="189" w:lineRule="exact"/>
              <w:rPr>
                <w:sz w:val="20"/>
                <w:szCs w:val="20"/>
                <w:color w:val="auto"/>
              </w:rPr>
            </w:pPr>
            <w:r>
              <w:rPr>
                <w:rFonts w:ascii="Arial" w:cs="Arial" w:eastAsia="Arial" w:hAnsi="Arial"/>
                <w:sz w:val="17"/>
                <w:szCs w:val="17"/>
                <w:color w:val="auto"/>
              </w:rPr>
              <w:t>Decrease (increase) in accounts receivable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49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Decrease (increase) in prepaid expenses and other current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(514)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763</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tcPr>
          <w:p>
            <w:pPr>
              <w:ind w:left="480"/>
              <w:spacing w:after="0" w:line="189" w:lineRule="exact"/>
              <w:rPr>
                <w:sz w:val="20"/>
                <w:szCs w:val="20"/>
                <w:color w:val="auto"/>
              </w:rPr>
            </w:pPr>
            <w:r>
              <w:rPr>
                <w:rFonts w:ascii="Arial" w:cs="Arial" w:eastAsia="Arial" w:hAnsi="Arial"/>
                <w:sz w:val="17"/>
                <w:szCs w:val="17"/>
                <w:color w:val="auto"/>
              </w:rPr>
              <w:t>Increase in accounts payable and accrued 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1,704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1,663</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Increase (decrease) in deferred revenues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20" w:type="dxa"/>
            <w:vAlign w:val="bottom"/>
          </w:tcPr>
          <w:p>
            <w:pPr>
              <w:spacing w:after="0"/>
              <w:rPr>
                <w:sz w:val="17"/>
                <w:szCs w:val="17"/>
                <w:color w:val="auto"/>
              </w:rPr>
            </w:pPr>
          </w:p>
        </w:tc>
        <w:tc>
          <w:tcPr>
            <w:tcW w:w="8740" w:type="dxa"/>
            <w:vAlign w:val="bottom"/>
          </w:tcPr>
          <w:p>
            <w:pPr>
              <w:ind w:left="480"/>
              <w:spacing w:after="0" w:line="189" w:lineRule="exact"/>
              <w:rPr>
                <w:sz w:val="20"/>
                <w:szCs w:val="20"/>
                <w:color w:val="auto"/>
              </w:rPr>
            </w:pPr>
            <w:r>
              <w:rPr>
                <w:rFonts w:ascii="Arial" w:cs="Arial" w:eastAsia="Arial" w:hAnsi="Arial"/>
                <w:sz w:val="17"/>
                <w:szCs w:val="17"/>
                <w:color w:val="auto"/>
              </w:rPr>
              <w:t>Increase (decrease) in employee related accrued expenses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cash provided by (used in) operating activities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(3,609)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(9,157)</w:t>
            </w:r>
          </w:p>
        </w:tc>
      </w:tr>
      <w:tr>
        <w:trPr>
          <w:trHeight w:val="196"/>
        </w:trPr>
        <w:tc>
          <w:tcPr>
            <w:tcW w:w="876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Purchase of property and equipment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(578)</w:t>
            </w:r>
          </w:p>
        </w:tc>
      </w:tr>
      <w:tr>
        <w:trPr>
          <w:trHeight w:val="189"/>
        </w:trPr>
        <w:tc>
          <w:tcPr>
            <w:tcW w:w="20" w:type="dxa"/>
            <w:vAlign w:val="bottom"/>
          </w:tcPr>
          <w:p>
            <w:pPr>
              <w:spacing w:after="0"/>
              <w:rPr>
                <w:sz w:val="16"/>
                <w:szCs w:val="16"/>
                <w:color w:val="auto"/>
              </w:rPr>
            </w:pPr>
          </w:p>
        </w:tc>
        <w:tc>
          <w:tcPr>
            <w:tcW w:w="8740" w:type="dxa"/>
            <w:vAlign w:val="bottom"/>
          </w:tcPr>
          <w:p>
            <w:pPr>
              <w:ind w:left="240"/>
              <w:spacing w:after="0" w:line="189" w:lineRule="exact"/>
              <w:rPr>
                <w:sz w:val="20"/>
                <w:szCs w:val="20"/>
                <w:color w:val="auto"/>
              </w:rPr>
            </w:pPr>
            <w:r>
              <w:rPr>
                <w:rFonts w:ascii="Arial" w:cs="Arial" w:eastAsia="Arial" w:hAnsi="Arial"/>
                <w:sz w:val="17"/>
                <w:szCs w:val="17"/>
                <w:color w:val="auto"/>
              </w:rPr>
              <w:t>Change in restricted deposit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(94)</w:t>
            </w: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cash used in investing activities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(672)</w:t>
            </w:r>
          </w:p>
        </w:tc>
      </w:tr>
      <w:tr>
        <w:trPr>
          <w:trHeight w:val="196"/>
        </w:trPr>
        <w:tc>
          <w:tcPr>
            <w:tcW w:w="876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Exercise of options into ordinary shares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333</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740" w:type="dxa"/>
            <w:vAlign w:val="bottom"/>
          </w:tcPr>
          <w:p>
            <w:pPr>
              <w:ind w:left="240"/>
              <w:spacing w:after="0" w:line="189" w:lineRule="exact"/>
              <w:rPr>
                <w:sz w:val="20"/>
                <w:szCs w:val="20"/>
                <w:color w:val="auto"/>
              </w:rPr>
            </w:pPr>
            <w:r>
              <w:rPr>
                <w:rFonts w:ascii="Arial" w:cs="Arial" w:eastAsia="Arial" w:hAnsi="Arial"/>
                <w:sz w:val="17"/>
                <w:szCs w:val="17"/>
                <w:color w:val="auto"/>
              </w:rPr>
              <w:t>Issuance of ordinary shares, net of issuance 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60,926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Payment of deferred equity offering cost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(510)</w:t>
            </w:r>
          </w:p>
        </w:tc>
      </w:tr>
      <w:tr>
        <w:trPr>
          <w:trHeight w:val="196"/>
        </w:trPr>
        <w:tc>
          <w:tcPr>
            <w:tcW w:w="20" w:type="dxa"/>
            <w:vAlign w:val="bottom"/>
          </w:tcPr>
          <w:p>
            <w:pPr>
              <w:spacing w:after="0"/>
              <w:rPr>
                <w:sz w:val="17"/>
                <w:szCs w:val="17"/>
                <w:color w:val="auto"/>
              </w:rPr>
            </w:pPr>
          </w:p>
        </w:tc>
        <w:tc>
          <w:tcPr>
            <w:tcW w:w="8740" w:type="dxa"/>
            <w:vAlign w:val="bottom"/>
          </w:tcPr>
          <w:p>
            <w:pPr>
              <w:ind w:left="240"/>
              <w:spacing w:after="0" w:line="189" w:lineRule="exact"/>
              <w:rPr>
                <w:sz w:val="20"/>
                <w:szCs w:val="20"/>
                <w:color w:val="auto"/>
              </w:rPr>
            </w:pPr>
            <w:r>
              <w:rPr>
                <w:rFonts w:ascii="Arial" w:cs="Arial" w:eastAsia="Arial" w:hAnsi="Arial"/>
                <w:sz w:val="17"/>
                <w:szCs w:val="17"/>
                <w:color w:val="auto"/>
              </w:rPr>
              <w:t>Proceeds from exercise of warrants to preferred shares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570</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61,641</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6"/>
                <w:szCs w:val="16"/>
                <w:color w:val="auto"/>
              </w:rPr>
            </w:pPr>
          </w:p>
        </w:tc>
      </w:tr>
      <w:tr>
        <w:trPr>
          <w:trHeight w:val="196"/>
        </w:trPr>
        <w:tc>
          <w:tcPr>
            <w:tcW w:w="8760" w:type="dxa"/>
            <w:vAlign w:val="bottom"/>
            <w:gridSpan w:val="2"/>
          </w:tcPr>
          <w:p>
            <w:pPr>
              <w:spacing w:after="0"/>
              <w:rPr>
                <w:sz w:val="20"/>
                <w:szCs w:val="20"/>
                <w:color w:val="auto"/>
              </w:rPr>
            </w:pPr>
            <w:r>
              <w:rPr>
                <w:rFonts w:ascii="Arial" w:cs="Arial" w:eastAsia="Arial" w:hAnsi="Arial"/>
                <w:sz w:val="17"/>
                <w:szCs w:val="17"/>
                <w:b w:val="1"/>
                <w:bCs w:val="1"/>
                <w:color w:val="auto"/>
              </w:rPr>
              <w:t>INCREASE (DECREASE) IN CASH AND CASH EQUIVALENTS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57,809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(9,769)</w:t>
            </w:r>
          </w:p>
        </w:tc>
      </w:tr>
      <w:tr>
        <w:trPr>
          <w:trHeight w:val="189"/>
        </w:trPr>
        <w:tc>
          <w:tcPr>
            <w:tcW w:w="20" w:type="dxa"/>
            <w:vAlign w:val="bottom"/>
          </w:tcPr>
          <w:p>
            <w:pPr>
              <w:spacing w:after="0"/>
              <w:rPr>
                <w:sz w:val="16"/>
                <w:szCs w:val="16"/>
                <w:color w:val="auto"/>
              </w:rPr>
            </w:pPr>
          </w:p>
        </w:tc>
        <w:tc>
          <w:tcPr>
            <w:tcW w:w="87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OF CASH AND CASH EQUIVALENTS AT BEGINNING OF THE PERIOD</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21,362</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17,975</w:t>
            </w:r>
          </w:p>
        </w:tc>
        <w:tc>
          <w:tcPr>
            <w:tcW w:w="120" w:type="dxa"/>
            <w:vAlign w:val="bottom"/>
            <w:shd w:val="clear" w:color="auto" w:fill="CCEEFF"/>
          </w:tcPr>
          <w:p>
            <w:pPr>
              <w:spacing w:after="0"/>
              <w:rPr>
                <w:sz w:val="16"/>
                <w:szCs w:val="16"/>
                <w:color w:val="auto"/>
              </w:rPr>
            </w:pPr>
          </w:p>
        </w:tc>
      </w:tr>
      <w:tr>
        <w:trPr>
          <w:trHeight w:val="196"/>
        </w:trPr>
        <w:tc>
          <w:tcPr>
            <w:tcW w:w="8760" w:type="dxa"/>
            <w:vAlign w:val="bottom"/>
            <w:gridSpan w:val="2"/>
          </w:tcPr>
          <w:p>
            <w:pPr>
              <w:spacing w:after="0"/>
              <w:rPr>
                <w:sz w:val="20"/>
                <w:szCs w:val="20"/>
                <w:color w:val="auto"/>
              </w:rPr>
            </w:pPr>
            <w:r>
              <w:rPr>
                <w:rFonts w:ascii="Arial" w:cs="Arial" w:eastAsia="Arial" w:hAnsi="Arial"/>
                <w:sz w:val="17"/>
                <w:szCs w:val="17"/>
                <w:b w:val="1"/>
                <w:bCs w:val="1"/>
                <w:color w:val="auto"/>
              </w:rPr>
              <w:t>BALANCE OF CASH AND CASH EQUIVALENTS AT END OF THE PERIOD</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79,171</w:t>
            </w:r>
          </w:p>
        </w:tc>
        <w:tc>
          <w:tcPr>
            <w:tcW w:w="30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8,206</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740" w:type="dxa"/>
            <w:vAlign w:val="bottom"/>
          </w:tcPr>
          <w:p>
            <w:pPr>
              <w:ind w:left="240"/>
              <w:spacing w:after="0" w:line="189" w:lineRule="exact"/>
              <w:rPr>
                <w:sz w:val="20"/>
                <w:szCs w:val="20"/>
                <w:color w:val="auto"/>
              </w:rPr>
            </w:pPr>
            <w:r>
              <w:rPr>
                <w:rFonts w:ascii="Arial" w:cs="Arial" w:eastAsia="Arial" w:hAnsi="Arial"/>
                <w:sz w:val="17"/>
                <w:szCs w:val="17"/>
                <w:color w:val="auto"/>
              </w:rPr>
              <w:t>Exercise of warrants into preferred shares</w:t>
            </w:r>
          </w:p>
        </w:tc>
        <w:tc>
          <w:tcPr>
            <w:tcW w:w="1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4,732</w:t>
            </w:r>
          </w:p>
        </w:tc>
        <w:tc>
          <w:tcPr>
            <w:tcW w:w="300" w:type="dxa"/>
            <w:vAlign w:val="bottom"/>
          </w:tcPr>
          <w:p>
            <w:pPr>
              <w:spacing w:after="0"/>
              <w:rPr>
                <w:sz w:val="16"/>
                <w:szCs w:val="16"/>
                <w:color w:val="auto"/>
              </w:rPr>
            </w:pPr>
          </w:p>
        </w:tc>
        <w:tc>
          <w:tcPr>
            <w:tcW w:w="3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(U.S. dollars in thousands, except share data)</w:t>
      </w:r>
    </w:p>
    <w:p>
      <w:pPr>
        <w:jc w:val="center"/>
        <w:ind w:right="-23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NATURE OF OPERATIONS</w:t>
      </w:r>
    </w:p>
    <w:p>
      <w:pPr>
        <w:spacing w:after="0" w:line="93" w:lineRule="exact"/>
        <w:rPr>
          <w:sz w:val="20"/>
          <w:szCs w:val="20"/>
          <w:color w:val="auto"/>
        </w:rPr>
      </w:pPr>
    </w:p>
    <w:p>
      <w:pPr>
        <w:ind w:left="520" w:right="60" w:hanging="316"/>
        <w:spacing w:after="0" w:line="238" w:lineRule="auto"/>
        <w:tabs>
          <w:tab w:leader="none" w:pos="5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UroGen Pharma Ltd. is an Israeli-domiciled company incorporated in April 2004 (“UPL”). UroGen Pharma, Inc. a subsidiary of UPL, was incorporated in Delaware in October 2015 and began operating in February 2016 (“UPI”). UPL and UPI are referred to herein together as the “Company.”</w:t>
      </w:r>
    </w:p>
    <w:p>
      <w:pPr>
        <w:spacing w:after="0" w:line="26" w:lineRule="exact"/>
        <w:rPr>
          <w:rFonts w:ascii="Arial" w:cs="Arial" w:eastAsia="Arial" w:hAnsi="Arial"/>
          <w:sz w:val="17"/>
          <w:szCs w:val="17"/>
          <w:color w:val="auto"/>
        </w:rPr>
      </w:pPr>
    </w:p>
    <w:p>
      <w:pPr>
        <w:ind w:left="520" w:right="20"/>
        <w:spacing w:after="0" w:line="243" w:lineRule="auto"/>
        <w:rPr>
          <w:rFonts w:ascii="Arial" w:cs="Arial" w:eastAsia="Arial" w:hAnsi="Arial"/>
          <w:sz w:val="17"/>
          <w:szCs w:val="17"/>
          <w:color w:val="auto"/>
        </w:rPr>
      </w:pPr>
      <w:r>
        <w:rPr>
          <w:rFonts w:ascii="Arial" w:cs="Arial" w:eastAsia="Arial" w:hAnsi="Arial"/>
          <w:sz w:val="17"/>
          <w:szCs w:val="17"/>
          <w:color w:val="auto"/>
        </w:rPr>
        <w:t>The Company is a clinical stage biopharmaceutical company focused on developing novel therapies designed to change the standard of care for urological pathologies.</w:t>
      </w:r>
    </w:p>
    <w:p>
      <w:pPr>
        <w:spacing w:after="0" w:line="22" w:lineRule="exact"/>
        <w:rPr>
          <w:rFonts w:ascii="Arial" w:cs="Arial" w:eastAsia="Arial" w:hAnsi="Arial"/>
          <w:sz w:val="17"/>
          <w:szCs w:val="17"/>
          <w:color w:val="auto"/>
        </w:rPr>
      </w:pPr>
    </w:p>
    <w:p>
      <w:pPr>
        <w:ind w:left="520" w:right="160" w:hanging="316"/>
        <w:spacing w:after="0" w:line="243" w:lineRule="auto"/>
        <w:tabs>
          <w:tab w:leader="none" w:pos="5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May 2017, the Company raised $60.8 million, net of issuance costs and underwriting discounts, in an Initial Public Offering (“IPO”) on the NASDAQ Stock Market (“NASDAQ”) (see Note 6a2).</w:t>
      </w:r>
    </w:p>
    <w:p>
      <w:pPr>
        <w:spacing w:after="0" w:line="22" w:lineRule="exact"/>
        <w:rPr>
          <w:rFonts w:ascii="Arial" w:cs="Arial" w:eastAsia="Arial" w:hAnsi="Arial"/>
          <w:sz w:val="17"/>
          <w:szCs w:val="17"/>
          <w:color w:val="auto"/>
        </w:rPr>
      </w:pPr>
    </w:p>
    <w:p>
      <w:pPr>
        <w:ind w:left="520" w:hanging="316"/>
        <w:spacing w:after="0"/>
        <w:tabs>
          <w:tab w:leader="none" w:pos="5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of the date of approval of the consolidated financial statements, the Company has the ability to fund its planned operations for at least the next 12 months. However, the Company’s product candidates may never achieve commercialization and it will continue to incur losses for the foreseeable future. Therefore, in order to fund the Company’s research and development expenses, general and administrative expenses and capital expenditures until such time that the Company can generate substantial revenues, the Company may need to raise additional funds.</w:t>
      </w:r>
    </w:p>
    <w:p>
      <w:pPr>
        <w:spacing w:after="0" w:line="203" w:lineRule="exact"/>
        <w:rPr>
          <w:rFonts w:ascii="Arial" w:cs="Arial" w:eastAsia="Arial" w:hAnsi="Arial"/>
          <w:sz w:val="17"/>
          <w:szCs w:val="17"/>
          <w:color w:val="auto"/>
        </w:rPr>
      </w:pPr>
    </w:p>
    <w:p>
      <w:pPr>
        <w:ind w:left="520" w:right="100" w:hanging="316"/>
        <w:spacing w:after="0" w:line="238" w:lineRule="auto"/>
        <w:tabs>
          <w:tab w:leader="none" w:pos="5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described in Note 6a1, in April 2017, the Company’s board of directors and shareholders approved a 3.2-for-1 split of the Company’s ordinary, Preferred A and Preferred A-1 shares. All of the share and per share amounts reflected in these financial statements and the notes thereto have been adjusted, on a retroactive basis, to reflect this share split.</w:t>
      </w:r>
    </w:p>
    <w:p>
      <w:pPr>
        <w:spacing w:after="0" w:line="26" w:lineRule="exact"/>
        <w:rPr>
          <w:rFonts w:ascii="Arial" w:cs="Arial" w:eastAsia="Arial" w:hAnsi="Arial"/>
          <w:sz w:val="17"/>
          <w:szCs w:val="17"/>
          <w:color w:val="auto"/>
        </w:rPr>
      </w:pPr>
    </w:p>
    <w:p>
      <w:pPr>
        <w:ind w:left="520" w:right="160" w:hanging="316"/>
        <w:spacing w:after="0" w:line="236" w:lineRule="auto"/>
        <w:tabs>
          <w:tab w:leader="none" w:pos="5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During July 2017, the Company announced that it had earned a milestone payment of $7.5 million under its exclusive worldwide licensing agreement with Allergan Pharmaceuticals International Limited (“Allergan”) resulting from Allergan’s submission of an Investigational New Drug (“IND”) application for the Company’s RTGel in combination with Allergan’s BOTOX for the treatment of overactive bladder to the U.S. Food and Drug Administration (“FDA”). The Company received the milestone payment in August 2017.</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w:t>
      </w:r>
    </w:p>
    <w:p>
      <w:pPr>
        <w:spacing w:after="0" w:line="93"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The unaudited condensed consolidated interim financial statements of the Company have been prepared in accordance with accounting principles generally accepted in the United States of America (“U.S. GAAP”) for interim financial statements. Accordingly, they do not contain all information and notes required by U.S. GAAP for annual financial statements. In the opinion of management, these unaudited condensed consolidated interim financial statements reflect all adjustments, which include normal recurring adjustments, necessary for a fair statement of the Company’s financial position as of September 30, 2017, the results of operations and cash flows for the nine month period ended September 30, 2017 and 2016.</w:t>
      </w:r>
    </w:p>
    <w:p>
      <w:pPr>
        <w:spacing w:after="0" w:line="148"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These unaudited condensed consolidated interim financial statements should be read in conjunction with the audited financial statements for the year ended December 31, 2016 and notes thereto included in the Company’s annual financial statements for the year ended December 31, 2016. The condensed balance sheet data as of December 31, 2016 included in these unaudited condensed consolidated financial statements was derived from the audited financial statements for the year ended December 31, 2016, but does not include all disclosures required by U.S. GAAP.</w:t>
      </w:r>
    </w:p>
    <w:p>
      <w:pPr>
        <w:spacing w:after="0" w:line="149" w:lineRule="exact"/>
        <w:rPr>
          <w:sz w:val="20"/>
          <w:szCs w:val="20"/>
          <w:color w:val="auto"/>
        </w:rPr>
      </w:pPr>
    </w:p>
    <w:p>
      <w:pPr>
        <w:ind w:left="200" w:right="180"/>
        <w:spacing w:after="0" w:line="243" w:lineRule="auto"/>
        <w:rPr>
          <w:sz w:val="20"/>
          <w:szCs w:val="20"/>
          <w:color w:val="auto"/>
        </w:rPr>
      </w:pPr>
      <w:r>
        <w:rPr>
          <w:rFonts w:ascii="Arial" w:cs="Arial" w:eastAsia="Arial" w:hAnsi="Arial"/>
          <w:sz w:val="17"/>
          <w:szCs w:val="17"/>
          <w:color w:val="auto"/>
        </w:rPr>
        <w:t>The results for the nine month period ended September 30, 2017 are not necessarily indicative of the results to be expected for the year ending December 31, 2017.</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3—RECENTLY ISSUED ACCOUNTING PRONOUNCEMENTS:</w:t>
      </w:r>
    </w:p>
    <w:p>
      <w:pPr>
        <w:spacing w:after="0" w:line="80"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(Topic 606), (“ASU 2014-09”). ASU 2014-09 requires entities to recognize revenue that represents the</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00"/>
          </w:cols>
          <w:pgMar w:left="240" w:top="460"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37" w:lineRule="exact"/>
        <w:rPr>
          <w:sz w:val="20"/>
          <w:szCs w:val="20"/>
          <w:color w:val="auto"/>
        </w:rPr>
      </w:pPr>
    </w:p>
    <w:p>
      <w:pPr>
        <w:ind w:left="200" w:right="60"/>
        <w:spacing w:after="0"/>
        <w:rPr>
          <w:sz w:val="20"/>
          <w:szCs w:val="20"/>
          <w:color w:val="auto"/>
        </w:rPr>
      </w:pPr>
      <w:r>
        <w:rPr>
          <w:rFonts w:ascii="Arial" w:cs="Arial" w:eastAsia="Arial" w:hAnsi="Arial"/>
          <w:sz w:val="17"/>
          <w:szCs w:val="17"/>
          <w:color w:val="auto"/>
        </w:rPr>
        <w:t>transfer of promised goods or services to customers in an amount equivalent to the consideration to which the entity expects to be entitled to in exchange for those goods or services. The following steps should be applied to determine this amount: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2014-09 supersedes the revenue recognition requirements in ASU 605, “Revenue Recognition,” and most industry-specific guidance in the Accounting Standards Codification. In August 2015, the FASB issued ASU 2015-14 on this same topic, which defers for one year the effective date of ASU 2014-09, therefore, the guidance is effective for the Company for annual reporting periods, including interim periods therein, beginning January 1, 2018. The new revenue standards may be applied retrospectively to each prior period presented or retrospectively with the cumulative effect recognized as of the date of adoption. The Company is currently evaluating the impact of adopting the guidance on its Consolidated Financial Statements.</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4—FAIR VALUE MEASUREMENT</w:t>
      </w:r>
    </w:p>
    <w:p>
      <w:pPr>
        <w:spacing w:after="0" w:line="93"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49"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Level 1: Quoted prices (unadjusted) in active markets that are accessible at the measurement date for assets or liabilities. The fair value hierarchy gives the highest priority to Level 1 inputs.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Level 2: Observable prices that are based on inputs not quoted on active markets, but corroborated by market data.</w:t>
      </w:r>
    </w:p>
    <w:p>
      <w:pPr>
        <w:spacing w:after="0" w:line="156" w:lineRule="exact"/>
        <w:rPr>
          <w:sz w:val="20"/>
          <w:szCs w:val="20"/>
          <w:color w:val="auto"/>
        </w:rPr>
      </w:pPr>
    </w:p>
    <w:p>
      <w:pPr>
        <w:ind w:left="200" w:right="540"/>
        <w:spacing w:after="0" w:line="243" w:lineRule="auto"/>
        <w:rPr>
          <w:sz w:val="20"/>
          <w:szCs w:val="20"/>
          <w:color w:val="auto"/>
        </w:rPr>
      </w:pPr>
      <w:r>
        <w:rPr>
          <w:rFonts w:ascii="Arial" w:cs="Arial" w:eastAsia="Arial" w:hAnsi="Arial"/>
          <w:sz w:val="17"/>
          <w:szCs w:val="17"/>
          <w:color w:val="auto"/>
        </w:rPr>
        <w:t>Level 3: Unobservable inputs are used when little or no market data is available. The fair value hierarchy gives the lowest priority to Level 3 inputs.</w:t>
      </w:r>
    </w:p>
    <w:p>
      <w:pPr>
        <w:spacing w:after="0" w:line="144" w:lineRule="exact"/>
        <w:rPr>
          <w:sz w:val="20"/>
          <w:szCs w:val="20"/>
          <w:color w:val="auto"/>
        </w:rPr>
      </w:pPr>
    </w:p>
    <w:p>
      <w:pPr>
        <w:ind w:left="200" w:right="780"/>
        <w:spacing w:after="0" w:line="243"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44" w:lineRule="exact"/>
        <w:rPr>
          <w:sz w:val="20"/>
          <w:szCs w:val="20"/>
          <w:color w:val="auto"/>
        </w:rPr>
      </w:pPr>
    </w:p>
    <w:p>
      <w:pPr>
        <w:ind w:left="200" w:right="500"/>
        <w:spacing w:after="0" w:line="243" w:lineRule="auto"/>
        <w:rPr>
          <w:sz w:val="20"/>
          <w:szCs w:val="20"/>
          <w:color w:val="auto"/>
        </w:rPr>
      </w:pPr>
      <w:r>
        <w:rPr>
          <w:rFonts w:ascii="Arial" w:cs="Arial" w:eastAsia="Arial" w:hAnsi="Arial"/>
          <w:sz w:val="17"/>
          <w:szCs w:val="17"/>
          <w:color w:val="auto"/>
        </w:rPr>
        <w:t>The Company’s assets and liabilities that are measured at fair value as of September 30, 2017 and December 31, 2016 are classified in the tables below in one of the three categories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560" w:type="dxa"/>
            <w:vAlign w:val="bottom"/>
            <w:gridSpan w:val="3"/>
          </w:tcPr>
          <w:p>
            <w:pPr>
              <w:ind w:left="2400"/>
              <w:spacing w:after="0"/>
              <w:rPr>
                <w:sz w:val="20"/>
                <w:szCs w:val="20"/>
                <w:color w:val="auto"/>
              </w:rPr>
            </w:pPr>
            <w:r>
              <w:rPr>
                <w:rFonts w:ascii="Arial" w:cs="Arial" w:eastAsia="Arial" w:hAnsi="Arial"/>
                <w:sz w:val="14"/>
                <w:szCs w:val="14"/>
                <w:b w:val="1"/>
                <w:bCs w:val="1"/>
                <w:color w:val="auto"/>
              </w:rPr>
              <w:t>SEPTEMBER 30,</w:t>
            </w:r>
          </w:p>
        </w:tc>
        <w:tc>
          <w:tcPr>
            <w:tcW w:w="2100" w:type="dxa"/>
            <w:vAlign w:val="bottom"/>
            <w:gridSpan w:val="4"/>
          </w:tcPr>
          <w:p>
            <w:pPr>
              <w:ind w:left="9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Warrants for preferred shares—Level 3</w:t>
            </w:r>
          </w:p>
        </w:tc>
        <w:tc>
          <w:tcPr>
            <w:tcW w:w="24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3,612</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200" w:right="220"/>
        <w:spacing w:after="0" w:line="234" w:lineRule="auto"/>
        <w:rPr>
          <w:sz w:val="20"/>
          <w:szCs w:val="20"/>
          <w:color w:val="auto"/>
        </w:rPr>
      </w:pPr>
      <w:r>
        <w:rPr>
          <w:rFonts w:ascii="Arial" w:cs="Arial" w:eastAsia="Arial" w:hAnsi="Arial"/>
          <w:sz w:val="17"/>
          <w:szCs w:val="17"/>
          <w:color w:val="auto"/>
        </w:rPr>
        <w:t>The fair value of the preferred share warrants as of December 31, 2016 was measured in accordance with the Hybrid Method. The Company utilized the Hybrid Method to combine the probability of an IPO scenario at such date, which was estimated at 20%, with the probability of a liquidation event at such date, which was estimated at 80%. As of December 31, 2016, the fair value of the warrants for preferred shares was determined mainly based on estimation of the Company’s equity value derived from a discounted cash flow, or DCF, calculation and based on assumptions relating to the Company’s revenue forecast, clinical success probabilities, relevant discount rates between 10.5%-19 % (10.5% for the cash flow expected to be derived from the license agreement with Allergan and 19% for the cash flow expected to be derived from the Company’s internal development), and expected volatility at a rate of 73.93%.</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table below sets forth a summary of the changes in the fair value of the warrants for preferred shares classified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Balance at the beginning of the period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3,612</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872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tcPr>
          <w:p>
            <w:pPr>
              <w:spacing w:after="0" w:line="189" w:lineRule="exact"/>
              <w:rPr>
                <w:sz w:val="20"/>
                <w:szCs w:val="20"/>
                <w:color w:val="auto"/>
              </w:rPr>
            </w:pPr>
            <w:r>
              <w:rPr>
                <w:rFonts w:ascii="Arial" w:cs="Arial" w:eastAsia="Arial" w:hAnsi="Arial"/>
                <w:sz w:val="17"/>
                <w:szCs w:val="17"/>
                <w:color w:val="auto"/>
              </w:rPr>
              <w:t>Changes in fair value during the period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168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1,761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of warrants to preferred shares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(3,780)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2"/>
            <w:vMerge w:val="continue"/>
          </w:tcPr>
          <w:p>
            <w:pPr>
              <w:spacing w:after="0"/>
              <w:rPr>
                <w:sz w:val="17"/>
                <w:szCs w:val="17"/>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200" w:right="60"/>
        <w:spacing w:after="0" w:line="243" w:lineRule="auto"/>
        <w:rPr>
          <w:sz w:val="20"/>
          <w:szCs w:val="20"/>
          <w:color w:val="auto"/>
        </w:rPr>
      </w:pPr>
      <w:r>
        <w:rPr>
          <w:rFonts w:ascii="Arial" w:cs="Arial" w:eastAsia="Arial" w:hAnsi="Arial"/>
          <w:sz w:val="17"/>
          <w:szCs w:val="17"/>
          <w:color w:val="auto"/>
        </w:rPr>
        <w:t>In connection with the completion of the IPO, the Company converted all outstanding warrants into 364,036 Preferred A-1 shares of the Company and subsequently converted all of its preferred shares, including the Preferred A-1 shares, into ordinary shares.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5—PROCEEDS FROM EXERCISE OF WARRANTS FOR PREFERRED A-1 SHARES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Company’s warrants outstanding prior to the IPO were exercisable for Series A-1 preferred shares at an exercise price of $7.81 per share.</w:t>
      </w:r>
    </w:p>
    <w:p>
      <w:pPr>
        <w:ind w:left="200"/>
        <w:spacing w:after="0"/>
        <w:rPr>
          <w:sz w:val="20"/>
          <w:szCs w:val="20"/>
          <w:color w:val="auto"/>
        </w:rPr>
      </w:pPr>
      <w:r>
        <w:rPr>
          <w:rFonts w:ascii="Arial" w:cs="Arial" w:eastAsia="Arial" w:hAnsi="Arial"/>
          <w:sz w:val="17"/>
          <w:szCs w:val="17"/>
          <w:color w:val="auto"/>
        </w:rPr>
        <w:t>Prior to the IPO, such warrants were exercisable for 728,312 Preferred A-1 shares.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2017 and 2016, the Company notified holders of these warrants that it was ready to accept an exercise notice that was conditioned on the</w:t>
      </w:r>
    </w:p>
    <w:p>
      <w:pPr>
        <w:ind w:left="200"/>
        <w:spacing w:after="0" w:line="232" w:lineRule="auto"/>
        <w:rPr>
          <w:sz w:val="20"/>
          <w:szCs w:val="20"/>
          <w:color w:val="auto"/>
        </w:rPr>
      </w:pPr>
      <w:r>
        <w:rPr>
          <w:rFonts w:ascii="Arial" w:cs="Arial" w:eastAsia="Arial" w:hAnsi="Arial"/>
          <w:sz w:val="17"/>
          <w:szCs w:val="17"/>
          <w:color w:val="auto"/>
        </w:rPr>
        <w:t>price per share at which the Company’s shares would be sold in an anticipated IPO. Prior to the IPO, the Company received a total amount of</w:t>
      </w:r>
    </w:p>
    <w:p>
      <w:pPr>
        <w:ind w:left="200"/>
        <w:spacing w:after="0" w:line="232" w:lineRule="auto"/>
        <w:rPr>
          <w:sz w:val="20"/>
          <w:szCs w:val="20"/>
          <w:color w:val="auto"/>
        </w:rPr>
      </w:pPr>
      <w:r>
        <w:rPr>
          <w:rFonts w:ascii="Arial" w:cs="Arial" w:eastAsia="Arial" w:hAnsi="Arial"/>
          <w:sz w:val="17"/>
          <w:szCs w:val="17"/>
          <w:color w:val="auto"/>
        </w:rPr>
        <w:t>$952 as consideration for the conditional cash exercise of these warrants. The cash received was recorded among current liabilities as proceeds</w:t>
      </w:r>
    </w:p>
    <w:p>
      <w:pPr>
        <w:ind w:left="200"/>
        <w:spacing w:after="0" w:line="232" w:lineRule="auto"/>
        <w:rPr>
          <w:sz w:val="20"/>
          <w:szCs w:val="20"/>
          <w:color w:val="auto"/>
        </w:rPr>
      </w:pPr>
      <w:r>
        <w:rPr>
          <w:rFonts w:ascii="Arial" w:cs="Arial" w:eastAsia="Arial" w:hAnsi="Arial"/>
          <w:sz w:val="17"/>
          <w:szCs w:val="17"/>
          <w:color w:val="auto"/>
        </w:rPr>
        <w:t>from exercise of warrants for preferred shares. As of September 30, 2017, following the exercise of the warrants, the cash received was</w:t>
      </w:r>
    </w:p>
    <w:p>
      <w:pPr>
        <w:ind w:left="200"/>
        <w:spacing w:after="0"/>
        <w:rPr>
          <w:sz w:val="20"/>
          <w:szCs w:val="20"/>
          <w:color w:val="auto"/>
        </w:rPr>
      </w:pPr>
      <w:r>
        <w:rPr>
          <w:rFonts w:ascii="Arial" w:cs="Arial" w:eastAsia="Arial" w:hAnsi="Arial"/>
          <w:sz w:val="17"/>
          <w:szCs w:val="17"/>
          <w:color w:val="auto"/>
        </w:rPr>
        <w:t>re-classified to additional paid in capital. See also note 6.</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6—SHARE CAPITAL</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 Share capital</w:t>
      </w:r>
    </w:p>
    <w:p>
      <w:pPr>
        <w:spacing w:after="0" w:line="54" w:lineRule="exact"/>
        <w:rPr>
          <w:sz w:val="20"/>
          <w:szCs w:val="20"/>
          <w:color w:val="auto"/>
        </w:rPr>
      </w:pPr>
    </w:p>
    <w:p>
      <w:pPr>
        <w:ind w:left="520" w:right="420" w:hanging="316"/>
        <w:spacing w:after="0" w:line="238" w:lineRule="auto"/>
        <w:tabs>
          <w:tab w:leader="none" w:pos="5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On April 19, 2017, the Company’s board of directors and shareholders approved an aggregate 3.2-for-1 share split of the Company’s ordinary, Preferred A and Preferred A-1 shares. The share split was effected on April 19, 2017 by the issuance of 2.2 ordinary shares for each outstanding ordinary, Preferred A and Preferred A-1 share held immediately prior to the share split.</w:t>
      </w:r>
    </w:p>
    <w:p>
      <w:pPr>
        <w:spacing w:after="0" w:line="26" w:lineRule="exact"/>
        <w:rPr>
          <w:rFonts w:ascii="Arial" w:cs="Arial" w:eastAsia="Arial" w:hAnsi="Arial"/>
          <w:sz w:val="17"/>
          <w:szCs w:val="17"/>
          <w:color w:val="auto"/>
        </w:rPr>
      </w:pPr>
    </w:p>
    <w:p>
      <w:pPr>
        <w:ind w:left="520" w:right="240" w:hanging="316"/>
        <w:spacing w:after="0" w:line="238" w:lineRule="auto"/>
        <w:tabs>
          <w:tab w:leader="none" w:pos="5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May 2017, the Company completed an IPO on the NASDAQ Stock Market, in which it issued 5,144,378 ordinary shares in consideration for $60.8 million, net of issuance costs and underwriting discounts. In addition, during the year ended December 31, 2016, the Company recorded $1.7 million in general and administrative expenses related to IPO costs, in accordance with SEC staff Bulletin Topic 5A.</w:t>
      </w:r>
    </w:p>
    <w:p>
      <w:pPr>
        <w:spacing w:after="0" w:line="12" w:lineRule="exact"/>
        <w:rPr>
          <w:rFonts w:ascii="Arial" w:cs="Arial" w:eastAsia="Arial" w:hAnsi="Arial"/>
          <w:sz w:val="17"/>
          <w:szCs w:val="17"/>
          <w:color w:val="auto"/>
        </w:rPr>
      </w:pPr>
    </w:p>
    <w:p>
      <w:pPr>
        <w:ind w:left="540" w:right="60"/>
        <w:spacing w:after="0" w:line="238" w:lineRule="auto"/>
        <w:rPr>
          <w:rFonts w:ascii="Arial" w:cs="Arial" w:eastAsia="Arial" w:hAnsi="Arial"/>
          <w:sz w:val="17"/>
          <w:szCs w:val="17"/>
          <w:color w:val="auto"/>
        </w:rPr>
      </w:pPr>
      <w:r>
        <w:rPr>
          <w:rFonts w:ascii="Arial" w:cs="Arial" w:eastAsia="Arial" w:hAnsi="Arial"/>
          <w:sz w:val="17"/>
          <w:szCs w:val="17"/>
          <w:color w:val="auto"/>
        </w:rPr>
        <w:t>Upon the completion of the IPO, the Company converted all outstanding warrants for Preferred A-1 shares into 364,036 Preferred A-1 shares of the Company. Subsequently, the Company converted all outstanding Preferred A and Preferred A-1 shares into ordinary shares at a ratio of 1:1. As of September 30, 2017, the Company’s share capital was composed entirely of ordinary shares.</w:t>
      </w:r>
    </w:p>
    <w:p>
      <w:pPr>
        <w:spacing w:after="0" w:line="26" w:lineRule="exact"/>
        <w:rPr>
          <w:rFonts w:ascii="Arial" w:cs="Arial" w:eastAsia="Arial" w:hAnsi="Arial"/>
          <w:sz w:val="17"/>
          <w:szCs w:val="17"/>
          <w:color w:val="auto"/>
        </w:rPr>
      </w:pPr>
    </w:p>
    <w:p>
      <w:pPr>
        <w:ind w:left="520" w:hanging="316"/>
        <w:spacing w:after="0"/>
        <w:tabs>
          <w:tab w:leader="none" w:pos="5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During the nine months ended September 30, 2017, the Company received $333 from the exercise of 170,816 options into ordinary shares.</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b. Share-based compensation</w:t>
      </w:r>
    </w:p>
    <w:p>
      <w:pPr>
        <w:spacing w:after="0" w:line="54"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7"/>
          <w:szCs w:val="17"/>
          <w:color w:val="auto"/>
        </w:rPr>
        <w:t>1.</w:t>
        <w:tab/>
        <w:t>The following table illustrates the effect of share-based compensation on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expenses</w:t>
            </w:r>
          </w:p>
        </w:tc>
        <w:tc>
          <w:tcPr>
            <w:tcW w:w="29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2,513</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760</w:t>
            </w:r>
          </w:p>
        </w:tc>
        <w:tc>
          <w:tcPr>
            <w:tcW w:w="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1,518</w:t>
            </w:r>
          </w:p>
        </w:tc>
        <w:tc>
          <w:tcPr>
            <w:tcW w:w="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626</w:t>
            </w:r>
          </w:p>
        </w:tc>
        <w:tc>
          <w:tcPr>
            <w:tcW w:w="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80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4,031</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1,386</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237" w:lineRule="exact"/>
        <w:rPr>
          <w:sz w:val="20"/>
          <w:szCs w:val="20"/>
          <w:color w:val="auto"/>
        </w:rPr>
      </w:pPr>
    </w:p>
    <w:p>
      <w:pPr>
        <w:ind w:left="520" w:hanging="316"/>
        <w:spacing w:after="0"/>
        <w:tabs>
          <w:tab w:leader="none" w:pos="5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2017 Equity Incentive Plan</w:t>
      </w:r>
    </w:p>
    <w:p>
      <w:pPr>
        <w:spacing w:after="0" w:line="20" w:lineRule="exact"/>
        <w:rPr>
          <w:rFonts w:ascii="Arial" w:cs="Arial" w:eastAsia="Arial" w:hAnsi="Arial"/>
          <w:sz w:val="17"/>
          <w:szCs w:val="17"/>
          <w:color w:val="auto"/>
        </w:rPr>
      </w:pPr>
    </w:p>
    <w:p>
      <w:pPr>
        <w:ind w:left="540" w:right="160"/>
        <w:spacing w:after="0" w:line="236" w:lineRule="auto"/>
        <w:rPr>
          <w:rFonts w:ascii="Arial" w:cs="Arial" w:eastAsia="Arial" w:hAnsi="Arial"/>
          <w:sz w:val="17"/>
          <w:szCs w:val="17"/>
          <w:color w:val="auto"/>
        </w:rPr>
      </w:pPr>
      <w:r>
        <w:rPr>
          <w:rFonts w:ascii="Arial" w:cs="Arial" w:eastAsia="Arial" w:hAnsi="Arial"/>
          <w:sz w:val="17"/>
          <w:szCs w:val="17"/>
          <w:color w:val="auto"/>
        </w:rPr>
        <w:t>In March 2017, the Company’s board of directors adopted the 2017 Equity Incentive Plan (“2017 Plan”), which was approved by the shareholders in April 2017. The 2017 Plan provides for the grant of incentive stock options to the Company’s employees and for the grant of nonstatutory stock options, stock appreciation rights, restricted stock awards, restricted stock unit awards, performance stock awards, performance cash awards, and other forms of stock awards to the Company’s employees, directors and consultants.</w:t>
      </w:r>
    </w:p>
    <w:p>
      <w:pPr>
        <w:spacing w:after="0" w:line="27" w:lineRule="exact"/>
        <w:rPr>
          <w:rFonts w:ascii="Arial" w:cs="Arial" w:eastAsia="Arial" w:hAnsi="Arial"/>
          <w:sz w:val="17"/>
          <w:szCs w:val="17"/>
          <w:color w:val="auto"/>
        </w:rPr>
      </w:pPr>
    </w:p>
    <w:p>
      <w:pPr>
        <w:ind w:left="540" w:right="220"/>
        <w:spacing w:after="0" w:line="235" w:lineRule="auto"/>
        <w:rPr>
          <w:rFonts w:ascii="Arial" w:cs="Arial" w:eastAsia="Arial" w:hAnsi="Arial"/>
          <w:sz w:val="17"/>
          <w:szCs w:val="17"/>
          <w:color w:val="auto"/>
        </w:rPr>
      </w:pPr>
      <w:r>
        <w:rPr>
          <w:rFonts w:ascii="Arial" w:cs="Arial" w:eastAsia="Arial" w:hAnsi="Arial"/>
          <w:sz w:val="17"/>
          <w:szCs w:val="17"/>
          <w:color w:val="auto"/>
        </w:rPr>
        <w:t>The maximum number of ordinary shares that may initially be issued under the 2017 Plan is 1,400,000. In addition, the number of ordinary shares reserved for issuance under the 2017 Plan will automatically increase on January 1st of each calendar year, from January 1, 2018 through January 1, 2026, so that the number of such shares reserved for issuance will equal 12% of the total number of ordinary shares outstanding on the last day of the calendar month prior to the date of each automatic increase, or a lesser number of shares determined by our board of directors. The maximum number of ordinary shares that may be issued upon the exercise of incentive stock options under the 2017 Plan is 5,600,000.</w:t>
      </w:r>
    </w:p>
    <w:p>
      <w:pPr>
        <w:spacing w:after="0" w:line="26" w:lineRule="exact"/>
        <w:rPr>
          <w:rFonts w:ascii="Arial" w:cs="Arial" w:eastAsia="Arial" w:hAnsi="Arial"/>
          <w:sz w:val="17"/>
          <w:szCs w:val="17"/>
          <w:color w:val="auto"/>
        </w:rPr>
      </w:pPr>
    </w:p>
    <w:p>
      <w:pPr>
        <w:ind w:left="540" w:right="340"/>
        <w:spacing w:after="0" w:line="238" w:lineRule="auto"/>
        <w:rPr>
          <w:rFonts w:ascii="Arial" w:cs="Arial" w:eastAsia="Arial" w:hAnsi="Arial"/>
          <w:sz w:val="17"/>
          <w:szCs w:val="17"/>
          <w:color w:val="auto"/>
        </w:rPr>
      </w:pPr>
      <w:r>
        <w:rPr>
          <w:rFonts w:ascii="Arial" w:cs="Arial" w:eastAsia="Arial" w:hAnsi="Arial"/>
          <w:sz w:val="17"/>
          <w:szCs w:val="17"/>
          <w:color w:val="auto"/>
        </w:rPr>
        <w:t>The plan administrator determines the exercise price for stock options, within the terms and conditions of the 2017 Plan, provided that the exercise price of a stock option generally cannot be less than 100% of the fair market value of our Ordinary Shares on the date of grant. Options granted under the 2017 Plan vest at the rate specified in the stock option agreement as determined by the plan administrator.</w:t>
      </w:r>
    </w:p>
    <w:p>
      <w:pPr>
        <w:spacing w:after="0" w:line="26" w:lineRule="exact"/>
        <w:rPr>
          <w:rFonts w:ascii="Arial" w:cs="Arial" w:eastAsia="Arial" w:hAnsi="Arial"/>
          <w:sz w:val="17"/>
          <w:szCs w:val="17"/>
          <w:color w:val="auto"/>
        </w:rPr>
      </w:pPr>
    </w:p>
    <w:p>
      <w:pPr>
        <w:ind w:left="520" w:right="160" w:hanging="316"/>
        <w:spacing w:after="0" w:line="238" w:lineRule="auto"/>
        <w:tabs>
          <w:tab w:leader="none" w:pos="5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April 2017, the Company’s board of directors approved modifications of performance conditions for 67,200 restricted stock units and contingent options for executive management. The Company recorded an expense of $527 under general and administrative expenses with respect to these modifications.</w:t>
      </w:r>
    </w:p>
    <w:p>
      <w:pPr>
        <w:spacing w:after="0" w:line="26" w:lineRule="exact"/>
        <w:rPr>
          <w:rFonts w:ascii="Arial" w:cs="Arial" w:eastAsia="Arial" w:hAnsi="Arial"/>
          <w:sz w:val="17"/>
          <w:szCs w:val="17"/>
          <w:color w:val="auto"/>
        </w:rPr>
      </w:pPr>
    </w:p>
    <w:p>
      <w:pPr>
        <w:ind w:left="520" w:right="120" w:hanging="316"/>
        <w:spacing w:after="0" w:line="232" w:lineRule="auto"/>
        <w:tabs>
          <w:tab w:leader="none" w:pos="5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During the nine months ended September 30, 2017, the Company’s board of directors approved grants of 130,000 options to directors of the Company. Each option is exercisable into one ordinary share of the Company at an exercise price between $13.00 and $17.67. The options vest in several installments over a one or a three-year period. As of the grant date, the fair value of these options was estimated at $1,657.</w:t>
      </w:r>
    </w:p>
    <w:p>
      <w:pPr>
        <w:ind w:left="520"/>
        <w:spacing w:after="0"/>
        <w:rPr>
          <w:rFonts w:ascii="Arial" w:cs="Arial" w:eastAsia="Arial" w:hAnsi="Arial"/>
          <w:sz w:val="17"/>
          <w:szCs w:val="17"/>
          <w:color w:val="auto"/>
        </w:rPr>
      </w:pPr>
      <w:r>
        <w:rPr>
          <w:rFonts w:ascii="Arial" w:cs="Arial" w:eastAsia="Arial" w:hAnsi="Arial"/>
          <w:sz w:val="17"/>
          <w:szCs w:val="17"/>
          <w:color w:val="auto"/>
        </w:rPr>
        <w:t>The options expire ten years from the date of the grant.</w:t>
      </w:r>
    </w:p>
    <w:p>
      <w:pPr>
        <w:spacing w:after="0" w:line="34" w:lineRule="exact"/>
        <w:rPr>
          <w:rFonts w:ascii="Arial" w:cs="Arial" w:eastAsia="Arial" w:hAnsi="Arial"/>
          <w:sz w:val="17"/>
          <w:szCs w:val="17"/>
          <w:color w:val="auto"/>
        </w:rPr>
      </w:pPr>
    </w:p>
    <w:p>
      <w:pPr>
        <w:ind w:left="520" w:right="60" w:hanging="316"/>
        <w:spacing w:after="0" w:line="236" w:lineRule="auto"/>
        <w:tabs>
          <w:tab w:leader="none" w:pos="5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During the nine months ended September 30, 2017, the Company’s board of directors approved grants of 170,000 options to executive management of the Company. Each option is exercisable into one ordinary share of the Company at an exercise price of $19.55. The options vest in several installments over a three-year period. As of the grant date, the fair value of these options was estimated at $2,645. The options expire ten years after their grant date.</w:t>
      </w:r>
    </w:p>
    <w:p>
      <w:pPr>
        <w:spacing w:after="0" w:line="27" w:lineRule="exact"/>
        <w:rPr>
          <w:rFonts w:ascii="Arial" w:cs="Arial" w:eastAsia="Arial" w:hAnsi="Arial"/>
          <w:sz w:val="17"/>
          <w:szCs w:val="17"/>
          <w:color w:val="auto"/>
        </w:rPr>
      </w:pPr>
    </w:p>
    <w:p>
      <w:pPr>
        <w:ind w:left="520" w:right="320" w:hanging="316"/>
        <w:spacing w:after="0" w:line="236" w:lineRule="auto"/>
        <w:tabs>
          <w:tab w:leader="none" w:pos="5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During the nine months ended September 30, 2017, the Company’s board of directors approved grants of 75,000 options and 25,000 restricted stocks to employees of the Company. Each option is exercisable into one ordinary share of the Company at an exercise price of $30.59. The options and restricted stock vest in several installments over a three-year period. As of the grant date, the fair value of these options and restricted stock was estimated at $2,234. The options expire ten years after their grant date.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(U.S. dollars in thousands, except share data)</w:t>
      </w:r>
    </w:p>
    <w:p>
      <w:pPr>
        <w:jc w:val="center"/>
        <w:ind w:right="-179"/>
        <w:spacing w:after="0"/>
        <w:rPr>
          <w:sz w:val="20"/>
          <w:szCs w:val="20"/>
          <w:color w:val="auto"/>
        </w:rPr>
      </w:pPr>
      <w:r>
        <w:rPr>
          <w:rFonts w:ascii="Arial" w:cs="Arial" w:eastAsia="Arial" w:hAnsi="Arial"/>
          <w:sz w:val="17"/>
          <w:szCs w:val="17"/>
          <w:color w:val="auto"/>
        </w:rPr>
        <w:t>(Unaudited)</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7—RELATED PARTIES</w:t>
      </w:r>
    </w:p>
    <w:p>
      <w:pPr>
        <w:spacing w:after="0" w:line="53" w:lineRule="exact"/>
        <w:rPr>
          <w:sz w:val="20"/>
          <w:szCs w:val="20"/>
          <w:color w:val="auto"/>
        </w:rPr>
      </w:pPr>
    </w:p>
    <w:p>
      <w:pPr>
        <w:ind w:left="200" w:right="200"/>
        <w:spacing w:after="0" w:line="236" w:lineRule="auto"/>
        <w:rPr>
          <w:sz w:val="20"/>
          <w:szCs w:val="20"/>
          <w:color w:val="auto"/>
        </w:rPr>
      </w:pPr>
      <w:r>
        <w:rPr>
          <w:rFonts w:ascii="Arial" w:cs="Arial" w:eastAsia="Arial" w:hAnsi="Arial"/>
          <w:sz w:val="17"/>
          <w:szCs w:val="17"/>
          <w:color w:val="auto"/>
        </w:rPr>
        <w:t>UPI entered into a lease agreement in November 2015, which commenced in May 2016, for office space in New York, which serves as the headquarters for our U.S. subsidiary. UPI shares the office space equitably with Kite Pharma, Inc., a Delaware corporation that is a co-signatory to such lease. Arie Belldegrun, M.D., UPL’s Chairman, served as the Chairman and Chief Executive Officer of Kite Pharma, Inc. until his resignation effective as of October 3, 2017, in connection with the acquisition of Kite Pharma, Inc. by Gilead Sciences, Inc.</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8—LOSS PER SHARE:</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sets forth the calculation of basic and diluted loss per share (“LPS”)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5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20" w:type="dxa"/>
            <w:vAlign w:val="bottom"/>
          </w:tcPr>
          <w:p>
            <w:pPr>
              <w:spacing w:after="0" w:line="189" w:lineRule="exact"/>
              <w:rPr>
                <w:sz w:val="20"/>
                <w:szCs w:val="20"/>
                <w:color w:val="auto"/>
              </w:rPr>
            </w:pPr>
            <w:r>
              <w:rPr>
                <w:rFonts w:ascii="Arial" w:cs="Arial" w:eastAsia="Arial" w:hAnsi="Arial"/>
                <w:sz w:val="17"/>
                <w:szCs w:val="17"/>
                <w:color w:val="auto"/>
              </w:rPr>
              <w:t>Net Loss attributable to equity holder of the Company</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9,914</w:t>
            </w: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14,864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5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Dividend accumulated on preferred shares during the period</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825</w:t>
            </w:r>
          </w:p>
        </w:tc>
        <w:tc>
          <w:tcPr>
            <w:tcW w:w="7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equity holders of the Company, after reducing dividend accumulated 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20" w:type="dxa"/>
            <w:vAlign w:val="bottom"/>
          </w:tcPr>
          <w:p>
            <w:pPr>
              <w:ind w:left="240"/>
              <w:spacing w:after="0"/>
              <w:rPr>
                <w:sz w:val="20"/>
                <w:szCs w:val="20"/>
                <w:color w:val="auto"/>
              </w:rPr>
            </w:pPr>
            <w:r>
              <w:rPr>
                <w:rFonts w:ascii="Arial" w:cs="Arial" w:eastAsia="Arial" w:hAnsi="Arial"/>
                <w:sz w:val="17"/>
                <w:szCs w:val="17"/>
                <w:color w:val="auto"/>
              </w:rPr>
              <w:t>preferred shares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10,739</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16,709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5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Weighted average number of ordinary shares outstanding used in computing basic and diluted net loss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per ordinary share</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8,223,124</w:t>
            </w:r>
          </w:p>
        </w:tc>
        <w:tc>
          <w:tcPr>
            <w:tcW w:w="6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2,305,410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7"/>
                <w:szCs w:val="17"/>
                <w:color w:val="auto"/>
              </w:rPr>
              <w:t>Basic and diluted net loss per ordinary share</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gridSpan w:val="2"/>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1.31</w:t>
            </w: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860"/>
        <w:spacing w:after="0" w:line="243" w:lineRule="auto"/>
        <w:rPr>
          <w:sz w:val="20"/>
          <w:szCs w:val="20"/>
          <w:color w:val="auto"/>
        </w:rPr>
      </w:pPr>
      <w:r>
        <w:rPr>
          <w:rFonts w:ascii="Arial" w:cs="Arial" w:eastAsia="Arial" w:hAnsi="Arial"/>
          <w:sz w:val="17"/>
          <w:szCs w:val="17"/>
          <w:color w:val="auto"/>
        </w:rPr>
        <w:t>For the nine month periods ended September 30, 2017 and 2016, all ordinary shares underlying outstanding options, A-1 warrants and convertible preferred shares have been excluded from the calculation of the diluted loss per share since their effect was anti-dilutive.</w:t>
      </w:r>
    </w:p>
    <w:p>
      <w:pPr>
        <w:spacing w:after="0" w:line="144"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The shares accounted for in diluted loss per ordinary share do not include 2,918,349 and 2,594,698 ordinary shares underlying outstanding options for the nine month period ended September 30, 2017 and 2016, respectively, and 728,312 shares issuable upon exercise of the Preferred A-1 warrants, which were converted to ordinary shares upon the IPO, for the nine month period ended September 30, 2016.</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9—SUBSEQUENT EVENTS: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has evaluated subsequent events through November 14, 2017.</w:t>
      </w:r>
    </w:p>
    <w:p>
      <w:pPr>
        <w:spacing w:after="0" w:line="156" w:lineRule="exact"/>
        <w:rPr>
          <w:sz w:val="20"/>
          <w:szCs w:val="20"/>
          <w:color w:val="auto"/>
        </w:rPr>
      </w:pPr>
    </w:p>
    <w:p>
      <w:pPr>
        <w:ind w:left="200" w:right="220"/>
        <w:spacing w:after="0" w:line="243" w:lineRule="auto"/>
        <w:rPr>
          <w:sz w:val="20"/>
          <w:szCs w:val="20"/>
          <w:color w:val="auto"/>
        </w:rPr>
      </w:pPr>
      <w:r>
        <w:rPr>
          <w:rFonts w:ascii="Arial" w:cs="Arial" w:eastAsia="Arial" w:hAnsi="Arial"/>
          <w:sz w:val="17"/>
          <w:szCs w:val="17"/>
          <w:color w:val="auto"/>
        </w:rPr>
        <w:t>During the fourth quarter, UPI entered into a new lease agreement for its New York headquarters. The lease agreement commenced in October 2017, and shall terminate in February 2021.</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3920"/>
        <w:spacing w:after="0"/>
        <w:rPr>
          <w:sz w:val="20"/>
          <w:szCs w:val="20"/>
          <w:color w:val="auto"/>
        </w:rPr>
      </w:pPr>
      <w:r>
        <w:rPr>
          <w:rFonts w:ascii="Arial" w:cs="Arial" w:eastAsia="Arial" w:hAnsi="Arial"/>
          <w:sz w:val="29"/>
          <w:szCs w:val="29"/>
          <w:b w:val="1"/>
          <w:bCs w:val="1"/>
          <w:color w:val="auto"/>
        </w:rPr>
        <w:t>1,135,847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431165</wp:posOffset>
            </wp:positionV>
            <wp:extent cx="1981200" cy="6261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9812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60"/>
        <w:spacing w:after="0"/>
        <w:rPr>
          <w:sz w:val="20"/>
          <w:szCs w:val="20"/>
          <w:color w:val="auto"/>
        </w:rPr>
      </w:pPr>
      <w:r>
        <w:rPr>
          <w:rFonts w:ascii="Arial" w:cs="Arial" w:eastAsia="Arial" w:hAnsi="Arial"/>
          <w:sz w:val="36"/>
          <w:szCs w:val="36"/>
          <w:b w:val="1"/>
          <w:bCs w:val="1"/>
          <w:color w:val="auto"/>
        </w:rPr>
        <w:t>UroGen 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1054100</wp:posOffset>
            </wp:positionV>
            <wp:extent cx="216979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248920</wp:posOffset>
            </wp:positionV>
            <wp:extent cx="21697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Jefferies</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Cowen</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Oppenheimer &amp; Co.</w:t>
      </w:r>
    </w:p>
    <w:p>
      <w:pPr>
        <w:spacing w:after="0" w:line="42"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National Securities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 2018</w:t>
      </w:r>
    </w:p>
    <w:p>
      <w:pPr>
        <w:sectPr>
          <w:pgSz w:w="11900" w:h="16838" w:orient="portrait"/>
          <w:cols w:equalWidth="0" w:num="1">
            <w:col w:w="10219"/>
          </w:cols>
          <w:pgMar w:left="240" w:top="460"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93" w:lineRule="exact"/>
        <w:rPr>
          <w:sz w:val="20"/>
          <w:szCs w:val="20"/>
          <w:color w:val="auto"/>
        </w:rPr>
      </w:pPr>
    </w:p>
    <w:p>
      <w:pPr>
        <w:ind w:left="200" w:right="120"/>
        <w:spacing w:after="0" w:line="235"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 company may not exculpate in advance a director from liability arising out of a breach of the duty of care with respect to a distribution.</w:t>
      </w:r>
    </w:p>
    <w:p>
      <w:pPr>
        <w:spacing w:after="0" w:line="150" w:lineRule="exact"/>
        <w:rPr>
          <w:sz w:val="20"/>
          <w:szCs w:val="20"/>
          <w:color w:val="auto"/>
        </w:rPr>
      </w:pPr>
    </w:p>
    <w:p>
      <w:pPr>
        <w:ind w:left="200" w:right="160"/>
        <w:spacing w:after="0" w:line="238" w:lineRule="auto"/>
        <w:rPr>
          <w:sz w:val="20"/>
          <w:szCs w:val="20"/>
          <w:color w:val="auto"/>
        </w:rPr>
      </w:pPr>
      <w:r>
        <w:rPr>
          <w:rFonts w:ascii="Arial" w:cs="Arial" w:eastAsia="Arial" w:hAnsi="Arial"/>
          <w:sz w:val="17"/>
          <w:szCs w:val="17"/>
          <w:color w:val="auto"/>
        </w:rPr>
        <w:t>Under the Israeli Companies Law, a company may indemnify an office holder with respect to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8" w:lineRule="exact"/>
        <w:rPr>
          <w:sz w:val="20"/>
          <w:szCs w:val="20"/>
          <w:color w:val="auto"/>
        </w:rPr>
      </w:pPr>
    </w:p>
    <w:p>
      <w:pPr>
        <w:jc w:val="both"/>
        <w:ind w:left="960" w:right="100" w:hanging="432"/>
        <w:spacing w:after="0" w:line="235" w:lineRule="auto"/>
        <w:tabs>
          <w:tab w:leader="none" w:pos="960" w:val="left"/>
        </w:tabs>
        <w:numPr>
          <w:ilvl w:val="0"/>
          <w:numId w:val="130"/>
        </w:numPr>
        <w:rPr>
          <w:rFonts w:ascii="MS PGothic" w:cs="MS PGothic" w:eastAsia="MS PGothic" w:hAnsi="MS PGothic"/>
          <w:sz w:val="13"/>
          <w:szCs w:val="13"/>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8" w:lineRule="exact"/>
        <w:rPr>
          <w:rFonts w:ascii="MS PGothic" w:cs="MS PGothic" w:eastAsia="MS PGothic" w:hAnsi="MS PGothic"/>
          <w:sz w:val="13"/>
          <w:szCs w:val="13"/>
          <w:color w:val="auto"/>
        </w:rPr>
      </w:pPr>
    </w:p>
    <w:p>
      <w:pPr>
        <w:ind w:left="960" w:right="40" w:hanging="432"/>
        <w:spacing w:after="0" w:line="235" w:lineRule="auto"/>
        <w:tabs>
          <w:tab w:leader="none" w:pos="960" w:val="left"/>
        </w:tabs>
        <w:numPr>
          <w:ilvl w:val="0"/>
          <w:numId w:val="130"/>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6" w:lineRule="exact"/>
        <w:rPr>
          <w:rFonts w:ascii="MS PGothic" w:cs="MS PGothic" w:eastAsia="MS PGothic" w:hAnsi="MS PGothic"/>
          <w:sz w:val="13"/>
          <w:szCs w:val="13"/>
          <w:color w:val="auto"/>
        </w:rPr>
      </w:pPr>
    </w:p>
    <w:p>
      <w:pPr>
        <w:ind w:left="960" w:hanging="432"/>
        <w:spacing w:after="0" w:line="238" w:lineRule="auto"/>
        <w:tabs>
          <w:tab w:leader="none" w:pos="960" w:val="left"/>
        </w:tabs>
        <w:numPr>
          <w:ilvl w:val="0"/>
          <w:numId w:val="130"/>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8" w:lineRule="exact"/>
        <w:rPr>
          <w:sz w:val="20"/>
          <w:szCs w:val="20"/>
          <w:color w:val="auto"/>
        </w:rPr>
      </w:pPr>
    </w:p>
    <w:p>
      <w:pPr>
        <w:ind w:left="200" w:right="20"/>
        <w:spacing w:after="0" w:line="243" w:lineRule="auto"/>
        <w:rPr>
          <w:sz w:val="20"/>
          <w:szCs w:val="20"/>
          <w:color w:val="auto"/>
        </w:rPr>
      </w:pPr>
      <w:r>
        <w:rPr>
          <w:rFonts w:ascii="Arial" w:cs="Arial" w:eastAsia="Arial" w:hAnsi="Arial"/>
          <w:sz w:val="17"/>
          <w:szCs w:val="17"/>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225" w:lineRule="exact"/>
        <w:rPr>
          <w:sz w:val="20"/>
          <w:szCs w:val="20"/>
          <w:color w:val="auto"/>
        </w:rPr>
      </w:pPr>
    </w:p>
    <w:p>
      <w:pPr>
        <w:ind w:left="960" w:right="80" w:hanging="432"/>
        <w:spacing w:after="0" w:line="243" w:lineRule="auto"/>
        <w:tabs>
          <w:tab w:leader="none" w:pos="960" w:val="left"/>
        </w:tabs>
        <w:numPr>
          <w:ilvl w:val="0"/>
          <w:numId w:val="131"/>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to the company, provided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960" w:right="340" w:hanging="432"/>
        <w:spacing w:after="0" w:line="243" w:lineRule="auto"/>
        <w:tabs>
          <w:tab w:leader="none" w:pos="960" w:val="left"/>
        </w:tabs>
        <w:numPr>
          <w:ilvl w:val="0"/>
          <w:numId w:val="131"/>
        </w:numPr>
        <w:rPr>
          <w:rFonts w:ascii="MS PGothic" w:cs="MS PGothic" w:eastAsia="MS PGothic" w:hAnsi="MS PGothic"/>
          <w:sz w:val="13"/>
          <w:szCs w:val="13"/>
          <w:color w:val="auto"/>
        </w:rPr>
      </w:pPr>
      <w:r>
        <w:rPr>
          <w:rFonts w:ascii="Arial" w:cs="Arial" w:eastAsia="Arial" w:hAnsi="Arial"/>
          <w:sz w:val="17"/>
          <w:szCs w:val="17"/>
          <w:color w:val="auto"/>
        </w:rPr>
        <w:t>a breach of the duty of care to the company or to a third party, to the extent such a breach arises out of the negligent conduct of the office holder; and</w:t>
      </w:r>
    </w:p>
    <w:p>
      <w:pPr>
        <w:spacing w:after="0" w:line="22" w:lineRule="exact"/>
        <w:rPr>
          <w:rFonts w:ascii="MS PGothic" w:cs="MS PGothic" w:eastAsia="MS PGothic" w:hAnsi="MS PGothic"/>
          <w:sz w:val="13"/>
          <w:szCs w:val="13"/>
          <w:color w:val="auto"/>
        </w:rPr>
      </w:pPr>
    </w:p>
    <w:p>
      <w:pPr>
        <w:ind w:left="960" w:hanging="432"/>
        <w:spacing w:after="0"/>
        <w:tabs>
          <w:tab w:leader="none" w:pos="960" w:val="left"/>
        </w:tabs>
        <w:numPr>
          <w:ilvl w:val="0"/>
          <w:numId w:val="131"/>
        </w:numPr>
        <w:rPr>
          <w:rFonts w:ascii="MS PGothic" w:cs="MS PGothic" w:eastAsia="MS PGothic" w:hAnsi="MS PGothic"/>
          <w:sz w:val="13"/>
          <w:szCs w:val="13"/>
          <w:color w:val="auto"/>
        </w:rPr>
      </w:pPr>
      <w:r>
        <w:rPr>
          <w:rFonts w:ascii="Arial" w:cs="Arial" w:eastAsia="Arial" w:hAnsi="Arial"/>
          <w:sz w:val="17"/>
          <w:szCs w:val="17"/>
          <w:color w:val="auto"/>
        </w:rPr>
        <w:t>a financial liability imposed on the office holder in favor of a third party.</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 the Israeli Companies Law, a company may not indemnify, exculpate or insure an office holder against any of the following:</w:t>
      </w:r>
    </w:p>
    <w:p>
      <w:pPr>
        <w:spacing w:after="0" w:line="196" w:lineRule="exact"/>
        <w:rPr>
          <w:sz w:val="20"/>
          <w:szCs w:val="20"/>
          <w:color w:val="auto"/>
        </w:rPr>
      </w:pPr>
    </w:p>
    <w:p>
      <w:pPr>
        <w:ind w:left="960" w:right="140" w:hanging="432"/>
        <w:spacing w:after="0" w:line="243" w:lineRule="auto"/>
        <w:tabs>
          <w:tab w:leader="none" w:pos="960" w:val="left"/>
        </w:tabs>
        <w:numPr>
          <w:ilvl w:val="0"/>
          <w:numId w:val="132"/>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960" w:right="240" w:hanging="432"/>
        <w:spacing w:after="0" w:line="243" w:lineRule="auto"/>
        <w:tabs>
          <w:tab w:leader="none" w:pos="960" w:val="left"/>
        </w:tabs>
        <w:numPr>
          <w:ilvl w:val="0"/>
          <w:numId w:val="132"/>
        </w:numPr>
        <w:rPr>
          <w:rFonts w:ascii="MS PGothic" w:cs="MS PGothic" w:eastAsia="MS PGothic" w:hAnsi="MS PGothic"/>
          <w:sz w:val="13"/>
          <w:szCs w:val="13"/>
          <w:color w:val="auto"/>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hanging="432"/>
        <w:spacing w:after="0"/>
        <w:tabs>
          <w:tab w:leader="none" w:pos="960" w:val="left"/>
        </w:tabs>
        <w:numPr>
          <w:ilvl w:val="0"/>
          <w:numId w:val="133"/>
        </w:numPr>
        <w:rPr>
          <w:rFonts w:ascii="MS PGothic" w:cs="MS PGothic" w:eastAsia="MS PGothic" w:hAnsi="MS PGothic"/>
          <w:sz w:val="13"/>
          <w:szCs w:val="13"/>
          <w:color w:val="auto"/>
        </w:rPr>
      </w:pPr>
      <w:r>
        <w:rPr>
          <w:rFonts w:ascii="Arial" w:cs="Arial" w:eastAsia="Arial" w:hAnsi="Arial"/>
          <w:sz w:val="17"/>
          <w:szCs w:val="17"/>
          <w:color w:val="auto"/>
        </w:rPr>
        <w:t>an act or omission committed with intent to derive illegal personal benefit; or</w:t>
      </w:r>
    </w:p>
    <w:p>
      <w:pPr>
        <w:spacing w:after="0" w:line="34" w:lineRule="exact"/>
        <w:rPr>
          <w:rFonts w:ascii="MS PGothic" w:cs="MS PGothic" w:eastAsia="MS PGothic" w:hAnsi="MS PGothic"/>
          <w:sz w:val="13"/>
          <w:szCs w:val="13"/>
          <w:color w:val="auto"/>
        </w:rPr>
      </w:pPr>
    </w:p>
    <w:p>
      <w:pPr>
        <w:ind w:left="960" w:hanging="432"/>
        <w:spacing w:after="0"/>
        <w:tabs>
          <w:tab w:leader="none" w:pos="960" w:val="left"/>
        </w:tabs>
        <w:numPr>
          <w:ilvl w:val="0"/>
          <w:numId w:val="133"/>
        </w:numPr>
        <w:rPr>
          <w:rFonts w:ascii="MS PGothic" w:cs="MS PGothic" w:eastAsia="MS PGothic" w:hAnsi="MS PGothic"/>
          <w:sz w:val="13"/>
          <w:szCs w:val="13"/>
          <w:color w:val="auto"/>
        </w:rPr>
      </w:pPr>
      <w:r>
        <w:rPr>
          <w:rFonts w:ascii="Arial" w:cs="Arial" w:eastAsia="Arial" w:hAnsi="Arial"/>
          <w:sz w:val="17"/>
          <w:szCs w:val="17"/>
          <w:color w:val="auto"/>
        </w:rPr>
        <w:t>a fine, civil fine, monetary sanction or forfeit levied against the office holder.</w:t>
      </w:r>
    </w:p>
    <w:p>
      <w:pPr>
        <w:spacing w:after="0" w:line="156" w:lineRule="exact"/>
        <w:rPr>
          <w:sz w:val="20"/>
          <w:szCs w:val="20"/>
          <w:color w:val="auto"/>
        </w:rPr>
      </w:pPr>
    </w:p>
    <w:p>
      <w:pPr>
        <w:ind w:left="200" w:right="420"/>
        <w:spacing w:after="0" w:line="236"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“Management—Approval of Related Party Transactions under Israeli Law—Fiduciary Duties of Directors and Executive Officers.”</w:t>
      </w:r>
    </w:p>
    <w:p>
      <w:pPr>
        <w:spacing w:after="0" w:line="149"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Our amended and restated articles of association permits us to exculpate, indemnify and insure our office holders to the fullest extent permitted or to be permitted by the Israeli Companies Law.</w:t>
      </w:r>
    </w:p>
    <w:p>
      <w:pPr>
        <w:spacing w:after="0" w:line="144" w:lineRule="exact"/>
        <w:rPr>
          <w:sz w:val="20"/>
          <w:szCs w:val="20"/>
          <w:color w:val="auto"/>
        </w:rPr>
      </w:pPr>
    </w:p>
    <w:p>
      <w:pPr>
        <w:ind w:left="200" w:right="160"/>
        <w:spacing w:after="0" w:line="235" w:lineRule="auto"/>
        <w:rPr>
          <w:sz w:val="20"/>
          <w:szCs w:val="20"/>
          <w:color w:val="auto"/>
        </w:rPr>
      </w:pPr>
      <w:r>
        <w:rPr>
          <w:rFonts w:ascii="Arial" w:cs="Arial" w:eastAsia="Arial" w:hAnsi="Arial"/>
          <w:sz w:val="17"/>
          <w:szCs w:val="17"/>
          <w:color w:val="auto"/>
        </w:rPr>
        <w:t>We maintain directors and officers liability insurance for the benefit of our office holders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Israeli law, including with respect to liabilities resulting from this offering to the extent that these liabilities are not covered by insurance.</w:t>
      </w:r>
    </w:p>
    <w:p>
      <w:pPr>
        <w:spacing w:after="0" w:line="150" w:lineRule="exact"/>
        <w:rPr>
          <w:sz w:val="20"/>
          <w:szCs w:val="20"/>
          <w:color w:val="auto"/>
        </w:rPr>
      </w:pPr>
    </w:p>
    <w:p>
      <w:pPr>
        <w:ind w:left="200" w:right="420"/>
        <w:spacing w:after="0" w:line="238" w:lineRule="auto"/>
        <w:rPr>
          <w:sz w:val="20"/>
          <w:szCs w:val="20"/>
          <w:color w:val="auto"/>
        </w:rPr>
      </w:pPr>
      <w:r>
        <w:rPr>
          <w:rFonts w:ascii="Arial" w:cs="Arial" w:eastAsia="Arial" w:hAnsi="Arial"/>
          <w:sz w:val="17"/>
          <w:szCs w:val="17"/>
          <w:color w:val="auto"/>
        </w:rPr>
        <w:t>Insofar as the indemnification for liabilities arising under the Securities Act of 1933, as amended, or the Securities Act, may be permitted to directors, officers or persons controlling the registrant,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93" w:lineRule="exact"/>
        <w:rPr>
          <w:sz w:val="20"/>
          <w:szCs w:val="20"/>
          <w:color w:val="auto"/>
        </w:rPr>
      </w:pPr>
    </w:p>
    <w:p>
      <w:pPr>
        <w:ind w:left="200" w:right="300"/>
        <w:spacing w:after="0" w:line="243" w:lineRule="auto"/>
        <w:rPr>
          <w:sz w:val="20"/>
          <w:szCs w:val="20"/>
          <w:color w:val="auto"/>
        </w:rPr>
      </w:pPr>
      <w:r>
        <w:rPr>
          <w:rFonts w:ascii="Arial" w:cs="Arial" w:eastAsia="Arial" w:hAnsi="Arial"/>
          <w:sz w:val="17"/>
          <w:szCs w:val="17"/>
          <w:color w:val="auto"/>
        </w:rPr>
        <w:t>The following list sets forth information as to all securities we have sold since January 1, 2014, which were not registered under the Securities Act.</w:t>
      </w:r>
    </w:p>
    <w:p>
      <w:pPr>
        <w:spacing w:after="0" w:line="185" w:lineRule="exact"/>
        <w:rPr>
          <w:sz w:val="20"/>
          <w:szCs w:val="20"/>
          <w:color w:val="auto"/>
        </w:rPr>
      </w:pPr>
    </w:p>
    <w:p>
      <w:pPr>
        <w:ind w:left="960" w:right="80" w:hanging="432"/>
        <w:spacing w:after="0" w:line="233" w:lineRule="auto"/>
        <w:tabs>
          <w:tab w:leader="none" w:pos="960" w:val="left"/>
        </w:tabs>
        <w:numPr>
          <w:ilvl w:val="0"/>
          <w:numId w:val="134"/>
        </w:numPr>
        <w:rPr>
          <w:rFonts w:ascii="MS PGothic" w:cs="MS PGothic" w:eastAsia="MS PGothic" w:hAnsi="MS PGothic"/>
          <w:sz w:val="13"/>
          <w:szCs w:val="13"/>
          <w:color w:val="auto"/>
        </w:rPr>
      </w:pPr>
      <w:r>
        <w:rPr>
          <w:rFonts w:ascii="Arial" w:cs="Arial" w:eastAsia="Arial" w:hAnsi="Arial"/>
          <w:sz w:val="17"/>
          <w:szCs w:val="17"/>
          <w:color w:val="auto"/>
        </w:rPr>
        <w:t>In February 2014, we issued a series of unsecured subordinated convertible promissory notes to new investors and several of our existing shareholders These notes were amended in July 2014 and are referred to as the 2014 notes, as amended. Pursuant to the 2014 notes, we initially received an aggregate principal amount of $647,112, bearing interest at 6% per annum. The principal and all accrued interest on the 2014 notes was to be, on the consummation of the investment of a specified amount, automatically converted into either: (i) Series A preferred shares at a five percent (5%) discount on the price per share; or (ii) into ordinary shares at a fifteen percent (15%) discount on the price per share, on the date of conversion, as determined by our board of directors, all at the election of the 2014 note holders. On October 20, 2014, in lieu of such automatic conversion, we offered the holders of the 2014 notes the right to convert the 2014 notes into Series A preferred shares at a price per share of $5.94 and to receive warrants for no additional consideration, all as if they were subscribing to purchase securities pursuant to the 2014 Share Purchase Agreement. All of the 2014 note holders elected to convert the principal amounts of their notes on these terms immediately prior to the initial closing of the 2014 Share Purchase Agreement and waived their right to interest due or payable on the principal amount. All 2014 notes were cancelled.</w:t>
      </w:r>
    </w:p>
    <w:p>
      <w:pPr>
        <w:spacing w:after="0" w:line="32" w:lineRule="exact"/>
        <w:rPr>
          <w:rFonts w:ascii="MS PGothic" w:cs="MS PGothic" w:eastAsia="MS PGothic" w:hAnsi="MS PGothic"/>
          <w:sz w:val="13"/>
          <w:szCs w:val="13"/>
          <w:color w:val="auto"/>
        </w:rPr>
      </w:pPr>
    </w:p>
    <w:p>
      <w:pPr>
        <w:ind w:left="960" w:right="200" w:hanging="432"/>
        <w:spacing w:after="0" w:line="234" w:lineRule="auto"/>
        <w:tabs>
          <w:tab w:leader="none" w:pos="960" w:val="left"/>
        </w:tabs>
        <w:numPr>
          <w:ilvl w:val="0"/>
          <w:numId w:val="134"/>
        </w:numPr>
        <w:rPr>
          <w:rFonts w:ascii="MS PGothic" w:cs="MS PGothic" w:eastAsia="MS PGothic" w:hAnsi="MS PGothic"/>
          <w:sz w:val="13"/>
          <w:szCs w:val="13"/>
          <w:color w:val="auto"/>
        </w:rPr>
      </w:pPr>
      <w:r>
        <w:rPr>
          <w:rFonts w:ascii="Arial" w:cs="Arial" w:eastAsia="Arial" w:hAnsi="Arial"/>
          <w:sz w:val="17"/>
          <w:szCs w:val="17"/>
          <w:color w:val="auto"/>
        </w:rPr>
        <w:t>On October 20, 2014, June 28, 2015 and July 7 and 28, 2015, (i) we issued to certain investors and existing shareholders, 1,347,590 preferred shares for approximately $8.0 million, which will be converted into ordinary shares prior to this offering. We further granted such investors and existing shareholders 673,827 warrants to purchase preferred shares (to be converted into warrants to purchase ordinary shares prior to this offering) at an exercise price of $7.81 per share; and (ii) we issued to the 2014 notes holders 108,983 preferred shares and 54,485 warrants to purchase preferred shares (to be converted into ordinary shares and warrants prior to this offering) at an exercise price of $7.81 in exchange for their conversion of all principal and accrued interest due on the notes in an aggregate amount of $647,112.</w:t>
      </w:r>
    </w:p>
    <w:p>
      <w:pPr>
        <w:spacing w:after="0" w:line="29" w:lineRule="exact"/>
        <w:rPr>
          <w:rFonts w:ascii="MS PGothic" w:cs="MS PGothic" w:eastAsia="MS PGothic" w:hAnsi="MS PGothic"/>
          <w:sz w:val="13"/>
          <w:szCs w:val="13"/>
          <w:color w:val="auto"/>
        </w:rPr>
      </w:pPr>
    </w:p>
    <w:p>
      <w:pPr>
        <w:ind w:left="960" w:right="400" w:hanging="432"/>
        <w:spacing w:after="0" w:line="236" w:lineRule="auto"/>
        <w:tabs>
          <w:tab w:leader="none" w:pos="960" w:val="left"/>
        </w:tabs>
        <w:numPr>
          <w:ilvl w:val="0"/>
          <w:numId w:val="134"/>
        </w:numPr>
        <w:rPr>
          <w:rFonts w:ascii="MS PGothic" w:cs="MS PGothic" w:eastAsia="MS PGothic" w:hAnsi="MS PGothic"/>
          <w:sz w:val="13"/>
          <w:szCs w:val="13"/>
          <w:color w:val="auto"/>
        </w:rPr>
      </w:pPr>
      <w:r>
        <w:rPr>
          <w:rFonts w:ascii="Arial" w:cs="Arial" w:eastAsia="Arial" w:hAnsi="Arial"/>
          <w:sz w:val="17"/>
          <w:szCs w:val="17"/>
          <w:color w:val="auto"/>
        </w:rPr>
        <w:t>On November 12, 2015, we issued to Telormedix SA, or TMX, 691,200 preferred shares in consideration of any and all owned knowledge or data of TMX, whether registered or unregistered, including, but not limited to, intellectual property, goodwill, clinical studies, and licenses. These shares will be converted into ordinary shares prior to this offering. We also undertook to issue to TMX 278,400 additional preferred shares upon the achievement of certain milestones, which may be met in the future.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60" w:right="160" w:hanging="432"/>
        <w:spacing w:after="0" w:line="243" w:lineRule="auto"/>
        <w:tabs>
          <w:tab w:leader="none" w:pos="960" w:val="left"/>
        </w:tabs>
        <w:numPr>
          <w:ilvl w:val="0"/>
          <w:numId w:val="135"/>
        </w:numPr>
        <w:rPr>
          <w:rFonts w:ascii="MS PGothic" w:cs="MS PGothic" w:eastAsia="MS PGothic" w:hAnsi="MS PGothic"/>
          <w:sz w:val="13"/>
          <w:szCs w:val="13"/>
          <w:color w:val="auto"/>
        </w:rPr>
      </w:pPr>
      <w:r>
        <w:rPr>
          <w:rFonts w:ascii="Arial" w:cs="Arial" w:eastAsia="Arial" w:hAnsi="Arial"/>
          <w:sz w:val="17"/>
          <w:szCs w:val="17"/>
          <w:color w:val="auto"/>
        </w:rPr>
        <w:t>On December 10, 2015, we issued to certain investors and existing shareholders 3,045,652 preferred shares, which will be converted into ordinary shares prior to this offering for $18.1 million.</w:t>
      </w:r>
    </w:p>
    <w:p>
      <w:pPr>
        <w:spacing w:after="0" w:line="144" w:lineRule="exact"/>
        <w:rPr>
          <w:sz w:val="20"/>
          <w:szCs w:val="20"/>
          <w:color w:val="auto"/>
        </w:rPr>
      </w:pPr>
    </w:p>
    <w:p>
      <w:pPr>
        <w:ind w:left="200" w:right="200"/>
        <w:spacing w:after="0" w:line="23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because they were made outside of the U.S. to certain non-U.S. individuals or entities pursuant to Regulation S or, in reliance upon the exemption from registration provided under Section 4(a)(2) of the Securities Act and the regulations promulgated thereunder.</w:t>
      </w:r>
    </w:p>
    <w:p>
      <w:pPr>
        <w:spacing w:after="0" w:line="148"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Additionally, we granted share options and restricted share units to employees, directors, consultants and service providers under our 2010 Israeli Share Option Plan covering an aggregate of 2,665,099 ordinary shares, with a weighted-average exercise price of $4.85. We also granted an aggregate of 674,500 share options and restricted share units to employees, directors, consultants and service providers under our 2017 Equity Incentive Plan, with a weighted-average exercise price of $22.89.</w:t>
      </w:r>
    </w:p>
    <w:p>
      <w:pPr>
        <w:spacing w:after="0" w:line="149"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 underwriters were employed in connection with the securities issuances set forth in this Item.</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149860</wp:posOffset>
            </wp:positionV>
            <wp:extent cx="6997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580" w:type="dxa"/>
            <w:vAlign w:val="bottom"/>
            <w:gridSpan w:val="14"/>
          </w:tcPr>
          <w:p>
            <w:pPr>
              <w:spacing w:after="0"/>
              <w:rPr>
                <w:sz w:val="20"/>
                <w:szCs w:val="20"/>
                <w:color w:val="auto"/>
              </w:rPr>
            </w:pPr>
            <w:r>
              <w:rPr>
                <w:rFonts w:ascii="Arial" w:cs="Arial" w:eastAsia="Arial" w:hAnsi="Arial"/>
                <w:sz w:val="14"/>
                <w:szCs w:val="14"/>
                <w:b w:val="1"/>
                <w:bCs w:val="1"/>
                <w:color w:val="auto"/>
              </w:rPr>
              <w:t>EXHIBIT DESCRIPTION</w:t>
            </w:r>
          </w:p>
        </w:tc>
      </w:tr>
      <w:tr>
        <w:trPr>
          <w:trHeight w:val="270"/>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3"/>
                <w:szCs w:val="23"/>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9"/>
              </w:rPr>
              <w:t>Form of Underwriting Agreement</w:t>
            </w:r>
          </w:p>
        </w:tc>
        <w:tc>
          <w:tcPr>
            <w:tcW w:w="1640" w:type="dxa"/>
            <w:vAlign w:val="bottom"/>
            <w:gridSpan w:val="3"/>
          </w:tcPr>
          <w:p>
            <w:pPr>
              <w:spacing w:after="0"/>
              <w:rPr>
                <w:sz w:val="23"/>
                <w:szCs w:val="23"/>
                <w:color w:val="auto"/>
              </w:rPr>
            </w:pPr>
          </w:p>
        </w:tc>
        <w:tc>
          <w:tcPr>
            <w:tcW w:w="1520" w:type="dxa"/>
            <w:vAlign w:val="bottom"/>
            <w:tcBorders>
              <w:top w:val="single" w:sz="8" w:color="auto"/>
            </w:tcBorders>
            <w:gridSpan w:val="2"/>
          </w:tcPr>
          <w:p>
            <w:pPr>
              <w:spacing w:after="0"/>
              <w:rPr>
                <w:sz w:val="23"/>
                <w:szCs w:val="23"/>
                <w:color w:val="auto"/>
              </w:rPr>
            </w:pPr>
          </w:p>
        </w:tc>
        <w:tc>
          <w:tcPr>
            <w:tcW w:w="4060" w:type="dxa"/>
            <w:vAlign w:val="bottom"/>
            <w:gridSpan w:val="12"/>
          </w:tcPr>
          <w:p>
            <w:pPr>
              <w:spacing w:after="0"/>
              <w:rPr>
                <w:sz w:val="23"/>
                <w:szCs w:val="23"/>
                <w:color w:val="auto"/>
              </w:rPr>
            </w:pPr>
          </w:p>
        </w:tc>
      </w:tr>
      <w:tr>
        <w:trPr>
          <w:trHeight w:val="291"/>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040" w:type="dxa"/>
            <w:vAlign w:val="bottom"/>
            <w:tcBorders>
              <w:bottom w:val="single" w:sz="8" w:color="0000EE"/>
            </w:tcBorders>
            <w:gridSpan w:val="11"/>
          </w:tcPr>
          <w:p>
            <w:pPr>
              <w:spacing w:after="0"/>
              <w:rPr>
                <w:rFonts w:ascii="Arial" w:cs="Arial" w:eastAsia="Arial" w:hAnsi="Arial"/>
                <w:sz w:val="17"/>
                <w:szCs w:val="17"/>
                <w:color w:val="0000EE"/>
              </w:rPr>
            </w:pPr>
            <w:hyperlink r:id="rId577">
              <w:r>
                <w:rPr>
                  <w:rFonts w:ascii="Arial" w:cs="Arial" w:eastAsia="Arial" w:hAnsi="Arial"/>
                  <w:sz w:val="17"/>
                  <w:szCs w:val="17"/>
                  <w:color w:val="0000EE"/>
                </w:rPr>
                <w:t>Articles of Association of the Registrant (incorporated by reference to Exhibit 3.1 to the Form 6-K filed on May 18, 2017)</w:t>
              </w:r>
            </w:hyperlink>
          </w:p>
        </w:tc>
        <w:tc>
          <w:tcPr>
            <w:tcW w:w="660" w:type="dxa"/>
            <w:vAlign w:val="bottom"/>
            <w:gridSpan w:val="8"/>
          </w:tcPr>
          <w:p>
            <w:pPr>
              <w:spacing w:after="0"/>
              <w:rPr>
                <w:sz w:val="24"/>
                <w:szCs w:val="24"/>
                <w:color w:val="auto"/>
              </w:rPr>
            </w:pPr>
          </w:p>
        </w:tc>
      </w:tr>
      <w:tr>
        <w:trPr>
          <w:trHeight w:val="291"/>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Arial" w:cs="Arial" w:eastAsia="Arial" w:hAnsi="Arial"/>
                <w:sz w:val="17"/>
                <w:szCs w:val="17"/>
                <w:color w:val="0000EE"/>
              </w:rPr>
              <w:t>Opinion of Hamburger Evron &amp; Co., Israeli counsel to the Registrant, as to the validity of the ordinary shares</w:t>
            </w:r>
          </w:p>
        </w:tc>
      </w:tr>
      <w:tr>
        <w:trPr>
          <w:trHeight w:val="20"/>
        </w:trPr>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10.1</w:t>
            </w:r>
          </w:p>
        </w:tc>
        <w:tc>
          <w:tcPr>
            <w:tcW w:w="64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Arial" w:cs="Arial" w:eastAsia="Arial" w:hAnsi="Arial"/>
                <w:sz w:val="17"/>
                <w:szCs w:val="17"/>
                <w:color w:val="0000EE"/>
              </w:rPr>
            </w:pPr>
            <w:hyperlink r:id="rId578">
              <w:r>
                <w:rPr>
                  <w:rFonts w:ascii="Arial" w:cs="Arial" w:eastAsia="Arial" w:hAnsi="Arial"/>
                  <w:sz w:val="17"/>
                  <w:szCs w:val="17"/>
                  <w:color w:val="0000EE"/>
                </w:rPr>
                <w:t>Form of Officer Indemnity and Exculpation Agreement (incorporated by reference to Exhibit 10.1 to the Registrant’s Registration</w:t>
              </w:r>
            </w:hyperlink>
          </w:p>
        </w:tc>
        <w:tc>
          <w:tcPr>
            <w:tcW w:w="6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60" w:type="dxa"/>
            <w:vAlign w:val="bottom"/>
            <w:tcBorders>
              <w:bottom w:val="single" w:sz="8" w:color="0000EE"/>
            </w:tcBorders>
            <w:gridSpan w:val="4"/>
          </w:tcPr>
          <w:p>
            <w:pPr>
              <w:spacing w:after="0" w:line="169" w:lineRule="exact"/>
              <w:rPr>
                <w:rFonts w:ascii="Arial" w:cs="Arial" w:eastAsia="Arial" w:hAnsi="Arial"/>
                <w:sz w:val="17"/>
                <w:szCs w:val="17"/>
                <w:color w:val="0000EE"/>
              </w:rPr>
            </w:pPr>
            <w:hyperlink r:id="rId578">
              <w:r>
                <w:rPr>
                  <w:rFonts w:ascii="Arial" w:cs="Arial" w:eastAsia="Arial" w:hAnsi="Arial"/>
                  <w:sz w:val="17"/>
                  <w:szCs w:val="17"/>
                  <w:color w:val="0000EE"/>
                </w:rPr>
                <w:t>Statement on Form F-1 (File No. 333-217201))</w:t>
              </w:r>
            </w:hyperlink>
          </w:p>
        </w:tc>
        <w:tc>
          <w:tcPr>
            <w:tcW w:w="6140" w:type="dxa"/>
            <w:vAlign w:val="bottom"/>
            <w:gridSpan w:val="15"/>
          </w:tcPr>
          <w:p>
            <w:pPr>
              <w:spacing w:after="0"/>
              <w:rPr>
                <w:sz w:val="14"/>
                <w:szCs w:val="14"/>
                <w:color w:val="auto"/>
              </w:rPr>
            </w:pPr>
          </w:p>
        </w:tc>
      </w:tr>
      <w:tr>
        <w:trPr>
          <w:trHeight w:val="277"/>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10.2</w:t>
            </w:r>
          </w:p>
        </w:tc>
        <w:tc>
          <w:tcPr>
            <w:tcW w:w="64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7"/>
                <w:szCs w:val="17"/>
                <w:color w:val="0000EE"/>
              </w:rPr>
            </w:pPr>
            <w:hyperlink r:id="rId579">
              <w:r>
                <w:rPr>
                  <w:rFonts w:ascii="Arial" w:cs="Arial" w:eastAsia="Arial" w:hAnsi="Arial"/>
                  <w:sz w:val="17"/>
                  <w:szCs w:val="17"/>
                  <w:color w:val="0000EE"/>
                </w:rPr>
                <w:t>2010 Israeli Share Option Plan (incorporated by reference to Exhibit 10.2 to the Registrant’s Registration Statement on Form F-1</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Borders>
              <w:bottom w:val="single" w:sz="8" w:color="0000EE"/>
            </w:tcBorders>
          </w:tcPr>
          <w:p>
            <w:pPr>
              <w:spacing w:after="0" w:line="169" w:lineRule="exact"/>
              <w:rPr>
                <w:rFonts w:ascii="Arial" w:cs="Arial" w:eastAsia="Arial" w:hAnsi="Arial"/>
                <w:sz w:val="17"/>
                <w:szCs w:val="17"/>
                <w:color w:val="0000EE"/>
                <w:w w:val="99"/>
              </w:rPr>
            </w:pPr>
            <w:hyperlink r:id="rId579">
              <w:r>
                <w:rPr>
                  <w:rFonts w:ascii="Arial" w:cs="Arial" w:eastAsia="Arial" w:hAnsi="Arial"/>
                  <w:sz w:val="17"/>
                  <w:szCs w:val="17"/>
                  <w:color w:val="0000EE"/>
                  <w:w w:val="99"/>
                </w:rPr>
                <w:t>(File No. 333-217201))</w:t>
              </w:r>
            </w:hyperlink>
          </w:p>
        </w:tc>
        <w:tc>
          <w:tcPr>
            <w:tcW w:w="7980" w:type="dxa"/>
            <w:vAlign w:val="bottom"/>
            <w:gridSpan w:val="18"/>
          </w:tcPr>
          <w:p>
            <w:pPr>
              <w:spacing w:after="0"/>
              <w:rPr>
                <w:sz w:val="14"/>
                <w:szCs w:val="14"/>
                <w:color w:val="auto"/>
              </w:rPr>
            </w:pPr>
          </w:p>
        </w:tc>
      </w:tr>
      <w:tr>
        <w:trPr>
          <w:trHeight w:val="277"/>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10.3</w:t>
            </w:r>
          </w:p>
        </w:tc>
        <w:tc>
          <w:tcPr>
            <w:tcW w:w="640" w:type="dxa"/>
            <w:vAlign w:val="bottom"/>
          </w:tcPr>
          <w:p>
            <w:pPr>
              <w:spacing w:after="0"/>
              <w:rPr>
                <w:sz w:val="24"/>
                <w:szCs w:val="24"/>
                <w:color w:val="auto"/>
              </w:rPr>
            </w:pPr>
          </w:p>
        </w:tc>
        <w:tc>
          <w:tcPr>
            <w:tcW w:w="9200" w:type="dxa"/>
            <w:vAlign w:val="bottom"/>
            <w:tcBorders>
              <w:bottom w:val="single" w:sz="8" w:color="0000EE"/>
            </w:tcBorders>
            <w:gridSpan w:val="13"/>
          </w:tcPr>
          <w:p>
            <w:pPr>
              <w:spacing w:after="0"/>
              <w:rPr>
                <w:rFonts w:ascii="Arial" w:cs="Arial" w:eastAsia="Arial" w:hAnsi="Arial"/>
                <w:sz w:val="17"/>
                <w:szCs w:val="17"/>
                <w:color w:val="0000EE"/>
              </w:rPr>
            </w:pPr>
            <w:hyperlink r:id="rId580">
              <w:r>
                <w:rPr>
                  <w:rFonts w:ascii="Arial" w:cs="Arial" w:eastAsia="Arial" w:hAnsi="Arial"/>
                  <w:sz w:val="17"/>
                  <w:szCs w:val="17"/>
                  <w:color w:val="0000EE"/>
                </w:rPr>
                <w:t>Investors’ Rights Agreement, dated September 18, 2014, as amended on October 1, 2015 and April 12, 2016, among the</w:t>
              </w:r>
            </w:hyperlink>
          </w:p>
        </w:tc>
        <w:tc>
          <w:tcPr>
            <w:tcW w:w="500" w:type="dxa"/>
            <w:vAlign w:val="bottom"/>
            <w:gridSpan w:val="6"/>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700" w:type="dxa"/>
            <w:vAlign w:val="bottom"/>
            <w:gridSpan w:val="19"/>
          </w:tcPr>
          <w:p>
            <w:pPr>
              <w:spacing w:after="0" w:line="169" w:lineRule="exact"/>
              <w:rPr>
                <w:rFonts w:ascii="Arial" w:cs="Arial" w:eastAsia="Arial" w:hAnsi="Arial"/>
                <w:sz w:val="17"/>
                <w:szCs w:val="17"/>
                <w:color w:val="0000EE"/>
              </w:rPr>
            </w:pPr>
            <w:hyperlink r:id="rId580">
              <w:r>
                <w:rPr>
                  <w:rFonts w:ascii="Arial" w:cs="Arial" w:eastAsia="Arial" w:hAnsi="Arial"/>
                  <w:sz w:val="17"/>
                  <w:szCs w:val="17"/>
                  <w:color w:val="0000EE"/>
                </w:rPr>
                <w:t>Registrant and the Registrant’s shareholders (incorporated by reference to Exhibit 10.3 to the Registrant’s Registration</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54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rPr>
            </w:pPr>
            <w:hyperlink r:id="rId580">
              <w:r>
                <w:rPr>
                  <w:rFonts w:ascii="Arial" w:cs="Arial" w:eastAsia="Arial" w:hAnsi="Arial"/>
                  <w:sz w:val="17"/>
                  <w:szCs w:val="17"/>
                  <w:color w:val="0000EE"/>
                </w:rPr>
                <w:t>Statement on Form F-1 (File No. 333-217201))</w:t>
              </w:r>
            </w:hyperlink>
          </w:p>
        </w:tc>
        <w:tc>
          <w:tcPr>
            <w:tcW w:w="5400" w:type="dxa"/>
            <w:vAlign w:val="bottom"/>
            <w:tcBorders>
              <w:top w:val="single" w:sz="8" w:color="0000EE"/>
            </w:tcBorders>
            <w:gridSpan w:val="7"/>
          </w:tcPr>
          <w:p>
            <w:pPr>
              <w:spacing w:after="0"/>
              <w:rPr>
                <w:sz w:val="14"/>
                <w:szCs w:val="14"/>
                <w:color w:val="auto"/>
              </w:rPr>
            </w:pPr>
          </w:p>
        </w:tc>
        <w:tc>
          <w:tcPr>
            <w:tcW w:w="760" w:type="dxa"/>
            <w:vAlign w:val="bottom"/>
            <w:gridSpan w:val="9"/>
          </w:tcPr>
          <w:p>
            <w:pPr>
              <w:spacing w:after="0"/>
              <w:rPr>
                <w:sz w:val="14"/>
                <w:szCs w:val="14"/>
                <w:color w:val="auto"/>
              </w:rPr>
            </w:pPr>
          </w:p>
        </w:tc>
      </w:tr>
      <w:tr>
        <w:trPr>
          <w:trHeight w:val="277"/>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10.4</w:t>
            </w:r>
          </w:p>
        </w:tc>
        <w:tc>
          <w:tcPr>
            <w:tcW w:w="64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7"/>
                <w:szCs w:val="17"/>
                <w:color w:val="0000EE"/>
              </w:rPr>
            </w:pPr>
            <w:hyperlink r:id="rId581">
              <w:r>
                <w:rPr>
                  <w:rFonts w:ascii="Arial" w:cs="Arial" w:eastAsia="Arial" w:hAnsi="Arial"/>
                  <w:sz w:val="17"/>
                  <w:szCs w:val="17"/>
                  <w:color w:val="0000EE"/>
                </w:rPr>
                <w:t>Asset Purchase Agreement, dated October 1, 2015, between the Registrant and Telormedix SA (incorporated by reference to</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500" w:type="dxa"/>
            <w:vAlign w:val="bottom"/>
            <w:tcBorders>
              <w:top w:val="single" w:sz="8" w:color="0000EE"/>
            </w:tcBorders>
            <w:gridSpan w:val="17"/>
          </w:tcPr>
          <w:p>
            <w:pPr>
              <w:spacing w:after="0" w:line="169" w:lineRule="exact"/>
              <w:rPr>
                <w:rFonts w:ascii="Arial" w:cs="Arial" w:eastAsia="Arial" w:hAnsi="Arial"/>
                <w:sz w:val="17"/>
                <w:szCs w:val="17"/>
                <w:color w:val="0000EE"/>
              </w:rPr>
            </w:pPr>
            <w:hyperlink r:id="rId581">
              <w:r>
                <w:rPr>
                  <w:rFonts w:ascii="Arial" w:cs="Arial" w:eastAsia="Arial" w:hAnsi="Arial"/>
                  <w:sz w:val="17"/>
                  <w:szCs w:val="17"/>
                  <w:color w:val="0000EE"/>
                </w:rPr>
                <w:t>Exhibit 10.4 to the Registrant’s Registration Statement on Form F-1 (File No. 333-217201))</w:t>
              </w:r>
            </w:hyperlink>
          </w:p>
        </w:tc>
        <w:tc>
          <w:tcPr>
            <w:tcW w:w="200" w:type="dxa"/>
            <w:vAlign w:val="bottom"/>
            <w:gridSpan w:val="2"/>
          </w:tcPr>
          <w:p>
            <w:pPr>
              <w:spacing w:after="0"/>
              <w:rPr>
                <w:sz w:val="14"/>
                <w:szCs w:val="14"/>
                <w:color w:val="auto"/>
              </w:rPr>
            </w:pPr>
          </w:p>
        </w:tc>
      </w:tr>
      <w:tr>
        <w:trPr>
          <w:trHeight w:val="20"/>
        </w:trPr>
        <w:tc>
          <w:tcPr>
            <w:tcW w:w="1260" w:type="dxa"/>
            <w:vAlign w:val="bottom"/>
            <w:gridSpan w:val="3"/>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260" w:type="dxa"/>
            <w:vAlign w:val="bottom"/>
            <w:gridSpan w:val="3"/>
          </w:tcPr>
          <w:p>
            <w:pPr>
              <w:spacing w:after="0"/>
              <w:rPr>
                <w:sz w:val="20"/>
                <w:szCs w:val="20"/>
                <w:color w:val="auto"/>
              </w:rPr>
            </w:pPr>
            <w:r>
              <w:rPr>
                <w:rFonts w:ascii="Arial" w:cs="Arial" w:eastAsia="Arial" w:hAnsi="Arial"/>
                <w:sz w:val="18"/>
                <w:szCs w:val="18"/>
                <w:color w:val="auto"/>
              </w:rPr>
              <w:t>10.5†</w:t>
            </w:r>
          </w:p>
        </w:tc>
        <w:tc>
          <w:tcPr>
            <w:tcW w:w="9460" w:type="dxa"/>
            <w:vAlign w:val="bottom"/>
            <w:tcBorders>
              <w:bottom w:val="single" w:sz="8" w:color="0000EE"/>
            </w:tcBorders>
            <w:gridSpan w:val="15"/>
          </w:tcPr>
          <w:p>
            <w:pPr>
              <w:spacing w:after="0"/>
              <w:rPr>
                <w:rFonts w:ascii="Arial" w:cs="Arial" w:eastAsia="Arial" w:hAnsi="Arial"/>
                <w:sz w:val="17"/>
                <w:szCs w:val="17"/>
                <w:color w:val="0000EE"/>
              </w:rPr>
            </w:pPr>
            <w:hyperlink r:id="rId582">
              <w:r>
                <w:rPr>
                  <w:rFonts w:ascii="Arial" w:cs="Arial" w:eastAsia="Arial" w:hAnsi="Arial"/>
                  <w:sz w:val="17"/>
                  <w:szCs w:val="17"/>
                  <w:color w:val="0000EE"/>
                </w:rPr>
                <w:t>License Agreement, dated as of October 7, 2016, by and between the Registrant and Allergan Pharmaceuticals International</w:t>
              </w:r>
            </w:hyperlink>
          </w:p>
        </w:tc>
        <w:tc>
          <w:tcPr>
            <w:tcW w:w="240" w:type="dxa"/>
            <w:vAlign w:val="bottom"/>
            <w:gridSpan w:val="4"/>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700" w:type="dxa"/>
            <w:vAlign w:val="bottom"/>
            <w:tcBorders>
              <w:bottom w:val="single" w:sz="8" w:color="0000EE"/>
            </w:tcBorders>
            <w:gridSpan w:val="19"/>
          </w:tcPr>
          <w:p>
            <w:pPr>
              <w:spacing w:after="0" w:line="169" w:lineRule="exact"/>
              <w:rPr>
                <w:rFonts w:ascii="Arial" w:cs="Arial" w:eastAsia="Arial" w:hAnsi="Arial"/>
                <w:sz w:val="17"/>
                <w:szCs w:val="17"/>
                <w:color w:val="0000EE"/>
              </w:rPr>
            </w:pPr>
            <w:hyperlink r:id="rId582">
              <w:r>
                <w:rPr>
                  <w:rFonts w:ascii="Arial" w:cs="Arial" w:eastAsia="Arial" w:hAnsi="Arial"/>
                  <w:sz w:val="17"/>
                  <w:szCs w:val="17"/>
                  <w:color w:val="0000EE"/>
                </w:rPr>
                <w:t>Limited (incorporated by reference to Exhibit 10.5 to the Registrant’s Registration Statement on Form F-1 (File No. 333-217201))</w:t>
              </w:r>
            </w:hyperlink>
          </w:p>
        </w:tc>
      </w:tr>
      <w:tr>
        <w:trPr>
          <w:trHeight w:val="277"/>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10.6</w:t>
            </w:r>
          </w:p>
        </w:tc>
        <w:tc>
          <w:tcPr>
            <w:tcW w:w="64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7"/>
                <w:szCs w:val="17"/>
                <w:color w:val="0000EE"/>
              </w:rPr>
            </w:pPr>
            <w:hyperlink r:id="rId583">
              <w:r>
                <w:rPr>
                  <w:rFonts w:ascii="Arial" w:cs="Arial" w:eastAsia="Arial" w:hAnsi="Arial"/>
                  <w:sz w:val="17"/>
                  <w:szCs w:val="17"/>
                  <w:color w:val="0000EE"/>
                </w:rPr>
                <w:t>2017 Equity Incentive Plan (incorporated by reference to Exhibit 10.6 to the Registrant’s Registration Statement on Form F-1</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9"/>
              </w:rPr>
            </w:pPr>
            <w:hyperlink r:id="rId583">
              <w:r>
                <w:rPr>
                  <w:rFonts w:ascii="Arial" w:cs="Arial" w:eastAsia="Arial" w:hAnsi="Arial"/>
                  <w:sz w:val="17"/>
                  <w:szCs w:val="17"/>
                  <w:color w:val="0000EE"/>
                  <w:w w:val="99"/>
                </w:rPr>
                <w:t>(File No. 333-217201))</w:t>
              </w:r>
            </w:hyperlink>
          </w:p>
        </w:tc>
        <w:tc>
          <w:tcPr>
            <w:tcW w:w="7680" w:type="dxa"/>
            <w:vAlign w:val="bottom"/>
            <w:tcBorders>
              <w:top w:val="single" w:sz="8" w:color="0000EE"/>
            </w:tcBorders>
            <w:gridSpan w:val="13"/>
          </w:tcPr>
          <w:p>
            <w:pPr>
              <w:spacing w:after="0"/>
              <w:rPr>
                <w:sz w:val="14"/>
                <w:szCs w:val="14"/>
                <w:color w:val="auto"/>
              </w:rPr>
            </w:pPr>
          </w:p>
        </w:tc>
        <w:tc>
          <w:tcPr>
            <w:tcW w:w="300" w:type="dxa"/>
            <w:vAlign w:val="bottom"/>
            <w:gridSpan w:val="5"/>
          </w:tcPr>
          <w:p>
            <w:pPr>
              <w:spacing w:after="0"/>
              <w:rPr>
                <w:sz w:val="14"/>
                <w:szCs w:val="14"/>
                <w:color w:val="auto"/>
              </w:rPr>
            </w:pPr>
          </w:p>
        </w:tc>
      </w:tr>
      <w:tr>
        <w:trPr>
          <w:trHeight w:val="277"/>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10.7</w:t>
            </w:r>
          </w:p>
        </w:tc>
        <w:tc>
          <w:tcPr>
            <w:tcW w:w="640" w:type="dxa"/>
            <w:vAlign w:val="bottom"/>
          </w:tcPr>
          <w:p>
            <w:pPr>
              <w:spacing w:after="0"/>
              <w:rPr>
                <w:sz w:val="24"/>
                <w:szCs w:val="24"/>
                <w:color w:val="auto"/>
              </w:rPr>
            </w:pPr>
          </w:p>
        </w:tc>
        <w:tc>
          <w:tcPr>
            <w:tcW w:w="9700" w:type="dxa"/>
            <w:vAlign w:val="bottom"/>
            <w:gridSpan w:val="19"/>
          </w:tcPr>
          <w:p>
            <w:pPr>
              <w:spacing w:after="0"/>
              <w:rPr>
                <w:rFonts w:ascii="Arial" w:cs="Arial" w:eastAsia="Arial" w:hAnsi="Arial"/>
                <w:sz w:val="17"/>
                <w:szCs w:val="17"/>
                <w:color w:val="0000EE"/>
              </w:rPr>
            </w:pPr>
            <w:hyperlink r:id="rId584">
              <w:r>
                <w:rPr>
                  <w:rFonts w:ascii="Arial" w:cs="Arial" w:eastAsia="Arial" w:hAnsi="Arial"/>
                  <w:sz w:val="17"/>
                  <w:szCs w:val="17"/>
                  <w:color w:val="0000EE"/>
                </w:rPr>
                <w:t>2017 Israeli Equity Incentive Sub Plan to the 2017 Equity Incentive Plan (incorporated by reference to Exhibit 10.7 to the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80" w:type="dxa"/>
            <w:vAlign w:val="bottom"/>
            <w:tcBorders>
              <w:top w:val="single" w:sz="8" w:color="0000EE"/>
            </w:tcBorders>
            <w:gridSpan w:val="12"/>
          </w:tcPr>
          <w:p>
            <w:pPr>
              <w:spacing w:after="0" w:line="169" w:lineRule="exact"/>
              <w:rPr>
                <w:rFonts w:ascii="Arial" w:cs="Arial" w:eastAsia="Arial" w:hAnsi="Arial"/>
                <w:sz w:val="17"/>
                <w:szCs w:val="17"/>
                <w:color w:val="0000EE"/>
              </w:rPr>
            </w:pPr>
            <w:hyperlink r:id="rId584">
              <w:r>
                <w:rPr>
                  <w:rFonts w:ascii="Arial" w:cs="Arial" w:eastAsia="Arial" w:hAnsi="Arial"/>
                  <w:sz w:val="17"/>
                  <w:szCs w:val="17"/>
                  <w:color w:val="0000EE"/>
                </w:rPr>
                <w:t>Registrant’s Registration Statement on Form F-1 (File No. 333-217201))</w:t>
              </w:r>
            </w:hyperlink>
          </w:p>
        </w:tc>
        <w:tc>
          <w:tcPr>
            <w:tcW w:w="620" w:type="dxa"/>
            <w:vAlign w:val="bottom"/>
            <w:gridSpan w:val="7"/>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620" w:type="dxa"/>
            <w:vAlign w:val="bottom"/>
            <w:gridSpan w:val="2"/>
          </w:tcPr>
          <w:p>
            <w:pPr>
              <w:jc w:val="right"/>
              <w:ind w:right="188"/>
              <w:spacing w:after="0"/>
              <w:rPr>
                <w:sz w:val="20"/>
                <w:szCs w:val="20"/>
                <w:color w:val="auto"/>
              </w:rPr>
            </w:pPr>
            <w:r>
              <w:rPr>
                <w:rFonts w:ascii="Arial" w:cs="Arial" w:eastAsia="Arial" w:hAnsi="Arial"/>
                <w:sz w:val="18"/>
                <w:szCs w:val="18"/>
                <w:color w:val="auto"/>
                <w:w w:val="96"/>
              </w:rPr>
              <w:t>21.1</w:t>
            </w:r>
          </w:p>
        </w:tc>
        <w:tc>
          <w:tcPr>
            <w:tcW w:w="64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Arial" w:cs="Arial" w:eastAsia="Arial" w:hAnsi="Arial"/>
                <w:sz w:val="17"/>
                <w:szCs w:val="17"/>
                <w:color w:val="0000EE"/>
              </w:rPr>
            </w:pPr>
            <w:hyperlink r:id="rId585">
              <w:r>
                <w:rPr>
                  <w:rFonts w:ascii="Arial" w:cs="Arial" w:eastAsia="Arial" w:hAnsi="Arial"/>
                  <w:sz w:val="17"/>
                  <w:szCs w:val="17"/>
                  <w:color w:val="0000EE"/>
                </w:rPr>
                <w:t>Subsidiary of the Registrant (incorporated by reference to Exhibit 21.1 to the Registrant’s Registration Statement on Form F-1</w:t>
              </w:r>
            </w:hyperlink>
          </w:p>
        </w:tc>
        <w:tc>
          <w:tcPr>
            <w:tcW w:w="220" w:type="dxa"/>
            <w:vAlign w:val="bottom"/>
            <w:gridSpan w:val="3"/>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Borders>
              <w:bottom w:val="single" w:sz="8" w:color="0000EE"/>
            </w:tcBorders>
          </w:tcPr>
          <w:p>
            <w:pPr>
              <w:spacing w:after="0" w:line="169" w:lineRule="exact"/>
              <w:rPr>
                <w:rFonts w:ascii="Arial" w:cs="Arial" w:eastAsia="Arial" w:hAnsi="Arial"/>
                <w:sz w:val="17"/>
                <w:szCs w:val="17"/>
                <w:color w:val="0000EE"/>
                <w:w w:val="99"/>
              </w:rPr>
            </w:pPr>
            <w:hyperlink r:id="rId585">
              <w:r>
                <w:rPr>
                  <w:rFonts w:ascii="Arial" w:cs="Arial" w:eastAsia="Arial" w:hAnsi="Arial"/>
                  <w:sz w:val="17"/>
                  <w:szCs w:val="17"/>
                  <w:color w:val="0000EE"/>
                  <w:w w:val="99"/>
                </w:rPr>
                <w:t>(File No. 333-217201))</w:t>
              </w:r>
            </w:hyperlink>
          </w:p>
        </w:tc>
        <w:tc>
          <w:tcPr>
            <w:tcW w:w="7980" w:type="dxa"/>
            <w:vAlign w:val="bottom"/>
            <w:gridSpan w:val="18"/>
          </w:tcPr>
          <w:p>
            <w:pPr>
              <w:spacing w:after="0"/>
              <w:rPr>
                <w:sz w:val="14"/>
                <w:szCs w:val="14"/>
                <w:color w:val="auto"/>
              </w:rPr>
            </w:pPr>
          </w:p>
        </w:tc>
      </w:tr>
    </w:tbl>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5"/>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380" w:type="dxa"/>
            <w:vAlign w:val="bottom"/>
            <w:gridSpan w:val="4"/>
          </w:tcPr>
          <w:p>
            <w:pPr>
              <w:spacing w:after="0"/>
              <w:rPr>
                <w:sz w:val="20"/>
                <w:szCs w:val="20"/>
                <w:color w:val="auto"/>
              </w:rPr>
            </w:pPr>
            <w:r>
              <w:rPr>
                <w:rFonts w:ascii="Arial" w:cs="Arial" w:eastAsia="Arial" w:hAnsi="Arial"/>
                <w:sz w:val="14"/>
                <w:szCs w:val="14"/>
                <w:b w:val="1"/>
                <w:bCs w:val="1"/>
                <w:color w:val="auto"/>
              </w:rPr>
              <w:t>EXHIBIT DESCRIPTION</w:t>
            </w:r>
          </w:p>
        </w:tc>
      </w:tr>
      <w:tr>
        <w:trPr>
          <w:trHeight w:val="27"/>
        </w:trPr>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2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3"/>
                <w:szCs w:val="23"/>
                <w:color w:val="auto"/>
              </w:rPr>
            </w:pPr>
          </w:p>
        </w:tc>
        <w:tc>
          <w:tcPr>
            <w:tcW w:w="90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rPr>
              <w:t>Consent of Kesselman &amp; Kesselman, a member firm of PricewaterhouseCoopers International Limited, an independent</w:t>
            </w:r>
          </w:p>
        </w:tc>
        <w:tc>
          <w:tcPr>
            <w:tcW w:w="460" w:type="dxa"/>
            <w:vAlign w:val="bottom"/>
          </w:tcPr>
          <w:p>
            <w:pPr>
              <w:spacing w:after="0"/>
              <w:rPr>
                <w:sz w:val="23"/>
                <w:szCs w:val="23"/>
                <w:color w:val="auto"/>
              </w:rPr>
            </w:pPr>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60" w:type="dxa"/>
            <w:vAlign w:val="bottom"/>
            <w:gridSpan w:val="7"/>
          </w:tcPr>
          <w:p>
            <w:pPr>
              <w:spacing w:after="0" w:line="169" w:lineRule="exact"/>
              <w:rPr>
                <w:sz w:val="20"/>
                <w:szCs w:val="20"/>
                <w:color w:val="auto"/>
              </w:rPr>
            </w:pPr>
            <w:r>
              <w:rPr>
                <w:rFonts w:ascii="Arial" w:cs="Arial" w:eastAsia="Arial" w:hAnsi="Arial"/>
                <w:sz w:val="17"/>
                <w:szCs w:val="17"/>
                <w:color w:val="0000EE"/>
              </w:rPr>
              <w:t>registered public accounting firm</w:t>
            </w:r>
          </w:p>
        </w:tc>
      </w:tr>
      <w:tr>
        <w:trPr>
          <w:trHeight w:val="20"/>
        </w:trPr>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277"/>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45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Consent of Hamburger Evron &amp; Co. (included in Exhibit 5.1)</w:t>
            </w:r>
          </w:p>
        </w:tc>
        <w:tc>
          <w:tcPr>
            <w:tcW w:w="4920" w:type="dxa"/>
            <w:vAlign w:val="bottom"/>
            <w:gridSpan w:val="3"/>
          </w:tcPr>
          <w:p>
            <w:pPr>
              <w:spacing w:after="0"/>
              <w:rPr>
                <w:sz w:val="24"/>
                <w:szCs w:val="24"/>
                <w:color w:val="auto"/>
              </w:rPr>
            </w:pP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9460" w:type="dxa"/>
            <w:vAlign w:val="bottom"/>
            <w:gridSpan w:val="7"/>
          </w:tcPr>
          <w:p>
            <w:pPr>
              <w:spacing w:after="0"/>
              <w:rPr>
                <w:rFonts w:ascii="Arial" w:cs="Arial" w:eastAsia="Arial" w:hAnsi="Arial"/>
                <w:sz w:val="17"/>
                <w:szCs w:val="17"/>
                <w:color w:val="0000EE"/>
              </w:rPr>
            </w:pPr>
            <w:hyperlink w:anchor="page208">
              <w:r>
                <w:rPr>
                  <w:rFonts w:ascii="Arial" w:cs="Arial" w:eastAsia="Arial" w:hAnsi="Arial"/>
                  <w:sz w:val="17"/>
                  <w:szCs w:val="17"/>
                  <w:color w:val="0000EE"/>
                </w:rPr>
                <w:t>Power of Attorney (included in signature pages of Registration Statement)</w:t>
              </w:r>
            </w:hyperlink>
          </w:p>
        </w:tc>
      </w:tr>
      <w:tr>
        <w:trPr>
          <w:trHeight w:val="20"/>
        </w:trPr>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460" w:type="dxa"/>
            <w:vAlign w:val="bottom"/>
            <w:tcBorders>
              <w:bottom w:val="single" w:sz="8" w:color="0000EE"/>
            </w:tcBorders>
            <w:gridSpan w:val="7"/>
          </w:tcPr>
          <w:p>
            <w:pPr>
              <w:spacing w:after="0"/>
              <w:rPr>
                <w:rFonts w:ascii="Arial" w:cs="Arial" w:eastAsia="Arial" w:hAnsi="Arial"/>
                <w:sz w:val="17"/>
                <w:szCs w:val="17"/>
                <w:color w:val="0000EE"/>
              </w:rPr>
            </w:pPr>
            <w:hyperlink r:id="rId587">
              <w:r>
                <w:rPr>
                  <w:rFonts w:ascii="Arial" w:cs="Arial" w:eastAsia="Arial" w:hAnsi="Arial"/>
                  <w:sz w:val="17"/>
                  <w:szCs w:val="17"/>
                  <w:color w:val="0000EE"/>
                </w:rPr>
                <w:t>Consent of Dr. J. Gregory Wirth (incorporated by reference to Exhibit 99.1 to the Registrant’s Registration Statement on Form</w:t>
              </w:r>
            </w:hyperlink>
          </w:p>
        </w:tc>
      </w:tr>
      <w:tr>
        <w:trPr>
          <w:trHeight w:val="169"/>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tcBorders>
              <w:bottom w:val="single" w:sz="8" w:color="0000EE"/>
            </w:tcBorders>
          </w:tcPr>
          <w:p>
            <w:pPr>
              <w:spacing w:after="0" w:line="169" w:lineRule="exact"/>
              <w:rPr>
                <w:rFonts w:ascii="Arial" w:cs="Arial" w:eastAsia="Arial" w:hAnsi="Arial"/>
                <w:sz w:val="17"/>
                <w:szCs w:val="17"/>
                <w:color w:val="0000EE"/>
              </w:rPr>
            </w:pPr>
            <w:hyperlink r:id="rId587">
              <w:r>
                <w:rPr>
                  <w:rFonts w:ascii="Arial" w:cs="Arial" w:eastAsia="Arial" w:hAnsi="Arial"/>
                  <w:sz w:val="17"/>
                  <w:szCs w:val="17"/>
                  <w:color w:val="0000EE"/>
                </w:rPr>
                <w:t>F-1 (File No. 333-217201))</w:t>
              </w:r>
            </w:hyperlink>
          </w:p>
        </w:tc>
        <w:tc>
          <w:tcPr>
            <w:tcW w:w="7420" w:type="dxa"/>
            <w:vAlign w:val="bottom"/>
            <w:gridSpan w:val="6"/>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9" w:lineRule="exact"/>
        <w:rPr>
          <w:sz w:val="20"/>
          <w:szCs w:val="20"/>
          <w:color w:val="auto"/>
        </w:rPr>
      </w:pPr>
    </w:p>
    <w:p>
      <w:pPr>
        <w:ind w:left="520" w:right="100" w:hanging="180"/>
        <w:spacing w:after="0" w:line="258" w:lineRule="auto"/>
        <w:tabs>
          <w:tab w:leader="none" w:pos="5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Registrant has been granted confidential treatment for certain portions of this exhibit. This exhibit omits the information subject to this confidentiality treatment. Omitted portions have been filed separately with the SEC.</w:t>
      </w:r>
    </w:p>
    <w:p>
      <w:pPr>
        <w:spacing w:after="0" w:line="109" w:lineRule="exact"/>
        <w:rPr>
          <w:sz w:val="20"/>
          <w:szCs w:val="20"/>
          <w:color w:val="auto"/>
        </w:rPr>
      </w:pPr>
    </w:p>
    <w:p>
      <w:pPr>
        <w:ind w:left="200" w:right="260" w:firstLine="4"/>
        <w:spacing w:after="0" w:line="268" w:lineRule="auto"/>
        <w:tabs>
          <w:tab w:leader="none" w:pos="466"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Schedules not listed above have been omitted because the information required to be set forth therein is</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applicable or is shown in the financial statements or notes thereto.</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120" w:lineRule="exact"/>
        <w:rPr>
          <w:sz w:val="20"/>
          <w:szCs w:val="20"/>
          <w:color w:val="auto"/>
        </w:rPr>
      </w:pPr>
    </w:p>
    <w:p>
      <w:pPr>
        <w:ind w:left="200" w:right="4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undersigned Registrant hereby undertakes that:</w:t>
      </w:r>
    </w:p>
    <w:p>
      <w:pPr>
        <w:spacing w:after="0" w:line="75" w:lineRule="exact"/>
        <w:rPr>
          <w:sz w:val="20"/>
          <w:szCs w:val="20"/>
          <w:color w:val="auto"/>
        </w:rPr>
      </w:pPr>
    </w:p>
    <w:p>
      <w:pPr>
        <w:ind w:left="520" w:hanging="316"/>
        <w:spacing w:after="0" w:line="238" w:lineRule="auto"/>
        <w:tabs>
          <w:tab w:leader="none" w:pos="5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26" w:lineRule="exact"/>
        <w:rPr>
          <w:rFonts w:ascii="Arial" w:cs="Arial" w:eastAsia="Arial" w:hAnsi="Arial"/>
          <w:sz w:val="17"/>
          <w:szCs w:val="17"/>
          <w:color w:val="auto"/>
        </w:rPr>
      </w:pPr>
    </w:p>
    <w:p>
      <w:pPr>
        <w:ind w:left="520" w:right="40" w:hanging="316"/>
        <w:spacing w:after="0" w:line="238" w:lineRule="auto"/>
        <w:tabs>
          <w:tab w:leader="none" w:pos="5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69" w:lineRule="exact"/>
        <w:rPr>
          <w:sz w:val="20"/>
          <w:szCs w:val="20"/>
          <w:color w:val="auto"/>
        </w:rPr>
      </w:pPr>
    </w:p>
    <w:p>
      <w:pPr>
        <w:ind w:left="200" w:right="200"/>
        <w:spacing w:after="0" w:line="238"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Ra’anana, Israel on this 16th day of January, 2018.</w:t>
      </w:r>
    </w:p>
    <w:p>
      <w:pPr>
        <w:spacing w:after="0" w:line="168"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UROGEN PHARMA LTD.</w:t>
      </w:r>
    </w:p>
    <w:p>
      <w:pPr>
        <w:spacing w:after="0" w:line="176" w:lineRule="exact"/>
        <w:rPr>
          <w:sz w:val="20"/>
          <w:szCs w:val="20"/>
          <w:color w:val="auto"/>
        </w:rPr>
      </w:pPr>
    </w:p>
    <w:p>
      <w:pPr>
        <w:ind w:left="6820"/>
        <w:spacing w:after="0"/>
        <w:tabs>
          <w:tab w:leader="none" w:pos="85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0</wp:posOffset>
            </wp:positionV>
            <wp:extent cx="25984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left="6940"/>
        <w:spacing w:after="0"/>
        <w:rPr>
          <w:sz w:val="20"/>
          <w:szCs w:val="20"/>
          <w:color w:val="auto"/>
        </w:rPr>
      </w:pPr>
      <w:r>
        <w:rPr>
          <w:rFonts w:ascii="Arial" w:cs="Arial" w:eastAsia="Arial" w:hAnsi="Arial"/>
          <w:sz w:val="17"/>
          <w:szCs w:val="17"/>
          <w:color w:val="auto"/>
        </w:rPr>
        <w:t>Ron Bentsur</w:t>
      </w:r>
    </w:p>
    <w:p>
      <w:pPr>
        <w:jc w:val="center"/>
        <w:ind w:left="6940"/>
        <w:spacing w:after="0"/>
        <w:rPr>
          <w:sz w:val="20"/>
          <w:szCs w:val="20"/>
          <w:color w:val="auto"/>
        </w:rPr>
      </w:pPr>
      <w:r>
        <w:rPr>
          <w:rFonts w:ascii="Arial" w:cs="Arial" w:eastAsia="Arial" w:hAnsi="Arial"/>
          <w:sz w:val="17"/>
          <w:szCs w:val="17"/>
          <w:i w:val="1"/>
          <w:iCs w:val="1"/>
          <w:color w:val="auto"/>
        </w:rPr>
        <w:t>Chief Executive Officer</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80"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Ron Bentsur and Gary Titus,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48" w:lineRule="exact"/>
        <w:rPr>
          <w:sz w:val="20"/>
          <w:szCs w:val="20"/>
          <w:color w:val="auto"/>
        </w:rPr>
      </w:pPr>
    </w:p>
    <w:p>
      <w:pPr>
        <w:ind w:left="200" w:right="80"/>
        <w:spacing w:after="0" w:line="243"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44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TITLE</w:t>
            </w:r>
          </w:p>
        </w:tc>
        <w:tc>
          <w:tcPr>
            <w:tcW w:w="164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6"/>
              </w:rPr>
              <w:t>DATE</w:t>
            </w:r>
          </w:p>
        </w:tc>
      </w:tr>
      <w:tr>
        <w:trPr>
          <w:trHeight w:val="20"/>
        </w:trPr>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/s/ Ron Bentsur</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rPr>
              <w:t>Chief Executive Officer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1"/>
        </w:trPr>
        <w:tc>
          <w:tcPr>
            <w:tcW w:w="4560" w:type="dxa"/>
            <w:vAlign w:val="bottom"/>
            <w:gridSpan w:val="3"/>
          </w:tcPr>
          <w:p>
            <w:pPr>
              <w:jc w:val="center"/>
              <w:ind w:right="20"/>
              <w:spacing w:after="0"/>
              <w:rPr>
                <w:sz w:val="20"/>
                <w:szCs w:val="20"/>
                <w:color w:val="auto"/>
              </w:rPr>
            </w:pPr>
            <w:r>
              <w:rPr>
                <w:rFonts w:ascii="Arial" w:cs="Arial" w:eastAsia="Arial" w:hAnsi="Arial"/>
                <w:sz w:val="16"/>
                <w:szCs w:val="16"/>
                <w:color w:val="auto"/>
              </w:rPr>
              <w:t>Ron Bentsur</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i w:val="1"/>
                <w:iCs w:val="1"/>
                <w:color w:val="auto"/>
              </w:rPr>
              <w:t>(Principal Executive Officer)</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3"/>
        </w:trPr>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/s/ Gary Titus</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rPr>
              <w:t>Chief Financial Officer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55"/>
        </w:trPr>
        <w:tc>
          <w:tcPr>
            <w:tcW w:w="1820" w:type="dxa"/>
            <w:vAlign w:val="bottom"/>
          </w:tcPr>
          <w:p>
            <w:pPr>
              <w:spacing w:after="0"/>
              <w:rPr>
                <w:sz w:val="13"/>
                <w:szCs w:val="13"/>
                <w:color w:val="auto"/>
              </w:rPr>
            </w:pPr>
          </w:p>
        </w:tc>
        <w:tc>
          <w:tcPr>
            <w:tcW w:w="2740" w:type="dxa"/>
            <w:vAlign w:val="bottom"/>
            <w:gridSpan w:val="2"/>
          </w:tcPr>
          <w:p>
            <w:pPr>
              <w:jc w:val="center"/>
              <w:ind w:right="1840"/>
              <w:spacing w:after="0" w:line="155" w:lineRule="exact"/>
              <w:rPr>
                <w:sz w:val="20"/>
                <w:szCs w:val="20"/>
                <w:color w:val="auto"/>
              </w:rPr>
            </w:pPr>
            <w:r>
              <w:rPr>
                <w:rFonts w:ascii="Arial" w:cs="Arial" w:eastAsia="Arial" w:hAnsi="Arial"/>
                <w:sz w:val="16"/>
                <w:szCs w:val="16"/>
                <w:color w:val="auto"/>
              </w:rPr>
              <w:t>Gary Titus</w:t>
            </w:r>
          </w:p>
        </w:tc>
        <w:tc>
          <w:tcPr>
            <w:tcW w:w="4480" w:type="dxa"/>
            <w:vAlign w:val="bottom"/>
            <w:gridSpan w:val="3"/>
          </w:tcPr>
          <w:p>
            <w:pPr>
              <w:jc w:val="center"/>
              <w:ind w:right="40"/>
              <w:spacing w:after="0" w:line="155" w:lineRule="exact"/>
              <w:rPr>
                <w:sz w:val="20"/>
                <w:szCs w:val="20"/>
                <w:color w:val="auto"/>
              </w:rPr>
            </w:pPr>
            <w:r>
              <w:rPr>
                <w:rFonts w:ascii="Arial" w:cs="Arial" w:eastAsia="Arial" w:hAnsi="Arial"/>
                <w:sz w:val="16"/>
                <w:szCs w:val="16"/>
                <w:i w:val="1"/>
                <w:iCs w:val="1"/>
                <w:color w:val="auto"/>
              </w:rPr>
              <w:t>(Principal Financial Officer and Principal Accounting</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11"/>
        </w:trPr>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80" w:type="dxa"/>
            <w:vAlign w:val="bottom"/>
            <w:gridSpan w:val="3"/>
          </w:tcPr>
          <w:p>
            <w:pPr>
              <w:jc w:val="center"/>
              <w:ind w:right="40"/>
              <w:spacing w:after="0"/>
              <w:rPr>
                <w:sz w:val="20"/>
                <w:szCs w:val="20"/>
                <w:color w:val="auto"/>
              </w:rPr>
            </w:pPr>
            <w:r>
              <w:rPr>
                <w:rFonts w:ascii="Arial" w:cs="Arial" w:eastAsia="Arial" w:hAnsi="Arial"/>
                <w:sz w:val="16"/>
                <w:szCs w:val="16"/>
                <w:i w:val="1"/>
                <w:iCs w:val="1"/>
                <w:color w:val="auto"/>
                <w:w w:val="99"/>
              </w:rPr>
              <w:t>Officer)</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03"/>
        </w:trPr>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/s/ Arie Belldegrun, M.D.</w:t>
            </w:r>
          </w:p>
        </w:tc>
        <w:tc>
          <w:tcPr>
            <w:tcW w:w="4480" w:type="dxa"/>
            <w:vAlign w:val="bottom"/>
            <w:gridSpan w:val="3"/>
          </w:tcPr>
          <w:p>
            <w:pPr>
              <w:jc w:val="center"/>
              <w:ind w:right="60"/>
              <w:spacing w:after="0"/>
              <w:rPr>
                <w:sz w:val="20"/>
                <w:szCs w:val="20"/>
                <w:color w:val="auto"/>
              </w:rPr>
            </w:pPr>
            <w:r>
              <w:rPr>
                <w:rFonts w:ascii="Arial" w:cs="Arial" w:eastAsia="Arial" w:hAnsi="Arial"/>
                <w:sz w:val="16"/>
                <w:szCs w:val="16"/>
                <w:color w:val="auto"/>
              </w:rPr>
              <w:t>Chairman</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0"/>
        </w:trPr>
        <w:tc>
          <w:tcPr>
            <w:tcW w:w="4560" w:type="dxa"/>
            <w:vAlign w:val="bottom"/>
            <w:gridSpan w:val="3"/>
          </w:tcPr>
          <w:p>
            <w:pPr>
              <w:jc w:val="center"/>
              <w:ind w:right="20"/>
              <w:spacing w:after="0"/>
              <w:rPr>
                <w:sz w:val="20"/>
                <w:szCs w:val="20"/>
                <w:color w:val="auto"/>
              </w:rPr>
            </w:pPr>
            <w:r>
              <w:rPr>
                <w:rFonts w:ascii="Arial" w:cs="Arial" w:eastAsia="Arial" w:hAnsi="Arial"/>
                <w:sz w:val="16"/>
                <w:szCs w:val="16"/>
                <w:color w:val="auto"/>
              </w:rPr>
              <w:t>Arie Belldegrun, M.D.</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3"/>
        </w:trPr>
        <w:tc>
          <w:tcPr>
            <w:tcW w:w="4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/s/ Fred E. Cohen M.D.</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Director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0"/>
        </w:trPr>
        <w:tc>
          <w:tcPr>
            <w:tcW w:w="4560" w:type="dxa"/>
            <w:vAlign w:val="bottom"/>
            <w:gridSpan w:val="3"/>
          </w:tcPr>
          <w:p>
            <w:pPr>
              <w:jc w:val="center"/>
              <w:ind w:right="40"/>
              <w:spacing w:after="0"/>
              <w:rPr>
                <w:sz w:val="20"/>
                <w:szCs w:val="20"/>
                <w:color w:val="auto"/>
              </w:rPr>
            </w:pPr>
            <w:r>
              <w:rPr>
                <w:rFonts w:ascii="Arial" w:cs="Arial" w:eastAsia="Arial" w:hAnsi="Arial"/>
                <w:sz w:val="16"/>
                <w:szCs w:val="16"/>
                <w:color w:val="auto"/>
              </w:rPr>
              <w:t>Fred E. Cohen M.D.</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3"/>
        </w:trPr>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/s/ Kathryn E. Falberg</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Director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0"/>
        </w:trPr>
        <w:tc>
          <w:tcPr>
            <w:tcW w:w="4560" w:type="dxa"/>
            <w:vAlign w:val="bottom"/>
            <w:gridSpan w:val="3"/>
          </w:tcPr>
          <w:p>
            <w:pPr>
              <w:jc w:val="center"/>
              <w:ind w:right="20"/>
              <w:spacing w:after="0"/>
              <w:rPr>
                <w:sz w:val="20"/>
                <w:szCs w:val="20"/>
                <w:color w:val="auto"/>
              </w:rPr>
            </w:pPr>
            <w:r>
              <w:rPr>
                <w:rFonts w:ascii="Arial" w:cs="Arial" w:eastAsia="Arial" w:hAnsi="Arial"/>
                <w:sz w:val="16"/>
                <w:szCs w:val="16"/>
                <w:color w:val="auto"/>
              </w:rPr>
              <w:t>Kathryn E. Falberg</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3"/>
        </w:trPr>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/s/ Stuart Holden, M.D.</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Director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0"/>
        </w:trPr>
        <w:tc>
          <w:tcPr>
            <w:tcW w:w="4560" w:type="dxa"/>
            <w:vAlign w:val="bottom"/>
            <w:gridSpan w:val="3"/>
          </w:tcPr>
          <w:p>
            <w:pPr>
              <w:jc w:val="center"/>
              <w:ind w:right="20"/>
              <w:spacing w:after="0"/>
              <w:rPr>
                <w:sz w:val="20"/>
                <w:szCs w:val="20"/>
                <w:color w:val="auto"/>
              </w:rPr>
            </w:pPr>
            <w:r>
              <w:rPr>
                <w:rFonts w:ascii="Arial" w:cs="Arial" w:eastAsia="Arial" w:hAnsi="Arial"/>
                <w:sz w:val="16"/>
                <w:szCs w:val="16"/>
                <w:color w:val="auto"/>
              </w:rPr>
              <w:t>Stuart Holden, M.D.</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3"/>
        </w:trPr>
        <w:tc>
          <w:tcPr>
            <w:tcW w:w="4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/s/ Cynthia M. Butitta</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Director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0"/>
        </w:trPr>
        <w:tc>
          <w:tcPr>
            <w:tcW w:w="4560" w:type="dxa"/>
            <w:vAlign w:val="bottom"/>
            <w:gridSpan w:val="3"/>
          </w:tcPr>
          <w:p>
            <w:pPr>
              <w:jc w:val="center"/>
              <w:ind w:right="40"/>
              <w:spacing w:after="0"/>
              <w:rPr>
                <w:sz w:val="20"/>
                <w:szCs w:val="20"/>
                <w:color w:val="auto"/>
              </w:rPr>
            </w:pPr>
            <w:r>
              <w:rPr>
                <w:rFonts w:ascii="Arial" w:cs="Arial" w:eastAsia="Arial" w:hAnsi="Arial"/>
                <w:sz w:val="16"/>
                <w:szCs w:val="16"/>
                <w:color w:val="auto"/>
              </w:rPr>
              <w:t>Cynthia M. Butitta</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3"/>
        </w:trPr>
        <w:tc>
          <w:tcPr>
            <w:tcW w:w="4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/s/ Ran Nussbaum</w:t>
            </w:r>
          </w:p>
        </w:tc>
        <w:tc>
          <w:tcPr>
            <w:tcW w:w="4480" w:type="dxa"/>
            <w:vAlign w:val="bottom"/>
            <w:gridSpan w:val="3"/>
          </w:tcPr>
          <w:p>
            <w:pPr>
              <w:jc w:val="center"/>
              <w:ind w:right="40"/>
              <w:spacing w:after="0"/>
              <w:rPr>
                <w:sz w:val="20"/>
                <w:szCs w:val="20"/>
                <w:color w:val="auto"/>
              </w:rPr>
            </w:pPr>
            <w:r>
              <w:rPr>
                <w:rFonts w:ascii="Arial" w:cs="Arial" w:eastAsia="Arial" w:hAnsi="Arial"/>
                <w:sz w:val="16"/>
                <w:szCs w:val="16"/>
                <w:color w:val="auto"/>
                <w:w w:val="99"/>
              </w:rPr>
              <w:t>Director</w:t>
            </w:r>
          </w:p>
        </w:tc>
        <w:tc>
          <w:tcPr>
            <w:tcW w:w="1640" w:type="dxa"/>
            <w:vAlign w:val="bottom"/>
            <w:gridSpan w:val="3"/>
          </w:tcPr>
          <w:p>
            <w:pPr>
              <w:jc w:val="center"/>
              <w:ind w:left="319"/>
              <w:spacing w:after="0"/>
              <w:rPr>
                <w:sz w:val="20"/>
                <w:szCs w:val="20"/>
                <w:color w:val="auto"/>
              </w:rPr>
            </w:pPr>
            <w:r>
              <w:rPr>
                <w:rFonts w:ascii="Arial" w:cs="Arial" w:eastAsia="Arial" w:hAnsi="Arial"/>
                <w:sz w:val="16"/>
                <w:szCs w:val="16"/>
                <w:color w:val="auto"/>
              </w:rPr>
              <w:t>January 16, 2018</w:t>
            </w:r>
          </w:p>
        </w:tc>
      </w:tr>
      <w:tr>
        <w:trPr>
          <w:trHeight w:val="190"/>
        </w:trPr>
        <w:tc>
          <w:tcPr>
            <w:tcW w:w="4560" w:type="dxa"/>
            <w:vAlign w:val="bottom"/>
            <w:gridSpan w:val="3"/>
          </w:tcPr>
          <w:p>
            <w:pPr>
              <w:jc w:val="center"/>
              <w:ind w:right="40"/>
              <w:spacing w:after="0"/>
              <w:rPr>
                <w:sz w:val="20"/>
                <w:szCs w:val="20"/>
                <w:color w:val="auto"/>
              </w:rPr>
            </w:pPr>
            <w:r>
              <w:rPr>
                <w:rFonts w:ascii="Arial" w:cs="Arial" w:eastAsia="Arial" w:hAnsi="Arial"/>
                <w:sz w:val="16"/>
                <w:szCs w:val="16"/>
                <w:color w:val="auto"/>
              </w:rPr>
              <w:t>Ran Nussbaum</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51"/>
        </w:trPr>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80" w:type="dxa"/>
            <w:vAlign w:val="bottom"/>
            <w:gridSpan w:val="3"/>
          </w:tcPr>
          <w:p>
            <w:pPr>
              <w:ind w:left="820"/>
              <w:spacing w:after="0"/>
              <w:rPr>
                <w:sz w:val="20"/>
                <w:szCs w:val="20"/>
                <w:color w:val="auto"/>
              </w:rPr>
            </w:pPr>
            <w:r>
              <w:rPr>
                <w:rFonts w:ascii="Arial" w:cs="Arial" w:eastAsia="Arial" w:hAnsi="Arial"/>
                <w:sz w:val="16"/>
                <w:szCs w:val="16"/>
                <w:color w:val="auto"/>
              </w:rPr>
              <w:t>II-5</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jc w:val="center"/>
              <w:ind w:right="959"/>
              <w:spacing w:after="0"/>
              <w:rPr>
                <w:sz w:val="20"/>
                <w:szCs w:val="20"/>
                <w:color w:val="auto"/>
              </w:rPr>
            </w:pPr>
            <w:r>
              <w:rPr>
                <w:rFonts w:ascii="Arial" w:cs="Arial" w:eastAsia="Arial" w:hAnsi="Arial"/>
                <w:sz w:val="16"/>
                <w:szCs w:val="16"/>
                <w:color w:val="auto"/>
              </w:rPr>
              <w:t>/s/ Pini Orbach, Ph.D.</w:t>
            </w:r>
          </w:p>
        </w:tc>
        <w:tc>
          <w:tcPr>
            <w:tcW w:w="80" w:type="dxa"/>
            <w:vAlign w:val="bottom"/>
          </w:tcPr>
          <w:p>
            <w:pPr>
              <w:spacing w:after="0"/>
              <w:rPr>
                <w:sz w:val="16"/>
                <w:szCs w:val="16"/>
                <w:color w:val="auto"/>
              </w:rPr>
            </w:pPr>
          </w:p>
        </w:tc>
        <w:tc>
          <w:tcPr>
            <w:tcW w:w="4140" w:type="dxa"/>
            <w:vAlign w:val="bottom"/>
          </w:tcPr>
          <w:p>
            <w:pPr>
              <w:ind w:left="1860"/>
              <w:spacing w:after="0"/>
              <w:rPr>
                <w:sz w:val="20"/>
                <w:szCs w:val="20"/>
                <w:color w:val="auto"/>
              </w:rPr>
            </w:pPr>
            <w:r>
              <w:rPr>
                <w:rFonts w:ascii="Arial" w:cs="Arial" w:eastAsia="Arial" w:hAnsi="Arial"/>
                <w:sz w:val="16"/>
                <w:szCs w:val="16"/>
                <w:color w:val="auto"/>
              </w:rPr>
              <w:t>Director</w:t>
            </w:r>
          </w:p>
        </w:tc>
        <w:tc>
          <w:tcPr>
            <w:tcW w:w="1920" w:type="dxa"/>
            <w:vAlign w:val="bottom"/>
          </w:tcPr>
          <w:p>
            <w:pPr>
              <w:ind w:left="660"/>
              <w:spacing w:after="0"/>
              <w:rPr>
                <w:sz w:val="20"/>
                <w:szCs w:val="20"/>
                <w:color w:val="auto"/>
              </w:rPr>
            </w:pPr>
            <w:r>
              <w:rPr>
                <w:rFonts w:ascii="Arial" w:cs="Arial" w:eastAsia="Arial" w:hAnsi="Arial"/>
                <w:sz w:val="16"/>
                <w:szCs w:val="16"/>
                <w:color w:val="auto"/>
              </w:rPr>
              <w:t>January 16, 2018</w:t>
            </w:r>
          </w:p>
        </w:tc>
      </w:tr>
      <w:tr>
        <w:trPr>
          <w:trHeight w:val="190"/>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60" w:type="dxa"/>
            <w:vAlign w:val="bottom"/>
          </w:tcPr>
          <w:p>
            <w:pPr>
              <w:jc w:val="center"/>
              <w:ind w:right="939"/>
              <w:spacing w:after="0"/>
              <w:rPr>
                <w:sz w:val="20"/>
                <w:szCs w:val="20"/>
                <w:color w:val="auto"/>
              </w:rPr>
            </w:pPr>
            <w:r>
              <w:rPr>
                <w:rFonts w:ascii="Arial" w:cs="Arial" w:eastAsia="Arial" w:hAnsi="Arial"/>
                <w:sz w:val="16"/>
                <w:szCs w:val="16"/>
                <w:color w:val="auto"/>
              </w:rPr>
              <w:t>Pini Orbach, Ph.D.</w:t>
            </w:r>
          </w:p>
        </w:tc>
        <w:tc>
          <w:tcPr>
            <w:tcW w:w="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656"/>
        </w:trPr>
        <w:tc>
          <w:tcPr>
            <w:tcW w:w="4580" w:type="dxa"/>
            <w:vAlign w:val="bottom"/>
            <w:gridSpan w:val="3"/>
          </w:tcPr>
          <w:p>
            <w:pPr>
              <w:spacing w:after="0"/>
              <w:rPr>
                <w:sz w:val="20"/>
                <w:szCs w:val="20"/>
                <w:color w:val="auto"/>
              </w:rPr>
            </w:pPr>
            <w:r>
              <w:rPr>
                <w:rFonts w:ascii="Arial" w:cs="Arial" w:eastAsia="Arial" w:hAnsi="Arial"/>
                <w:sz w:val="16"/>
                <w:szCs w:val="16"/>
                <w:b w:val="1"/>
                <w:bCs w:val="1"/>
                <w:color w:val="auto"/>
              </w:rPr>
              <w:t>Urogen Pharma, Inc.</w:t>
            </w: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7"/>
        </w:trPr>
        <w:tc>
          <w:tcPr>
            <w:tcW w:w="1020" w:type="dxa"/>
            <w:vAlign w:val="bottom"/>
            <w:gridSpan w:val="2"/>
          </w:tcPr>
          <w:p>
            <w:pPr>
              <w:spacing w:after="0"/>
              <w:rPr>
                <w:sz w:val="20"/>
                <w:szCs w:val="20"/>
                <w:color w:val="auto"/>
              </w:rPr>
            </w:pPr>
            <w:r>
              <w:rPr>
                <w:rFonts w:ascii="Arial" w:cs="Arial" w:eastAsia="Arial" w:hAnsi="Arial"/>
                <w:sz w:val="16"/>
                <w:szCs w:val="16"/>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Ron Bentsur</w:t>
            </w:r>
          </w:p>
        </w:tc>
        <w:tc>
          <w:tcPr>
            <w:tcW w:w="80" w:type="dxa"/>
            <w:vAlign w:val="bottom"/>
            <w:tcBorders>
              <w:bottom w:val="single" w:sz="8" w:color="auto"/>
            </w:tcBorders>
          </w:tcPr>
          <w:p>
            <w:pPr>
              <w:spacing w:after="0"/>
              <w:rPr>
                <w:sz w:val="16"/>
                <w:szCs w:val="16"/>
                <w:color w:val="auto"/>
              </w:rPr>
            </w:pPr>
          </w:p>
        </w:tc>
        <w:tc>
          <w:tcPr>
            <w:tcW w:w="4140" w:type="dxa"/>
            <w:vAlign w:val="bottom"/>
          </w:tcPr>
          <w:p>
            <w:pPr>
              <w:ind w:left="980"/>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UTHORIZED</w:t>
            </w:r>
            <w:r>
              <w:rPr>
                <w:rFonts w:ascii="Arial" w:cs="Arial" w:eastAsia="Arial" w:hAnsi="Arial"/>
                <w:sz w:val="16"/>
                <w:szCs w:val="16"/>
                <w:color w:val="auto"/>
              </w:rPr>
              <w:t xml:space="preserve"> U.S. R</w:t>
            </w:r>
            <w:r>
              <w:rPr>
                <w:rFonts w:ascii="Arial" w:cs="Arial" w:eastAsia="Arial" w:hAnsi="Arial"/>
                <w:sz w:val="13"/>
                <w:szCs w:val="13"/>
                <w:color w:val="auto"/>
              </w:rPr>
              <w:t>EPRESENTATIVE</w:t>
            </w:r>
          </w:p>
        </w:tc>
        <w:tc>
          <w:tcPr>
            <w:tcW w:w="1920" w:type="dxa"/>
            <w:vAlign w:val="bottom"/>
          </w:tcPr>
          <w:p>
            <w:pPr>
              <w:ind w:left="660"/>
              <w:spacing w:after="0"/>
              <w:rPr>
                <w:sz w:val="20"/>
                <w:szCs w:val="20"/>
                <w:color w:val="auto"/>
              </w:rPr>
            </w:pPr>
            <w:r>
              <w:rPr>
                <w:rFonts w:ascii="Arial" w:cs="Arial" w:eastAsia="Arial" w:hAnsi="Arial"/>
                <w:sz w:val="16"/>
                <w:szCs w:val="16"/>
                <w:color w:val="auto"/>
              </w:rPr>
              <w:t>January 16, 2018</w:t>
            </w:r>
          </w:p>
        </w:tc>
      </w:tr>
      <w:tr>
        <w:trPr>
          <w:trHeight w:val="198"/>
        </w:trPr>
        <w:tc>
          <w:tcPr>
            <w:tcW w:w="1020" w:type="dxa"/>
            <w:vAlign w:val="bottom"/>
            <w:gridSpan w:val="2"/>
          </w:tcPr>
          <w:p>
            <w:pPr>
              <w:spacing w:after="0"/>
              <w:rPr>
                <w:sz w:val="20"/>
                <w:szCs w:val="20"/>
                <w:color w:val="auto"/>
              </w:rPr>
            </w:pPr>
            <w:r>
              <w:rPr>
                <w:rFonts w:ascii="Arial" w:cs="Arial" w:eastAsia="Arial" w:hAnsi="Arial"/>
                <w:sz w:val="16"/>
                <w:szCs w:val="16"/>
                <w:color w:val="auto"/>
              </w:rPr>
              <w:t>Name:</w:t>
            </w:r>
          </w:p>
        </w:tc>
        <w:tc>
          <w:tcPr>
            <w:tcW w:w="3560" w:type="dxa"/>
            <w:vAlign w:val="bottom"/>
          </w:tcPr>
          <w:p>
            <w:pPr>
              <w:spacing w:after="0"/>
              <w:rPr>
                <w:sz w:val="20"/>
                <w:szCs w:val="20"/>
                <w:color w:val="auto"/>
              </w:rPr>
            </w:pPr>
            <w:r>
              <w:rPr>
                <w:rFonts w:ascii="Arial" w:cs="Arial" w:eastAsia="Arial" w:hAnsi="Arial"/>
                <w:sz w:val="16"/>
                <w:szCs w:val="16"/>
                <w:color w:val="auto"/>
              </w:rPr>
              <w:t>Ron Bentsur</w:t>
            </w:r>
          </w:p>
        </w:tc>
        <w:tc>
          <w:tcPr>
            <w:tcW w:w="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5"/>
        </w:trPr>
        <w:tc>
          <w:tcPr>
            <w:tcW w:w="1020" w:type="dxa"/>
            <w:vAlign w:val="bottom"/>
            <w:gridSpan w:val="2"/>
          </w:tcPr>
          <w:p>
            <w:pPr>
              <w:spacing w:after="0"/>
              <w:rPr>
                <w:sz w:val="20"/>
                <w:szCs w:val="20"/>
                <w:color w:val="auto"/>
              </w:rPr>
            </w:pPr>
            <w:r>
              <w:rPr>
                <w:rFonts w:ascii="Arial" w:cs="Arial" w:eastAsia="Arial" w:hAnsi="Arial"/>
                <w:sz w:val="16"/>
                <w:szCs w:val="16"/>
                <w:color w:val="auto"/>
              </w:rPr>
              <w:t>Title:</w:t>
            </w:r>
          </w:p>
        </w:tc>
        <w:tc>
          <w:tcPr>
            <w:tcW w:w="3560" w:type="dxa"/>
            <w:vAlign w:val="bottom"/>
          </w:tcPr>
          <w:p>
            <w:pPr>
              <w:spacing w:after="0"/>
              <w:rPr>
                <w:sz w:val="20"/>
                <w:szCs w:val="20"/>
                <w:color w:val="auto"/>
              </w:rPr>
            </w:pPr>
            <w:r>
              <w:rPr>
                <w:rFonts w:ascii="Arial" w:cs="Arial" w:eastAsia="Arial" w:hAnsi="Arial"/>
                <w:sz w:val="16"/>
                <w:szCs w:val="16"/>
                <w:color w:val="auto"/>
              </w:rPr>
              <w:t>President and CEO</w:t>
            </w:r>
          </w:p>
        </w:tc>
        <w:tc>
          <w:tcPr>
            <w:tcW w:w="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0920"/>
          </w:cols>
          <w:pgMar w:left="240" w:top="460" w:right="7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 Value NIS 0.01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Introductory. </w:t>
      </w:r>
      <w:r>
        <w:rPr>
          <w:rFonts w:ascii="Arial" w:cs="Arial" w:eastAsia="Arial" w:hAnsi="Arial"/>
          <w:sz w:val="16"/>
          <w:szCs w:val="16"/>
          <w:color w:val="auto"/>
        </w:rPr>
        <w:t>UroGen Pharma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 ordinary shares, par value NIS 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The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sold by the Company are called the “</w:t>
      </w:r>
      <w:r>
        <w:rPr>
          <w:rFonts w:ascii="Arial" w:cs="Arial" w:eastAsia="Arial" w:hAnsi="Arial"/>
          <w:sz w:val="16"/>
          <w:szCs w:val="16"/>
          <w:b w:val="1"/>
          <w:bCs w:val="1"/>
          <w:color w:val="auto"/>
        </w:rPr>
        <w:t>Firm Shares</w:t>
      </w:r>
      <w:r>
        <w:rPr>
          <w:rFonts w:ascii="Arial" w:cs="Arial" w:eastAsia="Arial" w:hAnsi="Arial"/>
          <w:sz w:val="16"/>
          <w:szCs w:val="16"/>
          <w:color w:val="auto"/>
        </w:rPr>
        <w:t>.” In addition, the Company has granted to the Underwriters an option to purchase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 additional [●] Ordinary Shares as provided in Section 2. The additional [●] Ordinary Shares to be sold pursuant to such option are called the “</w:t>
      </w:r>
      <w:r>
        <w:rPr>
          <w:rFonts w:ascii="Arial" w:cs="Arial" w:eastAsia="Arial" w:hAnsi="Arial"/>
          <w:sz w:val="16"/>
          <w:szCs w:val="16"/>
          <w:b w:val="1"/>
          <w:bCs w:val="1"/>
          <w:color w:val="auto"/>
        </w:rPr>
        <w:t>Optional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The Firm Shares and, if and to the extent such option is exercised, the Optional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 Jefferies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Jefferies</w:t>
      </w:r>
      <w:r>
        <w:rPr>
          <w:rFonts w:ascii="Arial" w:cs="Arial" w:eastAsia="Arial" w:hAnsi="Arial"/>
          <w:sz w:val="17"/>
          <w:szCs w:val="17"/>
          <w:color w:val="auto"/>
        </w:rPr>
        <w:t>”) and Cowen and Company, LLC (“</w:t>
      </w:r>
      <w:r>
        <w:rPr>
          <w:rFonts w:ascii="Arial" w:cs="Arial" w:eastAsia="Arial" w:hAnsi="Arial"/>
          <w:sz w:val="17"/>
          <w:szCs w:val="17"/>
          <w:b w:val="1"/>
          <w:bCs w:val="1"/>
          <w:color w:val="auto"/>
        </w:rPr>
        <w:t>Cowen</w:t>
      </w:r>
      <w:r>
        <w:rPr>
          <w:rFonts w:ascii="Arial" w:cs="Arial" w:eastAsia="Arial" w:hAnsi="Arial"/>
          <w:sz w:val="17"/>
          <w:szCs w:val="17"/>
          <w:color w:val="auto"/>
        </w:rPr>
        <w:t>”) have agreed to act as representatives of the several Underwriters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connection with the offering and sale of the Offered Shares.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“Representatives” as used herein shall mean you, as Underwriters, and the term “Underwriters” shall mean either the singular or the plural,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context requires.</w:t>
      </w:r>
    </w:p>
    <w:p>
      <w:pPr>
        <w:spacing w:after="0" w:line="20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F-1 (File No. 333-[●])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7"/>
          <w:szCs w:val="17"/>
          <w:b w:val="1"/>
          <w:bCs w:val="1"/>
          <w:color w:val="auto"/>
        </w:rPr>
        <w:t>Securities Act</w:t>
      </w:r>
      <w:r>
        <w:rPr>
          <w:rFonts w:ascii="Arial" w:cs="Arial" w:eastAsia="Arial" w:hAnsi="Arial"/>
          <w:sz w:val="17"/>
          <w:szCs w:val="17"/>
          <w:color w:val="auto"/>
        </w:rPr>
        <w:t>”), including any information deemed to be a part thereof at the time of effectiveness pursuant to Rule 430A under the Securities Act, is called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Any registration statement filed by the Company pursuant to Rule 462(b) under the Securities Act in connection with the offer and sale of the Offered Shares is called the “</w:t>
      </w:r>
      <w:r>
        <w:rPr>
          <w:rFonts w:ascii="Arial" w:cs="Arial" w:eastAsia="Arial" w:hAnsi="Arial"/>
          <w:sz w:val="17"/>
          <w:szCs w:val="17"/>
          <w:b w:val="1"/>
          <w:bCs w:val="1"/>
          <w:color w:val="auto"/>
        </w:rPr>
        <w:t>Rule 462(b)</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from and after the date and time of filing of any such Rule 462(b) Registration Statement the term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Arial" w:cs="Arial" w:eastAsia="Arial" w:hAnsi="Arial"/>
          <w:sz w:val="17"/>
          <w:szCs w:val="17"/>
          <w:b w:val="1"/>
          <w:bCs w:val="1"/>
          <w:color w:val="auto"/>
        </w:rPr>
        <w:t>Prospectus.</w:t>
      </w:r>
      <w:r>
        <w:rPr>
          <w:rFonts w:ascii="Arial" w:cs="Arial" w:eastAsia="Arial" w:hAnsi="Arial"/>
          <w:sz w:val="17"/>
          <w:szCs w:val="17"/>
          <w:color w:val="auto"/>
        </w:rPr>
        <w:t>” The preliminary</w:t>
      </w:r>
    </w:p>
    <w:p>
      <w:pPr>
        <w:sectPr>
          <w:pgSz w:w="11900" w:h="16838" w:orient="portrait"/>
          <w:cols w:equalWidth="0" w:num="1">
            <w:col w:w="11420"/>
          </w:cols>
          <w:pgMar w:left="240" w:top="121" w:right="239" w:bottom="1440" w:gutter="0" w:footer="0" w:header="0"/>
        </w:sectPr>
      </w:pPr>
    </w:p>
    <w:bookmarkStart w:id="210" w:name="page211"/>
    <w:bookmarkEnd w:id="21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dated [●], 2018, describing the Offered Shares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Shares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 [a.m./p.m.] (New York City time) on [●], 2018. As used herein, “</w:t>
      </w:r>
      <w:r>
        <w:rPr>
          <w:rFonts w:ascii="Arial" w:cs="Arial" w:eastAsia="Arial" w:hAnsi="Arial"/>
          <w:sz w:val="16"/>
          <w:szCs w:val="16"/>
          <w:b w:val="1"/>
          <w:bCs w:val="1"/>
          <w:color w:val="auto"/>
        </w:rPr>
        <w:t>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 together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the pricing information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Show” </w:t>
      </w:r>
      <w:r>
        <w:rPr>
          <w:rFonts w:ascii="Arial" w:cs="Arial" w:eastAsia="Arial" w:hAnsi="Arial"/>
          <w:sz w:val="16"/>
          <w:szCs w:val="16"/>
          <w:color w:val="auto"/>
        </w:rPr>
        <w:t>means a “road show” (as defined in Rule 433 under the Securities Act) relating to the offering of the Offered Shares contemplated hereby that is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5(d) Communication</w:t>
      </w:r>
      <w:r>
        <w:rPr>
          <w:rFonts w:ascii="Arial" w:cs="Arial" w:eastAsia="Arial" w:hAnsi="Arial"/>
          <w:sz w:val="16"/>
          <w:szCs w:val="16"/>
          <w:color w:val="auto"/>
        </w:rPr>
        <w:t>” means the Section 5(d) Written Communication(s) and Marketing Materials listed on Schedule C attached hereto.</w:t>
      </w:r>
    </w:p>
    <w:p>
      <w:pPr>
        <w:spacing w:after="0" w:line="16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All references in this Agreement to (i) the Registration Statement, any preliminary prospectus (including the Preliminary Prospectus) or the Prospectus, or any amendments or supplements to the foregoing, or any free writing prospectus, shall include any copy thereof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and (ii) the Prospectus shall be deemed to include any “electronic Prospectus” provided for use in connection with the offering of the Offered Shares as contemplated by Section 3(o) of this Agreement.</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113"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Representations and Warranties of the Company. The Company hereby represents, warrants and covenants to each Underwriter,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this Agreement, as of the First Closing Date (as hereinafter defined) and as of each Option Closing Date (as hereinafter defined), if any, as follows:</w:t>
      </w:r>
    </w:p>
    <w:p>
      <w:pPr>
        <w:spacing w:after="0" w:line="68" w:lineRule="exact"/>
        <w:rPr>
          <w:sz w:val="20"/>
          <w:szCs w:val="20"/>
          <w:color w:val="auto"/>
        </w:rPr>
      </w:pPr>
    </w:p>
    <w:p>
      <w:pPr>
        <w:ind w:firstLine="464"/>
        <w:spacing w:after="0" w:line="258" w:lineRule="auto"/>
        <w:tabs>
          <w:tab w:leader="none" w:pos="846"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The Company is a “foreign private issuer” within the meaning of Rule 405 under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11" w:name="page212"/>
    <w:bookmarkEnd w:id="211"/>
    <w:p>
      <w:pPr>
        <w:ind w:firstLine="464"/>
        <w:spacing w:after="0" w:line="286" w:lineRule="auto"/>
        <w:tabs>
          <w:tab w:leader="none" w:pos="856"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Preliminary Prospectus and the Prospectus when filed complied, in all material respects, with the Securities Act and, if filed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57" w:lineRule="exact"/>
        <w:rPr>
          <w:rFonts w:ascii="Arial" w:cs="Arial" w:eastAsia="Arial" w:hAnsi="Arial"/>
          <w:sz w:val="16"/>
          <w:szCs w:val="16"/>
          <w:b w:val="1"/>
          <w:bCs w:val="1"/>
          <w:color w:val="auto"/>
        </w:rPr>
      </w:pPr>
    </w:p>
    <w:p>
      <w:pPr>
        <w:ind w:right="40" w:firstLine="464"/>
        <w:spacing w:after="0" w:line="287" w:lineRule="auto"/>
        <w:tabs>
          <w:tab w:leader="none" w:pos="836"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which will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60" w:lineRule="exact"/>
        <w:rPr>
          <w:rFonts w:ascii="Arial" w:cs="Arial" w:eastAsia="Arial" w:hAnsi="Arial"/>
          <w:sz w:val="16"/>
          <w:szCs w:val="16"/>
          <w:b w:val="1"/>
          <w:bCs w:val="1"/>
          <w:color w:val="auto"/>
        </w:rPr>
      </w:pPr>
    </w:p>
    <w:p>
      <w:pPr>
        <w:ind w:left="860" w:hanging="396"/>
        <w:spacing w:after="0"/>
        <w:tabs>
          <w:tab w:leader="none" w:pos="8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[Intentionally Omitted.]</w:t>
      </w:r>
    </w:p>
    <w:p>
      <w:pPr>
        <w:spacing w:after="0" w:line="113" w:lineRule="exact"/>
        <w:rPr>
          <w:rFonts w:ascii="Arial" w:cs="Arial" w:eastAsia="Arial" w:hAnsi="Arial"/>
          <w:sz w:val="18"/>
          <w:szCs w:val="18"/>
          <w:b w:val="1"/>
          <w:bCs w:val="1"/>
          <w:color w:val="auto"/>
        </w:rPr>
      </w:pPr>
    </w:p>
    <w:p>
      <w:pPr>
        <w:jc w:val="both"/>
        <w:ind w:right="540" w:firstLine="464"/>
        <w:spacing w:after="0" w:line="266" w:lineRule="auto"/>
        <w:tabs>
          <w:tab w:leader="none" w:pos="836"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in Section 2 and (ii) the completion of the Underwriters’ distribution of the Offered Shares, the Company has not distributed and will not distribute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12" w:name="page213"/>
    <w:bookmarkEnd w:id="212"/>
    <w:p>
      <w:pPr>
        <w:jc w:val="both"/>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and any Permitted Section 5(d) Communications.</w:t>
      </w:r>
    </w:p>
    <w:p>
      <w:pPr>
        <w:spacing w:after="0" w:line="69" w:lineRule="exact"/>
        <w:rPr>
          <w:sz w:val="20"/>
          <w:szCs w:val="20"/>
          <w:color w:val="auto"/>
        </w:rPr>
      </w:pPr>
    </w:p>
    <w:p>
      <w:pPr>
        <w:ind w:left="820" w:hanging="356"/>
        <w:spacing w:after="0"/>
        <w:tabs>
          <w:tab w:leader="none" w:pos="8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b w:val="1"/>
          <w:bCs w:val="1"/>
          <w:color w:val="auto"/>
        </w:rPr>
      </w:pPr>
    </w:p>
    <w:p>
      <w:pPr>
        <w:ind w:right="120" w:firstLine="464"/>
        <w:spacing w:after="0" w:line="256" w:lineRule="auto"/>
        <w:tabs>
          <w:tab w:leader="none" w:pos="846"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any securities of the Company that have not been duly waived or satisfied. Upon the sale and delivery to the Underwriters of the Offered Shares, and payment therefor, the Underwriters will acquire good, marketable and valid title to such Offered Shares, free and clear of all pledges, liens, security interests, charges, claims or encumbrances.</w:t>
      </w:r>
    </w:p>
    <w:p>
      <w:pPr>
        <w:spacing w:after="0" w:line="79" w:lineRule="exact"/>
        <w:rPr>
          <w:rFonts w:ascii="Arial" w:cs="Arial" w:eastAsia="Arial" w:hAnsi="Arial"/>
          <w:sz w:val="18"/>
          <w:szCs w:val="18"/>
          <w:b w:val="1"/>
          <w:bCs w:val="1"/>
          <w:color w:val="auto"/>
        </w:rPr>
      </w:pPr>
    </w:p>
    <w:p>
      <w:pPr>
        <w:ind w:right="60" w:firstLine="464"/>
        <w:spacing w:after="0" w:line="266" w:lineRule="auto"/>
        <w:tabs>
          <w:tab w:leader="none" w:pos="856"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68" w:lineRule="exact"/>
        <w:rPr>
          <w:rFonts w:ascii="Arial" w:cs="Arial" w:eastAsia="Arial" w:hAnsi="Arial"/>
          <w:sz w:val="18"/>
          <w:szCs w:val="18"/>
          <w:b w:val="1"/>
          <w:bCs w:val="1"/>
          <w:color w:val="auto"/>
        </w:rPr>
      </w:pPr>
    </w:p>
    <w:p>
      <w:pPr>
        <w:ind w:firstLine="464"/>
        <w:spacing w:after="0" w:line="287" w:lineRule="auto"/>
        <w:tabs>
          <w:tab w:leader="none" w:pos="806"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have entered into any material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by any of the Company’s subsidiaries on any class of share capital, or any repurchase or redemption by the Company or any of its subsidiaries of any class of share capital.</w:t>
      </w:r>
    </w:p>
    <w:p>
      <w:pPr>
        <w:spacing w:after="0" w:line="60" w:lineRule="exact"/>
        <w:rPr>
          <w:rFonts w:ascii="Arial" w:cs="Arial" w:eastAsia="Arial" w:hAnsi="Arial"/>
          <w:sz w:val="16"/>
          <w:szCs w:val="16"/>
          <w:b w:val="1"/>
          <w:bCs w:val="1"/>
          <w:color w:val="auto"/>
        </w:rPr>
      </w:pPr>
    </w:p>
    <w:p>
      <w:pPr>
        <w:ind w:right="100" w:firstLine="464"/>
        <w:spacing w:after="0" w:line="295" w:lineRule="auto"/>
        <w:tabs>
          <w:tab w:leader="none" w:pos="816"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Accountants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Kesselman &amp; Kesselman, a member firm of PricewaterhouseCoopers International Limited, which has expressed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13" w:name="page214"/>
    <w:bookmarkEnd w:id="213"/>
    <w:p>
      <w:pPr>
        <w:ind w:left="-8" w:firstLine="464"/>
        <w:spacing w:after="0" w:line="268" w:lineRule="auto"/>
        <w:tabs>
          <w:tab w:leader="none" w:pos="848" w:val="left"/>
        </w:tabs>
        <w:numPr>
          <w:ilvl w:val="1"/>
          <w:numId w:val="1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financial statements filed with the Commission as a part of the Registration Statement, the Time of Sale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Consolidated Financial Data,” “Selected Consolidated Financial Data” and “Capitalization” fairly present, in all material respects, the information set forth therein on a basis consistent with that of the audited and, if applicable, unaudited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Securities Exchange Act of 1934, as amended, and the rules and regulations thereunder (collectively, the “</w:t>
      </w:r>
      <w:r>
        <w:rPr>
          <w:rFonts w:ascii="Arial" w:cs="Arial" w:eastAsia="Arial" w:hAnsi="Arial"/>
          <w:sz w:val="17"/>
          <w:szCs w:val="17"/>
          <w:b w:val="1"/>
          <w:bCs w:val="1"/>
          <w:color w:val="auto"/>
        </w:rPr>
        <w:t>Exchange Act</w:t>
      </w:r>
      <w:r>
        <w:rPr>
          <w:rFonts w:ascii="Arial" w:cs="Arial" w:eastAsia="Arial" w:hAnsi="Arial"/>
          <w:sz w:val="17"/>
          <w:szCs w:val="17"/>
          <w:color w:val="auto"/>
        </w:rPr>
        <w: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the Time of Sale Prospectus and the Prospectus.</w:t>
      </w:r>
    </w:p>
    <w:p>
      <w:pPr>
        <w:spacing w:after="0" w:line="70" w:lineRule="exact"/>
        <w:rPr>
          <w:rFonts w:ascii="Arial" w:cs="Arial" w:eastAsia="Arial" w:hAnsi="Arial"/>
          <w:sz w:val="17"/>
          <w:szCs w:val="17"/>
          <w:b w:val="1"/>
          <w:bCs w:val="1"/>
          <w:color w:val="auto"/>
        </w:rPr>
      </w:pPr>
    </w:p>
    <w:p>
      <w:pPr>
        <w:ind w:left="-8" w:right="420" w:firstLine="464"/>
        <w:spacing w:after="0" w:line="293" w:lineRule="auto"/>
        <w:tabs>
          <w:tab w:leader="none" w:pos="798" w:val="left"/>
        </w:tabs>
        <w:numPr>
          <w:ilvl w:val="1"/>
          <w:numId w:val="14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makes and keeps accurate books and records and maintains a system of internal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controls sufficient to provide reasonable assurance that: (i) transactions are executed in accordance with management’s general or specific authorization;</w:t>
      </w:r>
    </w:p>
    <w:p>
      <w:pPr>
        <w:spacing w:after="0" w:line="1" w:lineRule="exact"/>
        <w:rPr>
          <w:rFonts w:ascii="Arial" w:cs="Arial" w:eastAsia="Arial" w:hAnsi="Arial"/>
          <w:sz w:val="16"/>
          <w:szCs w:val="16"/>
          <w:b w:val="1"/>
          <w:bCs w:val="1"/>
          <w:color w:val="auto"/>
        </w:rPr>
      </w:pPr>
    </w:p>
    <w:p>
      <w:pPr>
        <w:ind w:left="272" w:hanging="272"/>
        <w:spacing w:after="0"/>
        <w:tabs>
          <w:tab w:leader="none" w:pos="27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w:t>
      </w:r>
    </w:p>
    <w:p>
      <w:pPr>
        <w:spacing w:after="0" w:line="32" w:lineRule="exact"/>
        <w:rPr>
          <w:rFonts w:ascii="Arial" w:cs="Arial" w:eastAsia="Arial" w:hAnsi="Arial"/>
          <w:sz w:val="16"/>
          <w:szCs w:val="16"/>
          <w:color w:val="auto"/>
        </w:rPr>
      </w:pPr>
    </w:p>
    <w:p>
      <w:pPr>
        <w:ind w:left="-8" w:right="320" w:firstLine="8"/>
        <w:spacing w:after="0" w:line="290" w:lineRule="auto"/>
        <w:tabs>
          <w:tab w:leader="none" w:pos="30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49" w:lineRule="exact"/>
        <w:rPr>
          <w:rFonts w:ascii="Arial" w:cs="Arial" w:eastAsia="Arial" w:hAnsi="Arial"/>
          <w:sz w:val="17"/>
          <w:szCs w:val="17"/>
          <w:color w:val="auto"/>
        </w:rPr>
      </w:pPr>
    </w:p>
    <w:p>
      <w:pPr>
        <w:ind w:left="-8" w:right="40" w:firstLine="464"/>
        <w:spacing w:after="0" w:line="286" w:lineRule="auto"/>
        <w:tabs>
          <w:tab w:leader="none" w:pos="898"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w:t>
      </w:r>
    </w:p>
    <w:p>
      <w:pPr>
        <w:spacing w:after="0" w:line="2" w:lineRule="exact"/>
        <w:rPr>
          <w:rFonts w:ascii="Arial" w:cs="Arial" w:eastAsia="Arial" w:hAnsi="Arial"/>
          <w:sz w:val="16"/>
          <w:szCs w:val="16"/>
          <w:b w:val="1"/>
          <w:bCs w:val="1"/>
          <w:color w:val="auto"/>
        </w:rPr>
      </w:pPr>
    </w:p>
    <w:p>
      <w:pPr>
        <w:ind w:left="-8" w:right="40" w:firstLine="8"/>
        <w:spacing w:after="0" w:line="252" w:lineRule="auto"/>
        <w:tabs>
          <w:tab w:leader="none" w:pos="30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214" w:name="page215"/>
    <w:bookmarkEnd w:id="214"/>
    <w:p>
      <w:pPr>
        <w:ind w:left="-20" w:firstLine="464"/>
        <w:spacing w:after="0" w:line="289" w:lineRule="auto"/>
        <w:tabs>
          <w:tab w:leader="none" w:pos="836"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been duly organized and is validly existing as a company under the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State of Israel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be so qualified or in good standing would not reasonably be expected to have, individually or in the aggregate, a material adverse effect on the condition (financial or other), earnings, business, properties, operation, assets, liabilities, or prospects of the Company and its subsidiaries, considered as one entity (any such effect being referred to herein as a “</w:t>
      </w:r>
      <w:r>
        <w:rPr>
          <w:rFonts w:ascii="Arial" w:cs="Arial" w:eastAsia="Arial" w:hAnsi="Arial"/>
          <w:sz w:val="16"/>
          <w:szCs w:val="16"/>
          <w:b w:val="1"/>
          <w:bCs w:val="1"/>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Adverse Effect</w:t>
      </w:r>
      <w:r>
        <w:rPr>
          <w:rFonts w:ascii="Arial" w:cs="Arial" w:eastAsia="Arial" w:hAnsi="Arial"/>
          <w:sz w:val="16"/>
          <w:szCs w:val="16"/>
          <w:color w:val="auto"/>
        </w:rPr>
        <w:t>”). The Company has not been designated as a “breaching company” (within the meaning of the Israeli Companies Law 5759-1999)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Registrar of Companies of the State of Israel. The certificate of incorporation, articles of association and other organizational documents of the Company comply with the requirements of applicable Israeli law and are in full force and effect.</w:t>
      </w:r>
    </w:p>
    <w:p>
      <w:pPr>
        <w:spacing w:after="0" w:line="53" w:lineRule="exact"/>
        <w:rPr>
          <w:rFonts w:ascii="Arial" w:cs="Arial" w:eastAsia="Arial" w:hAnsi="Arial"/>
          <w:sz w:val="16"/>
          <w:szCs w:val="16"/>
          <w:b w:val="1"/>
          <w:bCs w:val="1"/>
          <w:color w:val="auto"/>
        </w:rPr>
      </w:pPr>
    </w:p>
    <w:p>
      <w:pPr>
        <w:ind w:left="-20" w:firstLine="464"/>
        <w:spacing w:after="0" w:line="268" w:lineRule="auto"/>
        <w:tabs>
          <w:tab w:leader="none" w:pos="826"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Subsidiaries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Company’s “subsidiaries” (for purposes of this Agreement, as defined in Rule 405 under the Securities Act)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duly incorporated or organized, as the case may be, and is validly existing as a corporation, partnership or limited liability company, as applicable, in good standing (where such qualification is required)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would not reasonably be expected to have, individually or in the aggregate, a Material Adverse Effect. All of the issued and outstanding capital stock or other equity or ownership interests of each of the Company’s subsidiaries has been duly authorized and validly issued, is fully paid and nonassessable and is owned by the Company, directly or through subsidiaries, free and clear of any material security interest, mortgage, pledge, lien, encumbrance or adverse claim. The Company does not own or control, directly or indirectly, any corporation, association or other entity other than the subsidiaries listed in or included as an exhibit to the Registration Statement. None of the outstanding shares of capital stock of any of the Company’s subsidiaries were issued in violation of any preemptive rights or rights of first refusal or other similar rights to subscribe for or purchase securities of any such subsidiary. None of the subsidiaries of the Company is a “significant subsidiary” (as defined in Rule 405 under the Securities Act).</w:t>
      </w:r>
    </w:p>
    <w:p>
      <w:pPr>
        <w:spacing w:after="0" w:line="77" w:lineRule="exact"/>
        <w:rPr>
          <w:rFonts w:ascii="Arial" w:cs="Arial" w:eastAsia="Arial" w:hAnsi="Arial"/>
          <w:sz w:val="17"/>
          <w:szCs w:val="17"/>
          <w:b w:val="1"/>
          <w:bCs w:val="1"/>
          <w:color w:val="auto"/>
        </w:rPr>
      </w:pPr>
    </w:p>
    <w:p>
      <w:pPr>
        <w:ind w:left="-20" w:right="80" w:firstLine="464"/>
        <w:spacing w:after="0" w:line="270" w:lineRule="auto"/>
        <w:tabs>
          <w:tab w:leader="none" w:pos="836"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Capitalization and Other Share Capital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authorized, issued and outstanding share capital of the Company is as set forth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 capital of the Company, including the Ordinary Shares and the Offered Shares, conforms, in all material respects, to each description thereof contained in the Time of Sale Prospectus. All of the issued and outstanding Ordinary Shares have been duly authorized and validly issued, are fully paid and nonassessable and have been issued in compliance with all federal, state and local, including Israeli, securities laws. None of the outstanding Ordinary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 capital of the Company or any of its subsidiaries other than those described in the Registration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0" w:right="239" w:bottom="1440" w:gutter="0" w:footer="0" w:header="0"/>
        </w:sectPr>
      </w:pPr>
    </w:p>
    <w:bookmarkStart w:id="215" w:name="page216"/>
    <w:bookmarkEnd w:id="21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the Time of Sale Prospectus and the Prospectus. The descriptions of the Company’s equity compensation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spacing w:after="0" w:line="53" w:lineRule="exact"/>
        <w:rPr>
          <w:sz w:val="20"/>
          <w:szCs w:val="20"/>
          <w:color w:val="auto"/>
        </w:rPr>
      </w:pPr>
    </w:p>
    <w:p>
      <w:pPr>
        <w:ind w:right="160" w:firstLine="464"/>
        <w:spacing w:after="0" w:line="303" w:lineRule="auto"/>
        <w:tabs>
          <w:tab w:leader="none" w:pos="856"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Stock Exchange Listing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Ordinary Shares are registered pursuant to Section 12(b) of the Exchange Act and are listed on the Nasdaq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t>
      </w:r>
      <w:r>
        <w:rPr>
          <w:rFonts w:ascii="Arial" w:cs="Arial" w:eastAsia="Arial" w:hAnsi="Arial"/>
          <w:sz w:val="16"/>
          <w:szCs w:val="16"/>
          <w:b w:val="1"/>
          <w:bCs w:val="1"/>
          <w:color w:val="auto"/>
        </w:rPr>
        <w:t>Nasdaq</w:t>
      </w:r>
      <w:r>
        <w:rPr>
          <w:rFonts w:ascii="Arial" w:cs="Arial" w:eastAsia="Arial" w:hAnsi="Arial"/>
          <w:sz w:val="16"/>
          <w:szCs w:val="16"/>
          <w:color w:val="auto"/>
        </w:rPr>
        <w:t>”), and the Company has taken no action designed to, or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43" w:lineRule="exact"/>
        <w:rPr>
          <w:rFonts w:ascii="Arial" w:cs="Arial" w:eastAsia="Arial" w:hAnsi="Arial"/>
          <w:sz w:val="16"/>
          <w:szCs w:val="16"/>
          <w:b w:val="1"/>
          <w:bCs w:val="1"/>
          <w:color w:val="auto"/>
        </w:rPr>
      </w:pPr>
    </w:p>
    <w:p>
      <w:pPr>
        <w:ind w:right="40" w:firstLine="464"/>
        <w:spacing w:after="0" w:line="284" w:lineRule="auto"/>
        <w:tabs>
          <w:tab w:leader="none" w:pos="836"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is in violation of its articles of association or by-laws or similar organizational documents, as applicable,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any of them may be bound, or to which any of their respective properties or assets are subject, including (A) any instrument of approval granted to any of them by the Israel Innovation Authority of the Israeli Ministry of Economy and Industry (the “</w:t>
      </w:r>
      <w:r>
        <w:rPr>
          <w:rFonts w:ascii="Arial" w:cs="Arial" w:eastAsia="Arial" w:hAnsi="Arial"/>
          <w:sz w:val="16"/>
          <w:szCs w:val="16"/>
          <w:b w:val="1"/>
          <w:bCs w:val="1"/>
          <w:color w:val="auto"/>
        </w:rPr>
        <w:t>IIA</w:t>
      </w:r>
      <w:r>
        <w:rPr>
          <w:rFonts w:ascii="Arial" w:cs="Arial" w:eastAsia="Arial" w:hAnsi="Arial"/>
          <w:sz w:val="16"/>
          <w:szCs w:val="16"/>
          <w:color w:val="auto"/>
        </w:rPr>
        <w:t>”) or (B) any instrument of approval granted to any of them by the Authority for Investment and Development of Industry and the Economy of the Israeli Ministry of Economy and Industry (the “</w:t>
      </w:r>
      <w:r>
        <w:rPr>
          <w:rFonts w:ascii="Arial" w:cs="Arial" w:eastAsia="Arial" w:hAnsi="Arial"/>
          <w:sz w:val="16"/>
          <w:szCs w:val="16"/>
          <w:b w:val="1"/>
          <w:bCs w:val="1"/>
          <w:color w:val="auto"/>
        </w:rPr>
        <w:t>Investment Center</w:t>
      </w:r>
      <w:r>
        <w:rPr>
          <w:rFonts w:ascii="Arial" w:cs="Arial" w:eastAsia="Arial" w:hAnsi="Arial"/>
          <w:sz w:val="16"/>
          <w:szCs w:val="16"/>
          <w:color w:val="auto"/>
        </w:rPr>
        <w: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w:t>
      </w:r>
      <w:r>
        <w:rPr>
          <w:rFonts w:ascii="Arial" w:cs="Arial" w:eastAsia="Arial" w:hAnsi="Arial"/>
          <w:sz w:val="16"/>
          <w:szCs w:val="16"/>
          <w:color w:val="auto"/>
        </w:rPr>
        <w:t>”), except for such Defaults as would not reasonably be expected, individually or in the aggregate, to have a Material Adverse Effect.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execution, delivery and performance of this Agreement, consummation of the transactions contemplated hereby and by the Registration Statement, the Time of Sale Prospectus and the Prospectus, including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articles of association or by-laws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would not reasonably be expected to have, individually or in the aggregate, a Material Adverse Effect, and (iii) will not result in any violation of any law, administrative regulation or administrative or court decree applicable to the Company or any of its subsidiaries, except as would not reasonably be expected to have, individually or in the aggregate, a Material Adverse Effect. No consent, approval, authorization or other order of, or registration or filing with, any court or other governmental or regulatory authority or agency, is required for, or in connection with, the Company’s 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or Nasdaq and (B) the filing of certain notices with the Registrar of Companies of the State of Israel regarding the issuance of the Offered Shares or the filing of certain information following the First Closing Date (and, if applicable, at each Option Closing Date) with the Investment Center and the IIA. Subject to the Underwriters’ compliance with their obligations under Section 5(b) hereof, the Company is not required to publish a prospectus in</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16" w:name="page217"/>
    <w:bookmarkEnd w:id="216"/>
    <w:p>
      <w:pPr>
        <w:ind w:right="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State of Israel under the laws of the State of Israel with respect to the offer or sale of the Offered Shares. As used herein, a “</w:t>
      </w:r>
      <w:r>
        <w:rPr>
          <w:rFonts w:ascii="Arial" w:cs="Arial" w:eastAsia="Arial" w:hAnsi="Arial"/>
          <w:sz w:val="18"/>
          <w:szCs w:val="18"/>
          <w:b w:val="1"/>
          <w:bCs w:val="1"/>
          <w:color w:val="auto"/>
        </w:rPr>
        <w:t>Debt Repayment Triggering</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means any event or condition which gives, or with the giving of notice or lapse of time would give, the holder of any note, debenture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of indebtedness (or any person acting on such holder’s behalf) the right to require the repurchase, redemption or repayment of all or a portion of such indebtedness by the Company or any of its subsidiaries.</w:t>
      </w:r>
    </w:p>
    <w:p>
      <w:pPr>
        <w:spacing w:after="0" w:line="76" w:lineRule="exact"/>
        <w:rPr>
          <w:sz w:val="20"/>
          <w:szCs w:val="20"/>
          <w:color w:val="auto"/>
        </w:rPr>
      </w:pPr>
    </w:p>
    <w:p>
      <w:pPr>
        <w:ind w:right="40" w:firstLine="464"/>
        <w:spacing w:after="0" w:line="308" w:lineRule="auto"/>
        <w:tabs>
          <w:tab w:leader="none" w:pos="826"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Laws. </w:t>
      </w:r>
      <w:r>
        <w:rPr>
          <w:rFonts w:ascii="Arial" w:cs="Arial" w:eastAsia="Arial" w:hAnsi="Arial"/>
          <w:sz w:val="17"/>
          <w:szCs w:val="17"/>
          <w:color w:val="auto"/>
        </w:rPr>
        <w:t>The Company and its subsidiaries have been and are in compliance with all applicable laws, rules and regulations,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failure to be so in compliance would not reasonably be expected, individually or in the aggregate, to have a Material Adverse Effect.</w:t>
      </w:r>
    </w:p>
    <w:p>
      <w:pPr>
        <w:spacing w:after="0" w:line="34" w:lineRule="exact"/>
        <w:rPr>
          <w:rFonts w:ascii="Arial" w:cs="Arial" w:eastAsia="Arial" w:hAnsi="Arial"/>
          <w:sz w:val="17"/>
          <w:szCs w:val="17"/>
          <w:b w:val="1"/>
          <w:bCs w:val="1"/>
          <w:color w:val="auto"/>
        </w:rPr>
      </w:pPr>
    </w:p>
    <w:p>
      <w:pPr>
        <w:ind w:firstLine="464"/>
        <w:spacing w:after="0" w:line="271" w:lineRule="auto"/>
        <w:tabs>
          <w:tab w:leader="none" w:pos="816"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Actions or Proceedings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no action, suit, proceeding, inquiry or investigation brought by or before any governmental 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now pending or, to the knowledge of the Company, threatened, against or affecting the Company or any of its subsidiaries, which would be reasonably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their business, if determined adversely to the Company or such subsidiary, would not reasonably be expected to have a Material Adverse Effect. No labor dispute with the employees of the Company or any of its subsidiaries, or with the employees of any principal supplier, manufacturer, customer or contractor of the Company, exists or, to the knowledge of the Company, is threatened or imminent, which could reasonably be expected, individually or in the aggregate, to result in a Material Adverse Effect.</w:t>
      </w:r>
    </w:p>
    <w:p>
      <w:pPr>
        <w:spacing w:after="0" w:line="66" w:lineRule="exact"/>
        <w:rPr>
          <w:rFonts w:ascii="Arial" w:cs="Arial" w:eastAsia="Arial" w:hAnsi="Arial"/>
          <w:sz w:val="17"/>
          <w:szCs w:val="17"/>
          <w:b w:val="1"/>
          <w:bCs w:val="1"/>
          <w:color w:val="auto"/>
        </w:rPr>
      </w:pPr>
    </w:p>
    <w:p>
      <w:pPr>
        <w:ind w:firstLine="464"/>
        <w:spacing w:after="0" w:line="268" w:lineRule="auto"/>
        <w:tabs>
          <w:tab w:leader="none" w:pos="856"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Intellectual Property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own, or have obtained valid and enforceable licenses for, the inventions, patent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patents, trademarks, trade names, service names, copyrights, trade secrets and other intellectual property (1) described in the Registration Statement, the Time of Sale Prospectus and the Prospectus as being owned or licensed by them or (2) which are necessary for the conduct of their respective businesses as currently conducted or as currently proposed in the Registration Statement, the Time of Sale Prospectus or the Prospectus to be conducted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in the case of clause (2) where the failure to own, possess or acquire such rights would not reasonably be expected, individually or in the aggregate, to have a Material Adverse Effect. Except as would not reasonably be expected, individually or in the aggregate, to have a Material Adverse Effect, to the Company’s knowledge: (i) there are no third parties who have rights to any Intellectual Property; and (ii) there is no infringement by third parties of any Intellectual Property. Except as would not reasonably be expected, individually or in the aggregate, to have a Material Adverse Effect, there is no pending or, to the Company’s knowledge, threatened action, suit, proceeding or claim by others: (A) challenging the Company’s or its subsidiaries’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Except as would not reasonably be expected, individually or in the aggregate, to have a Material Adverse Effect, the Company and its subsidiaries have complied with the terms of each agreement pursuant to which Intellectual Property has been licensed to the Company or its subsidiaries, and all such agreements are in full force and effect. The product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217" w:name="page218"/>
    <w:bookmarkEnd w:id="217"/>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candidates described in the Registration Statement, the Time of Sale Prospectus and the Prospectus as under development by the Company or its subsidiary fall within the scope of the claims of one or more patents or patent applications owned by, or exclusively licensed to, the Company or any such subsidiary.</w:t>
      </w:r>
    </w:p>
    <w:p>
      <w:pPr>
        <w:spacing w:after="0" w:line="12" w:lineRule="exact"/>
        <w:rPr>
          <w:sz w:val="20"/>
          <w:szCs w:val="20"/>
          <w:color w:val="auto"/>
        </w:rPr>
      </w:pPr>
    </w:p>
    <w:p>
      <w:pPr>
        <w:ind w:right="100" w:firstLine="464"/>
        <w:spacing w:after="0" w:line="292" w:lineRule="auto"/>
        <w:tabs>
          <w:tab w:leader="none" w:pos="846"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All Necessary Permits, etc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possess such valid and current certificates, authorizations or permits required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federal or foreign, including Israeli, regulatory agencies or bodies to conduct their respective businesses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where the failure to so possess would not reasonably be expected to, individually or in the aggregate, result in a Material Adverse Effect. Neither the Company nor any of its subsidiaries is in violation of, or in default under, any of the Permits or has received any notice of proceedings relating to the revocation or modification of, or non-compliance with, any Permit, except as would not reasonably be expected to have a Material Adverse Effect. All information supplied by the Company with respect to the applications or notifications relating to grants and benefits from the IIA was true, correct and complete in all material respects when supplied to the appropriate authorities.</w:t>
      </w:r>
    </w:p>
    <w:p>
      <w:pPr>
        <w:spacing w:after="0" w:line="53" w:lineRule="exact"/>
        <w:rPr>
          <w:rFonts w:ascii="Arial" w:cs="Arial" w:eastAsia="Arial" w:hAnsi="Arial"/>
          <w:sz w:val="16"/>
          <w:szCs w:val="16"/>
          <w:b w:val="1"/>
          <w:bCs w:val="1"/>
          <w:color w:val="auto"/>
        </w:rPr>
      </w:pPr>
    </w:p>
    <w:p>
      <w:pPr>
        <w:ind w:firstLine="464"/>
        <w:spacing w:after="0" w:line="291" w:lineRule="auto"/>
        <w:tabs>
          <w:tab w:leader="none" w:pos="886"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good and marketable title to all of the real and personal property and other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except as do not materially interfere with the use made or proposed to be made of such property and other assets by the Company. Except as disclosed in the Registration Statement, the Time of Sale Prospectus and the Prospectus,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The preceding sentence does not apply to any intellectual property rights, which are covered by the representations and warranties contained in Section 1(u) hereof.</w:t>
      </w:r>
    </w:p>
    <w:p>
      <w:pPr>
        <w:spacing w:after="0" w:line="52" w:lineRule="exact"/>
        <w:rPr>
          <w:rFonts w:ascii="Arial" w:cs="Arial" w:eastAsia="Arial" w:hAnsi="Arial"/>
          <w:sz w:val="16"/>
          <w:szCs w:val="16"/>
          <w:b w:val="1"/>
          <w:bCs w:val="1"/>
          <w:color w:val="auto"/>
        </w:rPr>
      </w:pPr>
    </w:p>
    <w:p>
      <w:pPr>
        <w:ind w:firstLine="464"/>
        <w:spacing w:after="0" w:line="269" w:lineRule="auto"/>
        <w:tabs>
          <w:tab w:leader="none" w:pos="846"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have filed all material United States (federal, state and local), Israeli and foreign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local)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or except where the failure to pay such taxes could not reasonably be expected to result in a Material Adverse Effect. The Company has made adequate charges, accruals and reserves in the applicable financial statements referred to in Section 1(k) above in respect of all federal, state, Israeli and foreign income and franchise taxes for all periods as to which the tax liability of the Company or any of its subsidiaries has not been finally determined. No transaction, stamp or other issuance or transfer taxes or duties, and assuming that the Underwriters are not otherwise subject to taxation in Israel due to Israeli tax residence or the existence of a permanent establishment in Israel, no capital gain, income, transfer, withholding or other tax or duty is payable in the State of Israel by or on behalf of the Underwriters to any taxing authority thereof or therein in connection with (i) the issuance, sale and delivery of the Offered Shares by the Company; (ii) the purchase from the Company, and the initial sale and delivery by the Underwriters of the Offered Shares to purchasers thereof; (iii) the holding or transfer of the Offered Shares; or (iv) the execution and delivery of this Agreement or any other document to be furnished hereunder.</w:t>
      </w:r>
    </w:p>
    <w:p>
      <w:pPr>
        <w:spacing w:after="0" w:line="71" w:lineRule="exact"/>
        <w:rPr>
          <w:rFonts w:ascii="Arial" w:cs="Arial" w:eastAsia="Arial" w:hAnsi="Arial"/>
          <w:sz w:val="17"/>
          <w:szCs w:val="17"/>
          <w:b w:val="1"/>
          <w:bCs w:val="1"/>
          <w:color w:val="auto"/>
        </w:rPr>
      </w:pPr>
    </w:p>
    <w:p>
      <w:pPr>
        <w:ind w:right="100" w:firstLine="464"/>
        <w:spacing w:after="0" w:line="347" w:lineRule="auto"/>
        <w:tabs>
          <w:tab w:leader="none" w:pos="846"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of the Company and its subsidiaries are insured by recognized and reputable institutions with policies in such amounts and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deductibles and covering such risks as the Company reasonably believes are generally deemed customary for their businesses including, but not</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8" w:name="page219"/>
    <w:bookmarkEnd w:id="218"/>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reasonable basis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Neither the Company nor any of its subsidiaries has been denied any material insurance coverage which it has sought or for which it has applied.</w:t>
      </w:r>
    </w:p>
    <w:p>
      <w:pPr>
        <w:spacing w:after="0" w:line="81" w:lineRule="exact"/>
        <w:rPr>
          <w:sz w:val="20"/>
          <w:szCs w:val="20"/>
          <w:color w:val="auto"/>
        </w:rPr>
      </w:pPr>
    </w:p>
    <w:p>
      <w:pPr>
        <w:ind w:left="840" w:hanging="376"/>
        <w:spacing w:after="0"/>
        <w:tabs>
          <w:tab w:leader="none" w:pos="840"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reasonably be expected, individually or in the aggregate, to have a Material Adverse</w:t>
      </w:r>
    </w:p>
    <w:p>
      <w:pPr>
        <w:spacing w:after="0" w:line="50" w:lineRule="exact"/>
        <w:rPr>
          <w:rFonts w:ascii="Arial" w:cs="Arial" w:eastAsia="Arial" w:hAnsi="Arial"/>
          <w:sz w:val="16"/>
          <w:szCs w:val="16"/>
          <w:b w:val="1"/>
          <w:bCs w:val="1"/>
          <w:color w:val="auto"/>
        </w:rPr>
      </w:pPr>
    </w:p>
    <w:p>
      <w:pPr>
        <w:ind w:right="20"/>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Effect: (i) neither the Company nor any of its subsidiaries is in violation of any Israeli or United States (federal, state or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or to the manufacture, processing, distribution, use, treatment, storage, disposal, transport or handling of Hazardous Materials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existing as of the date hereof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76" w:lineRule="exact"/>
        <w:rPr>
          <w:sz w:val="20"/>
          <w:szCs w:val="20"/>
          <w:color w:val="auto"/>
        </w:rPr>
      </w:pPr>
    </w:p>
    <w:p>
      <w:pPr>
        <w:ind w:firstLine="464"/>
        <w:spacing w:after="0" w:line="287" w:lineRule="auto"/>
        <w:tabs>
          <w:tab w:leader="none" w:pos="936"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Benefit Plan Compliance. </w:t>
      </w:r>
      <w:r>
        <w:rPr>
          <w:rFonts w:ascii="Arial" w:cs="Arial" w:eastAsia="Arial" w:hAnsi="Arial"/>
          <w:sz w:val="16"/>
          <w:szCs w:val="16"/>
          <w:color w:val="auto"/>
        </w:rPr>
        <w:t>Each benefit, pension and compensation plan, agreement policy and arrangement that is maintained, administered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contributed to by the Company or any of its subsidiaries for current or former employees or directors of the Company or any of its subsidiaries, or with respect to which any of such entities would reasonably be expected to have any current, future or contingent liability or responsibility, has been maintained in compliance with its terms and the requirements of any applicable statutes, orders, rules and regulations, except as would not, individually or in the aggregate, be expected to have a Material Adverse Effect and except with respect to matters over which none of the Company or its subsidiaries have control; the Company and each of its subsidiaries have complied with all applicable statutes, orders, rules and regulations in regard to such plans, agreements, policies and arrangements, except as would not, individually or in the aggregate, reasonably be expected to have a Material Adverse Effect; the fair market value of the assets of each such plan, agreement, policy and arrangement which is required or intended to be funded (excluding for these purposes accrued but unpaid contributions) exceeds the present value of all benefits accrued or earned or payments due under such plan, agreement, policy or arrangement determined using reasonable actuarial assumptions. The liabilities reflected on the relevant entity’s financial statements with respect to each such plan, agreement, policy and arrangement which is not required or intended to be funded accurately reflects the present value of all benefits earned or accrued or payments due under such plan, agreement, policy or arrangement determined using reasonable actuarial assumptions.</w:t>
      </w:r>
    </w:p>
    <w:p>
      <w:pPr>
        <w:spacing w:after="0" w:line="60" w:lineRule="exact"/>
        <w:rPr>
          <w:rFonts w:ascii="Arial" w:cs="Arial" w:eastAsia="Arial" w:hAnsi="Arial"/>
          <w:sz w:val="16"/>
          <w:szCs w:val="16"/>
          <w:b w:val="1"/>
          <w:bCs w:val="1"/>
          <w:color w:val="auto"/>
        </w:rPr>
      </w:pPr>
    </w:p>
    <w:p>
      <w:pPr>
        <w:ind w:right="60" w:firstLine="464"/>
        <w:spacing w:after="0" w:line="277" w:lineRule="auto"/>
        <w:tabs>
          <w:tab w:leader="none" w:pos="956"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the Sarbanes-Oxley Act. </w:t>
      </w:r>
      <w:r>
        <w:rPr>
          <w:rFonts w:ascii="Arial" w:cs="Arial" w:eastAsia="Arial" w:hAnsi="Arial"/>
          <w:sz w:val="18"/>
          <w:szCs w:val="18"/>
          <w:color w:val="auto"/>
        </w:rPr>
        <w:t>The Company is in compliance, in all material respects, with (i) all provisions of the Sarbanes-Oxley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2002 and all rules and regulations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19" w:name="page220"/>
    <w:bookmarkEnd w:id="21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promulgated thereunder or implementing the provisions thereof (collectively, the “</w:t>
      </w:r>
      <w:r>
        <w:rPr>
          <w:rFonts w:ascii="Arial" w:cs="Arial" w:eastAsia="Arial" w:hAnsi="Arial"/>
          <w:sz w:val="18"/>
          <w:szCs w:val="18"/>
          <w:b w:val="1"/>
          <w:bCs w:val="1"/>
          <w:color w:val="auto"/>
        </w:rPr>
        <w:t>Sarbanes-Oxley Act</w:t>
      </w:r>
      <w:r>
        <w:rPr>
          <w:rFonts w:ascii="Arial" w:cs="Arial" w:eastAsia="Arial" w:hAnsi="Arial"/>
          <w:sz w:val="18"/>
          <w:szCs w:val="18"/>
          <w:color w:val="auto"/>
        </w:rPr>
        <w:t>”) that are then in effect and with which the Company is required to comply, and is or will be taking steps to ensure that it will be in compliance, in all material respects, with other provisions of the Sarbanes-Oxley Act not currently in effect, upon the effectiveness of such provisions and their becoming applicable to the Company and (ii) with all corporate governance requirements under applicable Nasdaq regulations, and, in each case, has no reason to believe that it will not be able to comply with any of such provisions. There is and has been no failure on the part of the Company or any of its directors or officers, in their capacities as such, to comply with any applicable provision of the Sarbanes-Oxley Act, including, without limitation, Section 402 related to loans and, as applicable, Sections 302 and 906 related to certifications.</w:t>
      </w:r>
    </w:p>
    <w:p>
      <w:pPr>
        <w:spacing w:after="0" w:line="85" w:lineRule="exact"/>
        <w:rPr>
          <w:sz w:val="20"/>
          <w:szCs w:val="20"/>
          <w:color w:val="auto"/>
        </w:rPr>
      </w:pPr>
    </w:p>
    <w:p>
      <w:pPr>
        <w:ind w:right="80" w:firstLine="464"/>
        <w:spacing w:after="0" w:line="270" w:lineRule="auto"/>
        <w:tabs>
          <w:tab w:leader="none" w:pos="916"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Company Not an “Investment Company;” Not a “Passive Foreign Investment Company.” </w:t>
      </w:r>
      <w:r>
        <w:rPr>
          <w:rFonts w:ascii="Arial" w:cs="Arial" w:eastAsia="Arial" w:hAnsi="Arial"/>
          <w:sz w:val="17"/>
          <w:szCs w:val="17"/>
          <w:color w:val="auto"/>
        </w:rPr>
        <w:t>The Company is not, and will not be, either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receipt of payment for the Offered Shares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Neither the Company nor any subsidiary of the Company is, and, after giving effect to the offering and sale of the Offered Shares and the application of the proceeds thereof, neither of them will be, a “controlled foreign corporation” as defined by the United States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As of December 31, 2017, the Company would not have been considered a “passive foreign investment company,” as such term is defined in the Code, and immediately after the offering and sale of the Offered Shares and assuming the application of the proceeds as described in the Time of Sale Prospectus under “Use of Proceeds,” less than 50% of the Company’s assets will be classified as assets that produce, or are held for the production of, passive income for the purpose of Section 1297 of the Code and the rules, regulations and administrative pronouncements relating thereto.</w:t>
      </w:r>
    </w:p>
    <w:p>
      <w:pPr>
        <w:spacing w:after="0" w:line="65" w:lineRule="exact"/>
        <w:rPr>
          <w:rFonts w:ascii="Arial" w:cs="Arial" w:eastAsia="Arial" w:hAnsi="Arial"/>
          <w:sz w:val="17"/>
          <w:szCs w:val="17"/>
          <w:b w:val="1"/>
          <w:bCs w:val="1"/>
          <w:color w:val="auto"/>
        </w:rPr>
      </w:pPr>
    </w:p>
    <w:p>
      <w:pPr>
        <w:ind w:right="40" w:firstLine="464"/>
        <w:spacing w:after="0" w:line="255" w:lineRule="auto"/>
        <w:tabs>
          <w:tab w:leader="none" w:pos="1001"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Price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has taken, 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indirectly, without giving effect to activities by the Representatives, any action designed to or that would be reasonably expected to cause or result in stabilization or manipulation of the price of the Offered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Offered Shares, whether to facilitate the sale or resale of the Offered Shares or otherwise, and has taken no action which would directly or indirectly violate Regulation M. In addition, the Company has not engaged in any form of solicitation, advertising or other action constituting an offer or a sale under the Israeli Securities Law 5728-1968, as amended (the “</w:t>
      </w:r>
      <w:r>
        <w:rPr>
          <w:rFonts w:ascii="Arial" w:cs="Arial" w:eastAsia="Arial" w:hAnsi="Arial"/>
          <w:sz w:val="18"/>
          <w:szCs w:val="18"/>
          <w:b w:val="1"/>
          <w:bCs w:val="1"/>
          <w:color w:val="auto"/>
        </w:rPr>
        <w:t>Israeli Securities Law</w:t>
      </w:r>
      <w:r>
        <w:rPr>
          <w:rFonts w:ascii="Arial" w:cs="Arial" w:eastAsia="Arial" w:hAnsi="Arial"/>
          <w:sz w:val="18"/>
          <w:szCs w:val="18"/>
          <w:color w:val="auto"/>
        </w:rPr>
        <w:t>”) and the regulations promulgated thereunder in connection with the transactions contemplated hereby which would require the Company to publish a prospectus in the State of Israel under the laws of the State of Israel.</w:t>
      </w:r>
    </w:p>
    <w:p>
      <w:pPr>
        <w:spacing w:after="0" w:line="77" w:lineRule="exact"/>
        <w:rPr>
          <w:rFonts w:ascii="Arial" w:cs="Arial" w:eastAsia="Arial" w:hAnsi="Arial"/>
          <w:sz w:val="18"/>
          <w:szCs w:val="18"/>
          <w:b w:val="1"/>
          <w:bCs w:val="1"/>
          <w:color w:val="auto"/>
        </w:rPr>
      </w:pPr>
    </w:p>
    <w:p>
      <w:pPr>
        <w:ind w:firstLine="464"/>
        <w:spacing w:after="0" w:line="266" w:lineRule="auto"/>
        <w:tabs>
          <w:tab w:leader="none" w:pos="916"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Related-Party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business relationships or related-party transactions involving the Company or any of its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other person required to be described in the Registration Statement, the Time of Sale Prospectus or the Prospectus that have not been described as required.</w:t>
      </w:r>
    </w:p>
    <w:p>
      <w:pPr>
        <w:spacing w:after="0" w:line="68" w:lineRule="exact"/>
        <w:rPr>
          <w:rFonts w:ascii="Arial" w:cs="Arial" w:eastAsia="Arial" w:hAnsi="Arial"/>
          <w:sz w:val="18"/>
          <w:szCs w:val="18"/>
          <w:b w:val="1"/>
          <w:bCs w:val="1"/>
          <w:color w:val="auto"/>
        </w:rPr>
      </w:pPr>
    </w:p>
    <w:p>
      <w:pPr>
        <w:ind w:firstLine="464"/>
        <w:spacing w:after="0" w:line="258" w:lineRule="auto"/>
        <w:tabs>
          <w:tab w:leader="none" w:pos="876"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or on behalf of the Company, or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by or on behalf of its officers, directors and the holders of any securities (debt or equity) or options to acquire any securities of the Company in connection with the offering of the Offered Shares, is true, complete, correct, in all material respects, and compliant with FINRA’s rules and any letters, filings or other supplemental information provided to FINRA by such parties pursuant to FINRA Rules or NASD Conduct Rules is true, complete and correct in all material respects.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220" w:name="page221"/>
    <w:bookmarkEnd w:id="220"/>
    <w:p>
      <w:pPr>
        <w:ind w:left="-8" w:right="100" w:firstLine="464"/>
        <w:spacing w:after="0" w:line="298" w:lineRule="auto"/>
        <w:tabs>
          <w:tab w:leader="none" w:pos="928"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to Lock-Up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furnished to the Underwriters a letter agreement substantially in the form attached hereto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Lock-up Agreement</w:t>
      </w:r>
      <w:r>
        <w:rPr>
          <w:rFonts w:ascii="Arial" w:cs="Arial" w:eastAsia="Arial" w:hAnsi="Arial"/>
          <w:sz w:val="16"/>
          <w:szCs w:val="16"/>
          <w:color w:val="auto"/>
        </w:rPr>
        <w:t xml:space="preserve">”) from each of the persons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Such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lists under an appropriate caption the directors, executive officers and certain additional shareholders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46" w:lineRule="exact"/>
        <w:rPr>
          <w:rFonts w:ascii="Arial" w:cs="Arial" w:eastAsia="Arial" w:hAnsi="Arial"/>
          <w:sz w:val="16"/>
          <w:szCs w:val="16"/>
          <w:b w:val="1"/>
          <w:bCs w:val="1"/>
          <w:color w:val="auto"/>
        </w:rPr>
      </w:pPr>
    </w:p>
    <w:p>
      <w:pPr>
        <w:jc w:val="both"/>
        <w:ind w:left="-8" w:right="160" w:firstLine="464"/>
        <w:spacing w:after="0" w:line="289" w:lineRule="auto"/>
        <w:tabs>
          <w:tab w:leader="none" w:pos="948" w:val="left"/>
        </w:tabs>
        <w:numPr>
          <w:ilvl w:val="1"/>
          <w:numId w:val="1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the Time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 Prospectus or the Prospectus are based on or derived from sources that the Company believes to be reliable and accurate in all material respects. To the extent required, the Company has obtained the written consent to the use of such data from such sources.</w:t>
      </w:r>
    </w:p>
    <w:p>
      <w:pPr>
        <w:spacing w:after="0" w:line="50" w:lineRule="exact"/>
        <w:rPr>
          <w:rFonts w:ascii="Arial" w:cs="Arial" w:eastAsia="Arial" w:hAnsi="Arial"/>
          <w:sz w:val="17"/>
          <w:szCs w:val="17"/>
          <w:b w:val="1"/>
          <w:bCs w:val="1"/>
          <w:color w:val="auto"/>
        </w:rPr>
      </w:pPr>
    </w:p>
    <w:p>
      <w:pPr>
        <w:ind w:left="-8" w:firstLine="464"/>
        <w:spacing w:after="0" w:line="261" w:lineRule="auto"/>
        <w:tabs>
          <w:tab w:leader="none" w:pos="848" w:val="left"/>
        </w:tabs>
        <w:numPr>
          <w:ilvl w:val="1"/>
          <w:numId w:val="1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Company’s knowledge,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or agent of the Company or any of its subsidiaries, has made any contribution or other payment to any official of, or candidate for, any federal, state or foreign office in violation of any applicable law or of the character required to be disclosed in the Registration Statement, the Time of Sale Prospectus or the Prospectus.</w:t>
      </w:r>
    </w:p>
    <w:p>
      <w:pPr>
        <w:spacing w:after="0" w:line="71" w:lineRule="exact"/>
        <w:rPr>
          <w:rFonts w:ascii="Arial" w:cs="Arial" w:eastAsia="Arial" w:hAnsi="Arial"/>
          <w:sz w:val="18"/>
          <w:szCs w:val="18"/>
          <w:b w:val="1"/>
          <w:bCs w:val="1"/>
          <w:color w:val="auto"/>
        </w:rPr>
      </w:pPr>
    </w:p>
    <w:p>
      <w:pPr>
        <w:ind w:left="-8" w:right="240" w:firstLine="464"/>
        <w:spacing w:after="0" w:line="286" w:lineRule="auto"/>
        <w:tabs>
          <w:tab w:leader="none" w:pos="868" w:val="left"/>
        </w:tabs>
        <w:numPr>
          <w:ilvl w:val="1"/>
          <w:numId w:val="1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Foreign Corrupt Practices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to the knowledge of the Company, any director,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w:t>
      </w:r>
    </w:p>
    <w:p>
      <w:pPr>
        <w:spacing w:after="0" w:line="2" w:lineRule="exact"/>
        <w:rPr>
          <w:rFonts w:ascii="Arial" w:cs="Arial" w:eastAsia="Arial" w:hAnsi="Arial"/>
          <w:sz w:val="16"/>
          <w:szCs w:val="16"/>
          <w:b w:val="1"/>
          <w:bCs w:val="1"/>
          <w:color w:val="auto"/>
        </w:rPr>
      </w:pPr>
    </w:p>
    <w:p>
      <w:pPr>
        <w:ind w:left="-8" w:right="60" w:firstLine="8"/>
        <w:spacing w:after="0" w:line="290" w:lineRule="auto"/>
        <w:tabs>
          <w:tab w:leader="none" w:pos="30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The foregoing representation and warranty shall also be deemed given regarding laws of non-U.S. jurisdictions similar to the FCPA, including, without limitation, Sections 291 and 291A of the Israel Penal Law 5737-1977 and the rules and regulations thereunder.</w:t>
      </w:r>
    </w:p>
    <w:p>
      <w:pPr>
        <w:spacing w:after="0" w:line="52" w:lineRule="exact"/>
        <w:rPr>
          <w:rFonts w:ascii="Arial" w:cs="Arial" w:eastAsia="Arial" w:hAnsi="Arial"/>
          <w:sz w:val="16"/>
          <w:szCs w:val="16"/>
          <w:color w:val="auto"/>
        </w:rPr>
      </w:pPr>
    </w:p>
    <w:p>
      <w:pPr>
        <w:ind w:left="-8" w:right="40" w:firstLine="464"/>
        <w:spacing w:after="0" w:line="274" w:lineRule="auto"/>
        <w:tabs>
          <w:tab w:leader="none" w:pos="948" w:val="left"/>
        </w:tabs>
        <w:numPr>
          <w:ilvl w:val="1"/>
          <w:numId w:val="15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5" w:lineRule="exact"/>
        <w:rPr>
          <w:rFonts w:ascii="Arial" w:cs="Arial" w:eastAsia="Arial" w:hAnsi="Arial"/>
          <w:sz w:val="17"/>
          <w:szCs w:val="17"/>
          <w:b w:val="1"/>
          <w:bCs w:val="1"/>
          <w:color w:val="auto"/>
        </w:rPr>
      </w:pPr>
    </w:p>
    <w:p>
      <w:pPr>
        <w:ind w:left="-8" w:right="420" w:firstLine="464"/>
        <w:spacing w:after="0" w:line="282" w:lineRule="auto"/>
        <w:tabs>
          <w:tab w:leader="none" w:pos="848" w:val="left"/>
        </w:tabs>
        <w:numPr>
          <w:ilvl w:val="1"/>
          <w:numId w:val="1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OFAC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knowledge of the Company, after due inquiry, any director, officer, agent,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affiliate or other person acting on</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0" w:right="259" w:bottom="1440" w:gutter="0" w:footer="0" w:header="0"/>
        </w:sectPr>
      </w:pPr>
    </w:p>
    <w:bookmarkStart w:id="221" w:name="page222"/>
    <w:bookmarkEnd w:id="22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of the Company or any of its subsidiaries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Sanctions, or in any other manner that will result in a violation by any person (including any person participating in the transaction whether as underwriter, advisor, investor or otherwise) of such Sanctions.</w:t>
      </w:r>
    </w:p>
    <w:p>
      <w:pPr>
        <w:spacing w:after="0" w:line="66" w:lineRule="exact"/>
        <w:rPr>
          <w:sz w:val="20"/>
          <w:szCs w:val="20"/>
          <w:color w:val="auto"/>
        </w:rPr>
      </w:pPr>
    </w:p>
    <w:p>
      <w:pPr>
        <w:ind w:right="760" w:firstLine="464"/>
        <w:spacing w:after="0" w:line="282" w:lineRule="auto"/>
        <w:tabs>
          <w:tab w:leader="none" w:pos="1056"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brokerage or finder’s fee or other fee or commission as a result of any transactions contemplated by this Agreement.</w:t>
      </w:r>
    </w:p>
    <w:p>
      <w:pPr>
        <w:spacing w:after="0" w:line="57" w:lineRule="exact"/>
        <w:rPr>
          <w:rFonts w:ascii="Arial" w:cs="Arial" w:eastAsia="Arial" w:hAnsi="Arial"/>
          <w:sz w:val="18"/>
          <w:szCs w:val="18"/>
          <w:b w:val="1"/>
          <w:bCs w:val="1"/>
          <w:color w:val="auto"/>
        </w:rPr>
      </w:pPr>
    </w:p>
    <w:p>
      <w:pPr>
        <w:ind w:right="260" w:firstLine="464"/>
        <w:spacing w:after="0" w:line="293" w:lineRule="auto"/>
        <w:tabs>
          <w:tab w:leader="none" w:pos="956"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Submission to Jurisdiction</w:t>
      </w:r>
      <w:r>
        <w:rPr>
          <w:rFonts w:ascii="Arial" w:cs="Arial" w:eastAsia="Arial" w:hAnsi="Arial"/>
          <w:sz w:val="16"/>
          <w:szCs w:val="16"/>
          <w:color w:val="auto"/>
        </w:rPr>
        <w:t>. The Company has the power to submit, and pursuant to Section 18 of this Agreement, has legally, validly,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effectively and irrevocably submitted, to the personal jurisdiction of each United States federal court and New York state court located in the Borough of Manhattan, in the City of New York, New York, U.S.A. (each, a “</w:t>
      </w:r>
      <w:r>
        <w:rPr>
          <w:rFonts w:ascii="Arial" w:cs="Arial" w:eastAsia="Arial" w:hAnsi="Arial"/>
          <w:sz w:val="16"/>
          <w:szCs w:val="16"/>
          <w:b w:val="1"/>
          <w:bCs w:val="1"/>
          <w:color w:val="auto"/>
        </w:rPr>
        <w:t>New York Court</w:t>
      </w:r>
      <w:r>
        <w:rPr>
          <w:rFonts w:ascii="Arial" w:cs="Arial" w:eastAsia="Arial" w:hAnsi="Arial"/>
          <w:sz w:val="16"/>
          <w:szCs w:val="16"/>
          <w:color w:val="auto"/>
        </w:rPr>
        <w:t>”), and the Company has the power to designate, appoint and authorize, and pursuant to Section 18 of this Agreement, has legally, validly, effectively and irrevocably designated, appointed and authorized an agent for service of process in any action arising out of or relating to this Agreement or the Offered Shares in any New York Court, and service of process effected on such authorized agent will be effective to confer valid personal jurisdiction over the Company as provided in Section 18 hereof.</w:t>
      </w:r>
    </w:p>
    <w:p>
      <w:pPr>
        <w:spacing w:after="0" w:line="56" w:lineRule="exact"/>
        <w:rPr>
          <w:rFonts w:ascii="Arial" w:cs="Arial" w:eastAsia="Arial" w:hAnsi="Arial"/>
          <w:sz w:val="16"/>
          <w:szCs w:val="16"/>
          <w:b w:val="1"/>
          <w:bCs w:val="1"/>
          <w:color w:val="auto"/>
        </w:rPr>
      </w:pPr>
    </w:p>
    <w:p>
      <w:pPr>
        <w:ind w:firstLine="464"/>
        <w:spacing w:after="0" w:line="270" w:lineRule="auto"/>
        <w:tabs>
          <w:tab w:leader="none" w:pos="936"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Rights of Immunity</w:t>
      </w:r>
      <w:r>
        <w:rPr>
          <w:rFonts w:ascii="Arial" w:cs="Arial" w:eastAsia="Arial" w:hAnsi="Arial"/>
          <w:sz w:val="17"/>
          <w:szCs w:val="17"/>
          <w:color w:val="auto"/>
        </w:rPr>
        <w:t>. Except as provided by laws or statutes generally applicable to transactions of the type described in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respective properties, assets or revenues has any right of immunity under the laws of the State of Israel, New York or United States law, from any legal action, suit or proceeding, from the giving of any relief in any such legal action, suit or proceeding, from set-off or counterclaim, from the jurisdiction of any Israeli,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18 of this Agreement.</w:t>
      </w:r>
    </w:p>
    <w:p>
      <w:pPr>
        <w:spacing w:after="0" w:line="73" w:lineRule="exact"/>
        <w:rPr>
          <w:rFonts w:ascii="Arial" w:cs="Arial" w:eastAsia="Arial" w:hAnsi="Arial"/>
          <w:sz w:val="17"/>
          <w:szCs w:val="17"/>
          <w:b w:val="1"/>
          <w:bCs w:val="1"/>
          <w:color w:val="auto"/>
        </w:rPr>
      </w:pPr>
    </w:p>
    <w:p>
      <w:pPr>
        <w:ind w:right="20" w:firstLine="464"/>
        <w:spacing w:after="0" w:line="255" w:lineRule="auto"/>
        <w:tabs>
          <w:tab w:leader="none" w:pos="956"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85" w:lineRule="exact"/>
        <w:rPr>
          <w:rFonts w:ascii="Arial" w:cs="Arial" w:eastAsia="Arial" w:hAnsi="Arial"/>
          <w:sz w:val="18"/>
          <w:szCs w:val="18"/>
          <w:b w:val="1"/>
          <w:bCs w:val="1"/>
          <w:color w:val="auto"/>
        </w:rPr>
      </w:pPr>
    </w:p>
    <w:p>
      <w:pPr>
        <w:ind w:right="120" w:firstLine="464"/>
        <w:spacing w:after="0" w:line="312" w:lineRule="auto"/>
        <w:tabs>
          <w:tab w:leader="none" w:pos="956"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Emerging Growth Company Status. </w:t>
      </w:r>
      <w:r>
        <w:rPr>
          <w:rFonts w:ascii="Arial" w:cs="Arial" w:eastAsia="Arial" w:hAnsi="Arial"/>
          <w:sz w:val="16"/>
          <w:szCs w:val="16"/>
          <w:color w:val="auto"/>
        </w:rPr>
        <w:t>From the time of initial confidential submission of the Registration Statement to the Commission (or,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2" w:name="page223"/>
    <w:bookmarkEnd w:id="222"/>
    <w:p>
      <w:pPr>
        <w:ind w:left="-8" w:right="100" w:firstLine="464"/>
        <w:spacing w:after="0" w:line="284" w:lineRule="auto"/>
        <w:tabs>
          <w:tab w:leader="none" w:pos="908"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Communications. </w:t>
      </w:r>
      <w:r>
        <w:rPr>
          <w:rFonts w:ascii="Arial" w:cs="Arial" w:eastAsia="Arial" w:hAnsi="Arial"/>
          <w:sz w:val="16"/>
          <w:szCs w:val="16"/>
          <w:color w:val="auto"/>
        </w:rPr>
        <w:t>The Company (i) has not alone engaged in communications with potential investors in reliance on Section 5(d)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forty-eight</w:t>
      </w:r>
    </w:p>
    <w:p>
      <w:pPr>
        <w:spacing w:after="0" w:line="1" w:lineRule="exact"/>
        <w:rPr>
          <w:rFonts w:ascii="Arial" w:cs="Arial" w:eastAsia="Arial" w:hAnsi="Arial"/>
          <w:sz w:val="16"/>
          <w:szCs w:val="16"/>
          <w:b w:val="1"/>
          <w:bCs w:val="1"/>
          <w:color w:val="auto"/>
        </w:rPr>
      </w:pPr>
    </w:p>
    <w:p>
      <w:pPr>
        <w:ind w:left="-8" w:right="100" w:firstLine="8"/>
        <w:spacing w:after="0" w:line="323" w:lineRule="auto"/>
        <w:tabs>
          <w:tab w:leader="none" w:pos="33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hours prior to the delivery of any request for the acceleration of the effective date of the Registration Statement in accordance with Rule 461 under the Securities Act, any confidentially submitted registration statement and registration statement amendments relating to the offer and sale of the Offered Shares.</w:t>
      </w:r>
    </w:p>
    <w:p>
      <w:pPr>
        <w:spacing w:after="0" w:line="30" w:lineRule="exact"/>
        <w:rPr>
          <w:rFonts w:ascii="Arial" w:cs="Arial" w:eastAsia="Arial" w:hAnsi="Arial"/>
          <w:sz w:val="16"/>
          <w:szCs w:val="16"/>
          <w:color w:val="auto"/>
        </w:rPr>
      </w:pPr>
    </w:p>
    <w:p>
      <w:pPr>
        <w:ind w:left="-8" w:right="40" w:firstLine="464"/>
        <w:spacing w:after="0" w:line="286" w:lineRule="auto"/>
        <w:tabs>
          <w:tab w:leader="none" w:pos="888" w:val="left"/>
        </w:tabs>
        <w:numPr>
          <w:ilvl w:val="1"/>
          <w:numId w:val="15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studies and clinical trials being conducted or sponsored by the Company, and,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knowledge of the Company, other studies (collectively, “</w:t>
      </w:r>
      <w:r>
        <w:rPr>
          <w:rFonts w:ascii="Arial" w:cs="Arial" w:eastAsia="Arial" w:hAnsi="Arial"/>
          <w:sz w:val="16"/>
          <w:szCs w:val="16"/>
          <w:b w:val="1"/>
          <w:bCs w:val="1"/>
          <w:color w:val="auto"/>
        </w:rPr>
        <w:t>studies</w:t>
      </w:r>
      <w:r>
        <w:rPr>
          <w:rFonts w:ascii="Arial" w:cs="Arial" w:eastAsia="Arial" w:hAnsi="Arial"/>
          <w:sz w:val="16"/>
          <w:szCs w:val="16"/>
          <w:color w:val="auto"/>
        </w:rPr>
        <w:t>”) that are 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as of the date hereof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 required for the conduct of the studies by the Israeli Ministry of Health, the Food and Drug Administration of the U.S. Department of Health and Human Services or any committee thereof or from any other U.S., Israeli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except where the failure to make such filing or obtain such approval would not reasonably be expected, individually or in the aggregate, to result in a Material Adverse Effect; neither the Company nor any of its subsidiaries has received any notice of, or correspondence from, any Regulatory Agency requiring, and, to the knowledge of the Company, no Regulatory Agency has threatened to initiate, the termination, suspension or modification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pacing w:after="0" w:line="60" w:lineRule="exact"/>
        <w:rPr>
          <w:rFonts w:ascii="Arial" w:cs="Arial" w:eastAsia="Arial" w:hAnsi="Arial"/>
          <w:sz w:val="16"/>
          <w:szCs w:val="16"/>
          <w:b w:val="1"/>
          <w:bCs w:val="1"/>
          <w:color w:val="auto"/>
        </w:rPr>
      </w:pPr>
    </w:p>
    <w:p>
      <w:pPr>
        <w:ind w:left="-8" w:firstLine="464"/>
        <w:spacing w:after="0" w:line="257" w:lineRule="auto"/>
        <w:tabs>
          <w:tab w:leader="none" w:pos="868"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Contract Terminations. </w:t>
      </w:r>
      <w:r>
        <w:rPr>
          <w:rFonts w:ascii="Arial" w:cs="Arial" w:eastAsia="Arial" w:hAnsi="Arial"/>
          <w:sz w:val="18"/>
          <w:szCs w:val="18"/>
          <w:color w:val="auto"/>
        </w:rPr>
        <w:t>Neither the Company nor any of its subsidiaries has sent or received any communication regarding termination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74" w:right="239" w:bottom="1440" w:gutter="0" w:footer="0" w:header="0"/>
        </w:sectPr>
      </w:pPr>
    </w:p>
    <w:bookmarkStart w:id="223" w:name="page224"/>
    <w:bookmarkEnd w:id="223"/>
    <w:p>
      <w:pPr>
        <w:ind w:right="800" w:firstLine="464"/>
        <w:spacing w:after="0" w:line="308" w:lineRule="auto"/>
        <w:tabs>
          <w:tab w:leader="none" w:pos="956"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Israeli Law. </w:t>
      </w:r>
      <w:r>
        <w:rPr>
          <w:rFonts w:ascii="Arial" w:cs="Arial" w:eastAsia="Arial" w:hAnsi="Arial"/>
          <w:sz w:val="17"/>
          <w:szCs w:val="17"/>
          <w:color w:val="auto"/>
        </w:rPr>
        <w:t>All corporate approvals on the part of the Company, including under Chapter 5 of Part VI of the Israeli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Law 5759-1999, for the offer or sale of Offered Shares and the transactions contemplated hereby have been obtained.</w:t>
      </w:r>
    </w:p>
    <w:p>
      <w:pPr>
        <w:spacing w:after="0" w:line="34" w:lineRule="exact"/>
        <w:rPr>
          <w:rFonts w:ascii="Arial" w:cs="Arial" w:eastAsia="Arial" w:hAnsi="Arial"/>
          <w:sz w:val="17"/>
          <w:szCs w:val="17"/>
          <w:b w:val="1"/>
          <w:bCs w:val="1"/>
          <w:color w:val="auto"/>
        </w:rPr>
      </w:pPr>
    </w:p>
    <w:p>
      <w:pPr>
        <w:ind w:firstLine="464"/>
        <w:spacing w:after="0" w:line="261" w:lineRule="auto"/>
        <w:tabs>
          <w:tab w:leader="none" w:pos="936"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subsidiary of the Company is prohibited or restricted, directly or indirectly, from paying dividends to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20"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color w:val="auto"/>
        </w:rPr>
        <w:t>Purchase, Sale and Delivery of the Offered Shares.</w:t>
      </w:r>
    </w:p>
    <w:p>
      <w:pPr>
        <w:spacing w:after="0" w:line="225" w:lineRule="exact"/>
        <w:rPr>
          <w:sz w:val="20"/>
          <w:szCs w:val="20"/>
          <w:color w:val="auto"/>
        </w:rPr>
      </w:pPr>
    </w:p>
    <w:p>
      <w:pPr>
        <w:ind w:right="20" w:firstLine="464"/>
        <w:spacing w:after="0" w:line="281" w:lineRule="auto"/>
        <w:tabs>
          <w:tab w:leader="none" w:pos="846"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Firm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herein set forth, the Company agrees to issue and sell to the several Underwriters an aggregate of [●] Firm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The purchase price per Firm Share to be paid by the several Underwriters to the Company shall be $[●] per share.</w:t>
      </w:r>
    </w:p>
    <w:p>
      <w:pPr>
        <w:spacing w:after="0" w:line="164" w:lineRule="exact"/>
        <w:rPr>
          <w:rFonts w:ascii="Arial" w:cs="Arial" w:eastAsia="Arial" w:hAnsi="Arial"/>
          <w:sz w:val="17"/>
          <w:szCs w:val="17"/>
          <w:b w:val="1"/>
          <w:bCs w:val="1"/>
          <w:color w:val="auto"/>
        </w:rPr>
      </w:pPr>
    </w:p>
    <w:p>
      <w:pPr>
        <w:ind w:right="60" w:firstLine="464"/>
        <w:spacing w:after="0" w:line="292" w:lineRule="auto"/>
        <w:tabs>
          <w:tab w:leader="none" w:pos="856"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First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the book-entry positions for the Firm Shares to be purchased by the Underwriters and payment therefor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made at the offices of Covington &amp; Burling LLP (or such other place as may be agreed to by the Company and the Representatives) at [9:00] a.m. New York City time, on [●], 2018</w:t>
      </w:r>
      <w:r>
        <w:rPr>
          <w:rFonts w:ascii="Arial" w:cs="Arial" w:eastAsia="Arial" w:hAnsi="Arial"/>
          <w:sz w:val="16"/>
          <w:szCs w:val="16"/>
          <w:b w:val="1"/>
          <w:bCs w:val="1"/>
          <w:color w:val="auto"/>
        </w:rPr>
        <w:t>,</w:t>
      </w:r>
      <w:r>
        <w:rPr>
          <w:rFonts w:ascii="Arial" w:cs="Arial" w:eastAsia="Arial" w:hAnsi="Arial"/>
          <w:sz w:val="16"/>
          <w:szCs w:val="16"/>
          <w:color w:val="auto"/>
        </w:rPr>
        <w:t xml:space="preserve"> or such other time and date not later than 1:30 p.m. New York City time, on [the date that is 10 business days following the initial contemplated closing date] as the Representatives shall designate by notice to the Company (the time and date of such closing are called the “</w:t>
      </w:r>
      <w:r>
        <w:rPr>
          <w:rFonts w:ascii="Arial" w:cs="Arial" w:eastAsia="Arial" w:hAnsi="Arial"/>
          <w:sz w:val="16"/>
          <w:szCs w:val="16"/>
          <w:b w:val="1"/>
          <w:b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hereby acknowledges that circumstances under which the Representatives may provide notice to postpone the First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61" w:lineRule="exact"/>
        <w:rPr>
          <w:rFonts w:ascii="Arial" w:cs="Arial" w:eastAsia="Arial" w:hAnsi="Arial"/>
          <w:sz w:val="16"/>
          <w:szCs w:val="16"/>
          <w:b w:val="1"/>
          <w:bCs w:val="1"/>
          <w:color w:val="auto"/>
        </w:rPr>
      </w:pPr>
    </w:p>
    <w:p>
      <w:pPr>
        <w:ind w:right="120" w:firstLine="464"/>
        <w:spacing w:after="0" w:line="277" w:lineRule="auto"/>
        <w:tabs>
          <w:tab w:leader="none" w:pos="836"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Optional Shares; Option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on the basis of the representations, warranties and agreements herein contained,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less an amount per share equal to any dividend or distribution declared by the Company and payable on the Firm Shares but not payable on the Optional Shares. The option granted hereunder may be exercised at any time and from time to time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24" w:name="page225"/>
    <w:bookmarkEnd w:id="224"/>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for the electronic settlement for the Optional Shares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the book-entry positions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165" w:lineRule="exact"/>
        <w:rPr>
          <w:sz w:val="20"/>
          <w:szCs w:val="20"/>
          <w:color w:val="auto"/>
        </w:rPr>
      </w:pPr>
    </w:p>
    <w:p>
      <w:pPr>
        <w:ind w:right="180" w:firstLine="464"/>
        <w:spacing w:after="0" w:line="261" w:lineRule="auto"/>
        <w:tabs>
          <w:tab w:leader="none" w:pos="856"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180" w:lineRule="exact"/>
        <w:rPr>
          <w:rFonts w:ascii="Arial" w:cs="Arial" w:eastAsia="Arial" w:hAnsi="Arial"/>
          <w:sz w:val="18"/>
          <w:szCs w:val="18"/>
          <w:b w:val="1"/>
          <w:bCs w:val="1"/>
          <w:color w:val="auto"/>
        </w:rPr>
      </w:pPr>
    </w:p>
    <w:p>
      <w:pPr>
        <w:ind w:right="300" w:firstLine="464"/>
        <w:spacing w:after="0" w:line="282" w:lineRule="auto"/>
        <w:tabs>
          <w:tab w:leader="none" w:pos="836"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Company.</w:t>
      </w:r>
    </w:p>
    <w:p>
      <w:pPr>
        <w:spacing w:after="0" w:line="165" w:lineRule="exact"/>
        <w:rPr>
          <w:rFonts w:ascii="Arial" w:cs="Arial" w:eastAsia="Arial" w:hAnsi="Arial"/>
          <w:sz w:val="18"/>
          <w:szCs w:val="18"/>
          <w:b w:val="1"/>
          <w:bCs w:val="1"/>
          <w:color w:val="auto"/>
        </w:rPr>
      </w:pPr>
    </w:p>
    <w:p>
      <w:pPr>
        <w:ind w:firstLine="921"/>
        <w:spacing w:after="0" w:line="255" w:lineRule="auto"/>
        <w:tabs>
          <w:tab w:leader="none" w:pos="131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Cowen,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9" w:lineRule="exact"/>
        <w:rPr>
          <w:rFonts w:ascii="Arial" w:cs="Arial" w:eastAsia="Arial" w:hAnsi="Arial"/>
          <w:sz w:val="18"/>
          <w:szCs w:val="18"/>
          <w:color w:val="auto"/>
        </w:rPr>
      </w:pPr>
    </w:p>
    <w:p>
      <w:pPr>
        <w:ind w:left="820" w:hanging="356"/>
        <w:spacing w:after="0"/>
        <w:tabs>
          <w:tab w:leader="none" w:pos="82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through the facilities of The Depository Trust Company</w:t>
      </w:r>
    </w:p>
    <w:p>
      <w:pPr>
        <w:spacing w:after="0" w:line="5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DTC</w:t>
      </w:r>
      <w:r>
        <w:rPr>
          <w:rFonts w:ascii="Arial" w:cs="Arial" w:eastAsia="Arial" w:hAnsi="Arial"/>
          <w:sz w:val="17"/>
          <w:szCs w:val="17"/>
          <w:color w:val="auto"/>
        </w:rPr>
        <w:t>”) unless the Representatives shall otherwise instruct, to the Representatives for the accounts of the several Underwriters the Firm Shares to be sold by them at the First Closing Date, against release of a wire transfer of immediately available funds for the amount of the purchase price therefor. The Company shall also deliver, or cause to be delivered, through the facilities of DTC unless the Representatives shall otherwise instruct, to the Representatives for the accounts of the several Underwriters, the Optional Shares the Underwriters have agreed to purchase from them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5" w:name="page226"/>
    <w:bookmarkEnd w:id="225"/>
    <w:p>
      <w:pPr>
        <w:ind w:left="880"/>
        <w:spacing w:after="0"/>
        <w:tabs>
          <w:tab w:leader="none" w:pos="1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r>
        <w:rPr>
          <w:sz w:val="20"/>
          <w:szCs w:val="20"/>
          <w:color w:val="auto"/>
        </w:rPr>
        <w:tab/>
      </w:r>
      <w:r>
        <w:rPr>
          <w:rFonts w:ascii="Arial" w:cs="Arial" w:eastAsia="Arial" w:hAnsi="Arial"/>
          <w:sz w:val="16"/>
          <w:szCs w:val="16"/>
          <w:color w:val="auto"/>
        </w:rPr>
        <w:t>Additional Covenants of the Company. The Company further covenants and agrees with each Underwriter as follows:</w:t>
      </w:r>
    </w:p>
    <w:p>
      <w:pPr>
        <w:spacing w:after="0" w:line="121" w:lineRule="exact"/>
        <w:rPr>
          <w:sz w:val="20"/>
          <w:szCs w:val="20"/>
          <w:color w:val="auto"/>
        </w:rPr>
      </w:pPr>
    </w:p>
    <w:p>
      <w:pPr>
        <w:ind w:left="-40" w:right="80" w:firstLine="464"/>
        <w:spacing w:after="0" w:line="276" w:lineRule="auto"/>
        <w:tabs>
          <w:tab w:leader="none" w:pos="806"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second business day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64" w:lineRule="exact"/>
        <w:rPr>
          <w:rFonts w:ascii="Arial" w:cs="Arial" w:eastAsia="Arial" w:hAnsi="Arial"/>
          <w:sz w:val="17"/>
          <w:szCs w:val="17"/>
          <w:b w:val="1"/>
          <w:bCs w:val="1"/>
          <w:color w:val="auto"/>
        </w:rPr>
      </w:pPr>
    </w:p>
    <w:p>
      <w:pPr>
        <w:ind w:left="-40" w:right="100" w:firstLine="464"/>
        <w:spacing w:after="0" w:line="270" w:lineRule="auto"/>
        <w:tabs>
          <w:tab w:leader="none" w:pos="816"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Shares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69" w:lineRule="exact"/>
        <w:rPr>
          <w:rFonts w:ascii="Arial" w:cs="Arial" w:eastAsia="Arial" w:hAnsi="Arial"/>
          <w:sz w:val="17"/>
          <w:szCs w:val="17"/>
          <w:b w:val="1"/>
          <w:bCs w:val="1"/>
          <w:color w:val="auto"/>
        </w:rPr>
      </w:pPr>
    </w:p>
    <w:p>
      <w:pPr>
        <w:ind w:left="-40" w:firstLine="464"/>
        <w:spacing w:after="0" w:line="285" w:lineRule="auto"/>
        <w:tabs>
          <w:tab w:leader="none" w:pos="796"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 proposed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80" w:top="270" w:right="279" w:bottom="1440" w:gutter="0" w:footer="0" w:header="0"/>
        </w:sectPr>
      </w:pPr>
    </w:p>
    <w:bookmarkStart w:id="226" w:name="page227"/>
    <w:bookmarkEnd w:id="226"/>
    <w:p>
      <w:pPr>
        <w:ind w:right="220" w:firstLine="464"/>
        <w:spacing w:after="0" w:line="264" w:lineRule="auto"/>
        <w:tabs>
          <w:tab w:leader="none" w:pos="856"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73" w:lineRule="exact"/>
        <w:rPr>
          <w:rFonts w:ascii="Arial" w:cs="Arial" w:eastAsia="Arial" w:hAnsi="Arial"/>
          <w:sz w:val="18"/>
          <w:szCs w:val="18"/>
          <w:b w:val="1"/>
          <w:bCs w:val="1"/>
          <w:color w:val="auto"/>
        </w:rPr>
      </w:pPr>
    </w:p>
    <w:p>
      <w:pPr>
        <w:ind w:right="40" w:firstLine="464"/>
        <w:spacing w:after="0" w:line="269" w:lineRule="auto"/>
        <w:tabs>
          <w:tab w:leader="none" w:pos="836" w:val="left"/>
        </w:tabs>
        <w:numPr>
          <w:ilvl w:val="1"/>
          <w:numId w:val="1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67" w:lineRule="exact"/>
        <w:rPr>
          <w:rFonts w:ascii="Arial" w:cs="Arial" w:eastAsia="Arial" w:hAnsi="Arial"/>
          <w:sz w:val="17"/>
          <w:szCs w:val="17"/>
          <w:b w:val="1"/>
          <w:bCs w:val="1"/>
          <w:color w:val="auto"/>
        </w:rPr>
      </w:pPr>
    </w:p>
    <w:p>
      <w:pPr>
        <w:ind w:left="820" w:hanging="356"/>
        <w:spacing w:after="0"/>
        <w:tabs>
          <w:tab w:leader="none" w:pos="820" w:val="left"/>
        </w:tabs>
        <w:numPr>
          <w:ilvl w:val="1"/>
          <w:numId w:val="1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 writing</w:t>
      </w:r>
    </w:p>
    <w:p>
      <w:pPr>
        <w:spacing w:after="0" w:line="50" w:lineRule="exact"/>
        <w:rPr>
          <w:rFonts w:ascii="Arial" w:cs="Arial" w:eastAsia="Arial" w:hAnsi="Arial"/>
          <w:sz w:val="16"/>
          <w:szCs w:val="16"/>
          <w:b w:val="1"/>
          <w:bCs w:val="1"/>
          <w:color w:val="auto"/>
        </w:rPr>
      </w:pPr>
    </w:p>
    <w:p>
      <w:pPr>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w:t>
      </w:r>
    </w:p>
    <w:p>
      <w:pPr>
        <w:spacing w:after="0" w:line="2" w:lineRule="exact"/>
        <w:rPr>
          <w:rFonts w:ascii="Arial" w:cs="Arial" w:eastAsia="Arial" w:hAnsi="Arial"/>
          <w:sz w:val="16"/>
          <w:szCs w:val="16"/>
          <w:b w:val="1"/>
          <w:bCs w:val="1"/>
          <w:color w:val="auto"/>
        </w:rPr>
      </w:pPr>
    </w:p>
    <w:p>
      <w:pPr>
        <w:ind w:right="40" w:firstLine="8"/>
        <w:spacing w:after="0" w:line="268" w:lineRule="auto"/>
        <w:tabs>
          <w:tab w:leader="none" w:pos="30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Offered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76" w:lineRule="exact"/>
        <w:rPr>
          <w:rFonts w:ascii="Arial" w:cs="Arial" w:eastAsia="Arial" w:hAnsi="Arial"/>
          <w:sz w:val="17"/>
          <w:szCs w:val="17"/>
          <w:color w:val="auto"/>
        </w:rPr>
      </w:pPr>
    </w:p>
    <w:p>
      <w:pPr>
        <w:ind w:right="200" w:firstLine="464"/>
        <w:spacing w:after="0" w:line="259" w:lineRule="auto"/>
        <w:tabs>
          <w:tab w:leader="none" w:pos="846"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Amendments and Supplements to the Prospectus and Other Securities Act Matters. </w:t>
      </w:r>
      <w:r>
        <w:rPr>
          <w:rFonts w:ascii="Arial" w:cs="Arial" w:eastAsia="Arial" w:hAnsi="Arial"/>
          <w:sz w:val="18"/>
          <w:szCs w:val="18"/>
          <w:color w:val="auto"/>
        </w:rPr>
        <w:t>If any event shall occur or condition exist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27" w:name="page228"/>
    <w:bookmarkEnd w:id="227"/>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67" w:lineRule="exact"/>
        <w:rPr>
          <w:sz w:val="20"/>
          <w:szCs w:val="20"/>
          <w:color w:val="auto"/>
        </w:rPr>
      </w:pPr>
    </w:p>
    <w:p>
      <w:pPr>
        <w:ind w:right="60" w:firstLine="464"/>
        <w:spacing w:after="0" w:line="271" w:lineRule="auto"/>
        <w:tabs>
          <w:tab w:leader="none" w:pos="856"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for sale under (or obtain exemptions from the application of) the state securities or blue sky laws or Canadian provincial securities laws (or other foreign laws) of those jurisdictions reasonably requested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66" w:lineRule="exact"/>
        <w:rPr>
          <w:rFonts w:ascii="Arial" w:cs="Arial" w:eastAsia="Arial" w:hAnsi="Arial"/>
          <w:sz w:val="17"/>
          <w:szCs w:val="17"/>
          <w:b w:val="1"/>
          <w:bCs w:val="1"/>
          <w:color w:val="auto"/>
        </w:rPr>
      </w:pPr>
    </w:p>
    <w:p>
      <w:pPr>
        <w:ind w:right="480" w:firstLine="464"/>
        <w:spacing w:after="0" w:line="282" w:lineRule="auto"/>
        <w:tabs>
          <w:tab w:leader="none" w:pos="806"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caption “Use of Proceeds” in the Registration Statement, the Time of Sale Prospectus and the Prospectus.</w:t>
      </w:r>
    </w:p>
    <w:p>
      <w:pPr>
        <w:spacing w:after="0" w:line="53" w:lineRule="exact"/>
        <w:rPr>
          <w:rFonts w:ascii="Arial" w:cs="Arial" w:eastAsia="Arial" w:hAnsi="Arial"/>
          <w:sz w:val="18"/>
          <w:szCs w:val="18"/>
          <w:b w:val="1"/>
          <w:bCs w:val="1"/>
          <w:color w:val="auto"/>
        </w:rPr>
      </w:pPr>
    </w:p>
    <w:p>
      <w:pPr>
        <w:ind w:right="480" w:firstLine="464"/>
        <w:spacing w:after="0" w:line="261" w:lineRule="auto"/>
        <w:tabs>
          <w:tab w:leader="none" w:pos="816"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(12) months beginning with the first fiscal quarter of the Company commencing after the date of this Agreement that will satisfy the provisions of Section 11(a) of the Securities Act and the rules and regulations of the Commission thereunder.</w:t>
      </w:r>
    </w:p>
    <w:p>
      <w:pPr>
        <w:spacing w:after="0" w:line="71" w:lineRule="exact"/>
        <w:rPr>
          <w:rFonts w:ascii="Arial" w:cs="Arial" w:eastAsia="Arial" w:hAnsi="Arial"/>
          <w:sz w:val="18"/>
          <w:szCs w:val="18"/>
          <w:b w:val="1"/>
          <w:bCs w:val="1"/>
          <w:color w:val="auto"/>
        </w:rPr>
      </w:pPr>
    </w:p>
    <w:p>
      <w:pPr>
        <w:ind w:right="40" w:firstLine="464"/>
        <w:spacing w:after="0" w:line="277" w:lineRule="auto"/>
        <w:tabs>
          <w:tab w:leader="none" w:pos="856"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Continued Compliance with Securities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comply with the Securities Act and the Exchange Act so as to permit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distribution of the Offered Shares as contemplated by this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64" w:lineRule="exact"/>
        <w:rPr>
          <w:rFonts w:ascii="Arial" w:cs="Arial" w:eastAsia="Arial" w:hAnsi="Arial"/>
          <w:sz w:val="17"/>
          <w:szCs w:val="17"/>
          <w:b w:val="1"/>
          <w:bCs w:val="1"/>
          <w:color w:val="auto"/>
        </w:rPr>
      </w:pPr>
    </w:p>
    <w:p>
      <w:pPr>
        <w:ind w:firstLine="464"/>
        <w:spacing w:after="0" w:line="259" w:lineRule="auto"/>
        <w:tabs>
          <w:tab w:leader="none" w:pos="806"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Israeli Securities Laws. </w:t>
      </w:r>
      <w:r>
        <w:rPr>
          <w:rFonts w:ascii="Arial" w:cs="Arial" w:eastAsia="Arial" w:hAnsi="Arial"/>
          <w:sz w:val="18"/>
          <w:szCs w:val="18"/>
          <w:color w:val="auto"/>
        </w:rPr>
        <w:t>The Company acknowledges, understands and agrees that the Offered Shares may be offered and sold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Israel only by the Underwriters and only to such Israeli investors listed in the First Addendum to the Israeli Securities Law (the “</w:t>
      </w:r>
      <w:r>
        <w:rPr>
          <w:rFonts w:ascii="Arial" w:cs="Arial" w:eastAsia="Arial" w:hAnsi="Arial"/>
          <w:sz w:val="18"/>
          <w:szCs w:val="18"/>
          <w:b w:val="1"/>
          <w:bCs w:val="1"/>
          <w:color w:val="auto"/>
        </w:rPr>
        <w:t>Addendum</w:t>
      </w:r>
      <w:r>
        <w:rPr>
          <w:rFonts w:ascii="Arial" w:cs="Arial" w:eastAsia="Arial" w:hAnsi="Arial"/>
          <w:sz w:val="18"/>
          <w:szCs w:val="18"/>
          <w:color w:val="auto"/>
        </w:rPr>
        <w:t>”) and who submit written confirmation to the Underwriters and the Company that such investor (A) falls within the scope of the Addendum, is aware of the meaning of same and agrees to it and (B) is acquiring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8" w:name="page229"/>
    <w:bookmarkEnd w:id="228"/>
    <w:p>
      <w:pPr>
        <w:jc w:val="both"/>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Offered Shares for investment for its own account or, if applicable, for investment for clients who are investors listed in the Addendum and in any event not as a nominee, market maker or agent and not with a view to, or for the resale in connection with, any distribution thereof (“</w:t>
      </w:r>
      <w:r>
        <w:rPr>
          <w:rFonts w:ascii="Arial" w:cs="Arial" w:eastAsia="Arial" w:hAnsi="Arial"/>
          <w:sz w:val="16"/>
          <w:szCs w:val="16"/>
          <w:b w:val="1"/>
          <w:bCs w:val="1"/>
          <w:color w:val="auto"/>
        </w:rPr>
        <w:t>Israeli Accredited Investors</w:t>
      </w:r>
      <w:r>
        <w:rPr>
          <w:rFonts w:ascii="Arial" w:cs="Arial" w:eastAsia="Arial" w:hAnsi="Arial"/>
          <w:sz w:val="16"/>
          <w:szCs w:val="16"/>
          <w:color w:val="auto"/>
        </w:rPr>
        <w:t>”).</w:t>
      </w:r>
    </w:p>
    <w:p>
      <w:pPr>
        <w:spacing w:after="0" w:line="16" w:lineRule="exact"/>
        <w:rPr>
          <w:sz w:val="20"/>
          <w:szCs w:val="20"/>
          <w:color w:val="auto"/>
        </w:rPr>
      </w:pPr>
    </w:p>
    <w:p>
      <w:pPr>
        <w:ind w:left="920" w:hanging="456"/>
        <w:spacing w:after="0"/>
        <w:tabs>
          <w:tab w:leader="none" w:pos="92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[Intentionally Omitted.]</w:t>
      </w:r>
    </w:p>
    <w:p>
      <w:pPr>
        <w:spacing w:after="0" w:line="113" w:lineRule="exact"/>
        <w:rPr>
          <w:rFonts w:ascii="Arial" w:cs="Arial" w:eastAsia="Arial" w:hAnsi="Arial"/>
          <w:sz w:val="18"/>
          <w:szCs w:val="18"/>
          <w:b w:val="1"/>
          <w:bCs w:val="1"/>
          <w:color w:val="auto"/>
        </w:rPr>
      </w:pPr>
    </w:p>
    <w:p>
      <w:pPr>
        <w:ind w:left="860" w:hanging="396"/>
        <w:spacing w:after="0"/>
        <w:tabs>
          <w:tab w:leader="none" w:pos="8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reasonable best efforts to list, subject to notice of issuance, the Offered Shares on Nasdaq.</w:t>
      </w:r>
    </w:p>
    <w:p>
      <w:pPr>
        <w:spacing w:after="0" w:line="117" w:lineRule="exact"/>
        <w:rPr>
          <w:rFonts w:ascii="Arial" w:cs="Arial" w:eastAsia="Arial" w:hAnsi="Arial"/>
          <w:sz w:val="18"/>
          <w:szCs w:val="18"/>
          <w:b w:val="1"/>
          <w:bCs w:val="1"/>
          <w:color w:val="auto"/>
        </w:rPr>
      </w:pPr>
    </w:p>
    <w:p>
      <w:pPr>
        <w:ind w:right="20" w:firstLine="464"/>
        <w:spacing w:after="0" w:line="287" w:lineRule="auto"/>
        <w:tabs>
          <w:tab w:leader="none" w:pos="846"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cause to be prepared and delivered, at its expense, within one business day from the effective date of this Agreement, to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56" w:lineRule="exact"/>
        <w:rPr>
          <w:rFonts w:ascii="Arial" w:cs="Arial" w:eastAsia="Arial" w:hAnsi="Arial"/>
          <w:sz w:val="16"/>
          <w:szCs w:val="16"/>
          <w:b w:val="1"/>
          <w:bCs w:val="1"/>
          <w:color w:val="auto"/>
        </w:rPr>
      </w:pPr>
    </w:p>
    <w:p>
      <w:pPr>
        <w:ind w:firstLine="464"/>
        <w:spacing w:after="0" w:line="286" w:lineRule="auto"/>
        <w:tabs>
          <w:tab w:leader="none" w:pos="856"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90th day following the date of the Prospectus (such period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without the prior written consent of Jefferies (which consent may be withheld in its sole discretion), directly or indirectly: (i) sell, offer to sell, contract to sell or lend any share capital of the Company, whether in the form of ordinary shares, preferred shares or otherwise (“</w:t>
      </w:r>
      <w:r>
        <w:rPr>
          <w:rFonts w:ascii="Arial" w:cs="Arial" w:eastAsia="Arial" w:hAnsi="Arial"/>
          <w:sz w:val="16"/>
          <w:szCs w:val="16"/>
          <w:b w:val="1"/>
          <w:bCs w:val="1"/>
          <w:color w:val="auto"/>
        </w:rPr>
        <w:t>Share Capital</w:t>
      </w:r>
      <w:r>
        <w:rPr>
          <w:rFonts w:ascii="Arial" w:cs="Arial" w:eastAsia="Arial" w:hAnsi="Arial"/>
          <w:sz w:val="16"/>
          <w:szCs w:val="16"/>
          <w:color w:val="auto"/>
        </w:rPr>
        <w:t xml:space="preserve">”)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 Capital or Related Securities; (iii) pledge, hypothecate or grant any security interest in any Share Capital or Related Securities; (iv) in any other way transfer or dispose of any Share Capital or Related Securities; (v) enter into any swap, hedge or similar arrangement or agreement that transfers, in whole or in part, the economic risk of ownership of any Share Capital or Related Securities, regardless of whether any such transaction is to be settled in securities, in cash or otherwise; (vi) announce the offering of any Share Capital or Related Securities; (vii) file any registration statement under the Securities Act in respect of any Share Capital or Related Securities (other than as contemplated by this Agreement with respect to the Offered Shares); or (viii) publicly announce the intention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 effect the transactions contemplated hereby, (B) issue Share Capital of the Company or options to purchase Share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or issue Share Capital of the Company upon exercise of warrants, options, pursuant to any share option, share bonus or other equity incentive or employee share purchase plan or arrangement described in the Registration Statement, the Time of Sale Prospectus and the Prospectus, (C) file a Registration Statement on Form S-8 relating to the Share Capital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9" w:name="page230"/>
    <w:bookmarkEnd w:id="2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or reserved for issuance under any share-based compensation plans of the Company described in the Registration Statement, the Time of Sale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Prospectus and the Prospectus, and (D) issue Share Capital or Related Securities (assuming the conversion, exercise or exchange thereof into Share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an aggregate amount not to exceed 5.0% of the Company’s outstanding Share Capital immediately following the completion of the offering of Offered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contemplated herein in connection with the acquisition by the Company of the securities, businesses, property or other assets of another person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entity or in connection with strategic partnering transactions; provided that, in the case of subclause (D), each recipient of such Share Capital or 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Securities shall have entered into a Lock-up Agreement with the Underwriters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For purposes of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evidencing Share Capital of the Company or other rights to acquire Share Capital of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securities exchangeable or exercisable for or convertible into Share Capital of the Company, or to acquire other securities or rights ultimately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exchangeable or exercisable for, or convertible into, Share Capital of the Company.</w:t>
      </w:r>
    </w:p>
    <w:p>
      <w:pPr>
        <w:spacing w:after="0" w:line="103" w:lineRule="exact"/>
        <w:rPr>
          <w:sz w:val="20"/>
          <w:szCs w:val="20"/>
          <w:color w:val="auto"/>
        </w:rPr>
      </w:pPr>
    </w:p>
    <w:p>
      <w:pPr>
        <w:ind w:right="20" w:firstLine="464"/>
        <w:spacing w:after="0" w:line="284" w:lineRule="auto"/>
        <w:tabs>
          <w:tab w:leader="none" w:pos="856" w:val="left"/>
        </w:tabs>
        <w:numPr>
          <w:ilvl w:val="1"/>
          <w:numId w:val="1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five years hereafter, the Company will furnish to the Representatives, c/o Jefferies,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520 Madison Avenue, New York, New York 10022, Attention: Global Head of Syndicate and c/o Cowen, at 599 Lexington Avenue, 27th Floor, New York, New York 10022, Attention: General Counsel: (i) 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Annual Report on Form 20-F, Report on Form 6-K or other report filed by the Company with the Commission or any securities exchange; and</w:t>
      </w:r>
    </w:p>
    <w:p>
      <w:pPr>
        <w:spacing w:after="0" w:line="4" w:lineRule="exact"/>
        <w:rPr>
          <w:rFonts w:ascii="Arial" w:cs="Arial" w:eastAsia="Arial" w:hAnsi="Arial"/>
          <w:sz w:val="16"/>
          <w:szCs w:val="16"/>
          <w:b w:val="1"/>
          <w:bCs w:val="1"/>
          <w:color w:val="auto"/>
        </w:rPr>
      </w:pPr>
    </w:p>
    <w:p>
      <w:pPr>
        <w:ind w:right="380" w:firstLine="8"/>
        <w:spacing w:after="0" w:line="255" w:lineRule="auto"/>
        <w:tabs>
          <w:tab w:leader="none" w:pos="31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as soon as available, copies of any report or communication of the Company furnished or made available generally to holders of its Ordinary Shares;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requirements of this Section 3(q) shall be satisfied to the extent that such reports, statements, communications,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other documents are available on EDGAR.</w:t>
      </w:r>
    </w:p>
    <w:p>
      <w:pPr>
        <w:spacing w:after="0" w:line="78" w:lineRule="exact"/>
        <w:rPr>
          <w:rFonts w:ascii="Arial" w:cs="Arial" w:eastAsia="Arial" w:hAnsi="Arial"/>
          <w:sz w:val="18"/>
          <w:szCs w:val="18"/>
          <w:color w:val="auto"/>
        </w:rPr>
      </w:pPr>
    </w:p>
    <w:p>
      <w:pPr>
        <w:ind w:right="100" w:firstLine="464"/>
        <w:spacing w:after="0" w:line="347" w:lineRule="auto"/>
        <w:tabs>
          <w:tab w:leader="none" w:pos="836" w:val="left"/>
        </w:tabs>
        <w:numPr>
          <w:ilvl w:val="1"/>
          <w:numId w:val="1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not invest or otherwise use the proceeds received by the Company from its sale of the Offered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such a manner as would require the Company or any of its subsidiaries to register as an investment company under the Investment Company Act.</w:t>
      </w:r>
    </w:p>
    <w:p>
      <w:pPr>
        <w:spacing w:after="0" w:line="8" w:lineRule="exact"/>
        <w:rPr>
          <w:rFonts w:ascii="Arial" w:cs="Arial" w:eastAsia="Arial" w:hAnsi="Arial"/>
          <w:sz w:val="16"/>
          <w:szCs w:val="16"/>
          <w:b w:val="1"/>
          <w:bCs w:val="1"/>
          <w:color w:val="auto"/>
        </w:rPr>
      </w:pPr>
    </w:p>
    <w:p>
      <w:pPr>
        <w:ind w:right="60" w:firstLine="464"/>
        <w:spacing w:after="0" w:line="273" w:lineRule="auto"/>
        <w:tabs>
          <w:tab w:leader="none" w:pos="826" w:val="left"/>
        </w:tabs>
        <w:numPr>
          <w:ilvl w:val="1"/>
          <w:numId w:val="1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not take, and will ensure that no controlled affiliate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will take, directly or indirectly, without giving effect to activities by the Representatives any action designed to or that might cause or result in stabilization or manipulation of the price of the Offered Shares or any reference security with respect to the Offered Shares, whether to facilitate the sale or resale of the Offered Shares or otherwise, and the Company will, and shall cause each of its controlled affiliates to, comply with all applicable provisions of Regulation M. In addition, the Company will not engage in any form of solicitation, advertising or other action constituting an offer or a sale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64" w:lineRule="exact"/>
        <w:rPr>
          <w:rFonts w:ascii="Arial" w:cs="Arial" w:eastAsia="Arial" w:hAnsi="Arial"/>
          <w:sz w:val="17"/>
          <w:szCs w:val="17"/>
          <w:b w:val="1"/>
          <w:bCs w:val="1"/>
          <w:color w:val="auto"/>
        </w:rPr>
      </w:pPr>
    </w:p>
    <w:p>
      <w:pPr>
        <w:ind w:right="60" w:firstLine="464"/>
        <w:spacing w:after="0" w:line="256" w:lineRule="auto"/>
        <w:tabs>
          <w:tab w:leader="none" w:pos="816"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use commercially reasonable efforts to enforce all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Company and any of its security holders that restrict or prohibit, expressly or in operation, the offer, sale or transfer of Ordinary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 holders pursuant to Section 6(k) 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0" w:name="page231"/>
    <w:bookmarkEnd w:id="230"/>
    <w:p>
      <w:pPr>
        <w:jc w:val="both"/>
        <w:ind w:right="120" w:firstLine="464"/>
        <w:spacing w:after="0" w:line="261" w:lineRule="auto"/>
        <w:tabs>
          <w:tab w:leader="none" w:pos="856"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75" w:lineRule="exact"/>
        <w:rPr>
          <w:rFonts w:ascii="Arial" w:cs="Arial" w:eastAsia="Arial" w:hAnsi="Arial"/>
          <w:sz w:val="18"/>
          <w:szCs w:val="18"/>
          <w:b w:val="1"/>
          <w:bCs w:val="1"/>
          <w:color w:val="auto"/>
        </w:rPr>
      </w:pPr>
    </w:p>
    <w:p>
      <w:pPr>
        <w:ind w:right="80" w:firstLine="464"/>
        <w:spacing w:after="0" w:line="308" w:lineRule="auto"/>
        <w:tabs>
          <w:tab w:leader="none" w:pos="846"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Indemnity</w:t>
      </w:r>
      <w:r>
        <w:rPr>
          <w:rFonts w:ascii="Arial" w:cs="Arial" w:eastAsia="Arial" w:hAnsi="Arial"/>
          <w:sz w:val="17"/>
          <w:szCs w:val="17"/>
          <w:color w:val="auto"/>
        </w:rPr>
        <w:t>. The Company will indemnify and hold harmless the Underwriters against any documentary, stamp or similar issue tax,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interest and penalties, on the creation, issue and sale of the Offered Shares and on the execution and delivery of this Agreement.</w:t>
      </w:r>
    </w:p>
    <w:p>
      <w:pPr>
        <w:spacing w:after="0" w:line="38" w:lineRule="exact"/>
        <w:rPr>
          <w:rFonts w:ascii="Arial" w:cs="Arial" w:eastAsia="Arial" w:hAnsi="Arial"/>
          <w:sz w:val="17"/>
          <w:szCs w:val="17"/>
          <w:b w:val="1"/>
          <w:bCs w:val="1"/>
          <w:color w:val="auto"/>
        </w:rPr>
      </w:pPr>
    </w:p>
    <w:p>
      <w:pPr>
        <w:ind w:right="400" w:firstLine="464"/>
        <w:spacing w:after="0" w:line="277" w:lineRule="auto"/>
        <w:tabs>
          <w:tab w:leader="none" w:pos="886"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The Company agrees to maintain a transfer agent and, if necessary under the jurisdiction of organization of the Company,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registrar for the Ordinary Shares.</w:t>
      </w:r>
    </w:p>
    <w:p>
      <w:pPr>
        <w:spacing w:after="0" w:line="62" w:lineRule="exact"/>
        <w:rPr>
          <w:rFonts w:ascii="Arial" w:cs="Arial" w:eastAsia="Arial" w:hAnsi="Arial"/>
          <w:sz w:val="18"/>
          <w:szCs w:val="18"/>
          <w:b w:val="1"/>
          <w:bCs w:val="1"/>
          <w:color w:val="auto"/>
        </w:rPr>
      </w:pPr>
    </w:p>
    <w:p>
      <w:pPr>
        <w:ind w:left="860" w:hanging="396"/>
        <w:spacing w:after="0"/>
        <w:tabs>
          <w:tab w:leader="none" w:pos="86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Permitted Section 5(d) Communications. </w:t>
      </w:r>
      <w:r>
        <w:rPr>
          <w:rFonts w:ascii="Arial" w:cs="Arial" w:eastAsia="Arial" w:hAnsi="Arial"/>
          <w:sz w:val="17"/>
          <w:szCs w:val="17"/>
          <w:color w:val="auto"/>
        </w:rPr>
        <w:t>If at any time following the distribution of any Permitted</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upon the reasonable request of the Representatives, will promptly amend or supplement, at its own expense, such Permitted Section 5(d) Communication to eliminate or correct such untrue statement or omission.</w:t>
      </w:r>
    </w:p>
    <w:p>
      <w:pPr>
        <w:spacing w:after="0" w:line="83" w:lineRule="exact"/>
        <w:rPr>
          <w:sz w:val="20"/>
          <w:szCs w:val="20"/>
          <w:color w:val="auto"/>
        </w:rPr>
      </w:pPr>
    </w:p>
    <w:p>
      <w:pPr>
        <w:ind w:right="220" w:firstLine="464"/>
        <w:spacing w:after="0" w:line="259" w:lineRule="auto"/>
        <w:tabs>
          <w:tab w:leader="none" w:pos="846"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6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Section 4. Payment of Expenses</w:t>
      </w:r>
      <w:r>
        <w:rPr>
          <w:rFonts w:ascii="Arial" w:cs="Arial" w:eastAsia="Arial" w:hAnsi="Arial"/>
          <w:sz w:val="16"/>
          <w:szCs w:val="16"/>
          <w:color w:val="auto"/>
        </w:rPr>
        <w:t>. The Company agrees to pay all costs, fees and expenses incurred in connection with the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Ordinary Shares,</w:t>
      </w:r>
    </w:p>
    <w:p>
      <w:pPr>
        <w:spacing w:after="0" w:line="2" w:lineRule="exact"/>
        <w:rPr>
          <w:sz w:val="20"/>
          <w:szCs w:val="20"/>
          <w:color w:val="auto"/>
        </w:rPr>
      </w:pPr>
    </w:p>
    <w:p>
      <w:pPr>
        <w:ind w:right="20" w:firstLine="8"/>
        <w:spacing w:after="0" w:line="281" w:lineRule="auto"/>
        <w:tabs>
          <w:tab w:leader="none" w:pos="3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w:t>
      </w:r>
    </w:p>
    <w:p>
      <w:pPr>
        <w:spacing w:after="0" w:line="3" w:lineRule="exact"/>
        <w:rPr>
          <w:rFonts w:ascii="Arial" w:cs="Arial" w:eastAsia="Arial" w:hAnsi="Arial"/>
          <w:sz w:val="16"/>
          <w:szCs w:val="16"/>
          <w:color w:val="auto"/>
        </w:rPr>
      </w:pPr>
    </w:p>
    <w:p>
      <w:pPr>
        <w:ind w:right="320" w:firstLine="8"/>
        <w:spacing w:after="0" w:line="277" w:lineRule="auto"/>
        <w:tabs>
          <w:tab w:leader="none" w:pos="30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all filing fees, reasonable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sectPr>
      </w:pPr>
    </w:p>
    <w:bookmarkStart w:id="231" w:name="page232"/>
    <w:bookmarkEnd w:id="23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in an amount not to exceed $20,000 (including the fees and expenses in clause (vi) above and excluding all filing fees),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however, that the Underwriters shall be responsible for the payment of fifty percent (50%) of the cost of any aircraft and other transportation chartered in connection with the road show and (ix) the fees and expenses associated with the inclusion of the Offered Shares for listing on Nasdaq. Except as provided in this Section 4 or in Section 7, Section 9 or Section 10 hereof, the Underwriters shall pay their own expenses, including the fees and disbursements of their counsel and their own travel and lodging expenses.</w:t>
      </w:r>
    </w:p>
    <w:p>
      <w:pPr>
        <w:spacing w:after="0" w:line="171"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Covenant of the Underwriters.</w:t>
      </w:r>
    </w:p>
    <w:p>
      <w:pPr>
        <w:spacing w:after="0" w:line="229" w:lineRule="exact"/>
        <w:rPr>
          <w:sz w:val="20"/>
          <w:szCs w:val="20"/>
          <w:color w:val="auto"/>
        </w:rPr>
      </w:pPr>
    </w:p>
    <w:p>
      <w:pPr>
        <w:ind w:right="20" w:firstLine="464"/>
        <w:spacing w:after="0" w:line="264" w:lineRule="auto"/>
        <w:tabs>
          <w:tab w:leader="none" w:pos="846"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7" w:lineRule="exact"/>
        <w:rPr>
          <w:rFonts w:ascii="Arial" w:cs="Arial" w:eastAsia="Arial" w:hAnsi="Arial"/>
          <w:sz w:val="18"/>
          <w:szCs w:val="18"/>
          <w:b w:val="1"/>
          <w:bCs w:val="1"/>
          <w:color w:val="auto"/>
        </w:rPr>
      </w:pPr>
    </w:p>
    <w:p>
      <w:pPr>
        <w:ind w:right="420" w:firstLine="464"/>
        <w:spacing w:after="0" w:line="282" w:lineRule="auto"/>
        <w:tabs>
          <w:tab w:leader="none" w:pos="856"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Israeli Securities Laws. </w:t>
      </w:r>
      <w:r>
        <w:rPr>
          <w:rFonts w:ascii="Arial" w:cs="Arial" w:eastAsia="Arial" w:hAnsi="Arial"/>
          <w:sz w:val="18"/>
          <w:szCs w:val="18"/>
          <w:color w:val="auto"/>
        </w:rPr>
        <w:t>The Underwriters, severally and not jointly, acknowledge, understand and agree that the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be sold in Israel by the Underwriters only to Israeli Accredited Investors.</w:t>
      </w:r>
    </w:p>
    <w:p>
      <w:pPr>
        <w:spacing w:after="0" w:line="16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7"/>
          <w:szCs w:val="17"/>
          <w:b w:val="1"/>
          <w:bCs w:val="1"/>
          <w:color w:val="auto"/>
        </w:rPr>
        <w:t xml:space="preserve">Section 6. Conditions of the Obligations of the Underwriters. </w:t>
      </w:r>
      <w:r>
        <w:rPr>
          <w:rFonts w:ascii="Arial" w:cs="Arial" w:eastAsia="Arial" w:hAnsi="Arial"/>
          <w:sz w:val="17"/>
          <w:szCs w:val="17"/>
          <w:color w:val="auto"/>
        </w:rPr>
        <w:t>The respective obligations of the several Underwriters hereunder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60" w:lineRule="exact"/>
        <w:rPr>
          <w:sz w:val="20"/>
          <w:szCs w:val="20"/>
          <w:color w:val="auto"/>
        </w:rPr>
      </w:pPr>
    </w:p>
    <w:p>
      <w:pPr>
        <w:ind w:right="40" w:firstLine="464"/>
        <w:spacing w:after="0" w:line="256" w:lineRule="auto"/>
        <w:tabs>
          <w:tab w:leader="none" w:pos="846"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Representatives shall have received from Kesselman &amp; Kesselman, a member firm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PricewaterhouseCoopers International Limited,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83" w:lineRule="exact"/>
        <w:rPr>
          <w:rFonts w:ascii="Arial" w:cs="Arial" w:eastAsia="Arial" w:hAnsi="Arial"/>
          <w:sz w:val="18"/>
          <w:szCs w:val="18"/>
          <w:b w:val="1"/>
          <w:bCs w:val="1"/>
          <w:color w:val="auto"/>
        </w:rPr>
      </w:pPr>
    </w:p>
    <w:p>
      <w:pPr>
        <w:ind w:left="860" w:hanging="396"/>
        <w:spacing w:after="0"/>
        <w:tabs>
          <w:tab w:leader="none" w:pos="8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2" w:name="page233"/>
    <w:bookmarkEnd w:id="232"/>
    <w:p>
      <w:pPr>
        <w:ind w:left="-20" w:right="160" w:firstLine="921"/>
        <w:spacing w:after="0" w:line="277" w:lineRule="auto"/>
        <w:tabs>
          <w:tab w:leader="none" w:pos="12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have filed the Prospectus with the Commission (including the information required by Rule 430A under the Securities Act) in the manner and within the time period required by Rule 424(b) under the Securities Act.</w:t>
      </w:r>
    </w:p>
    <w:p>
      <w:pPr>
        <w:spacing w:after="0" w:line="62" w:lineRule="exact"/>
        <w:rPr>
          <w:rFonts w:ascii="Arial" w:cs="Arial" w:eastAsia="Arial" w:hAnsi="Arial"/>
          <w:sz w:val="18"/>
          <w:szCs w:val="18"/>
          <w:color w:val="auto"/>
        </w:rPr>
      </w:pPr>
    </w:p>
    <w:p>
      <w:pPr>
        <w:ind w:left="-20" w:right="280" w:firstLine="921"/>
        <w:spacing w:after="0" w:line="277" w:lineRule="auto"/>
        <w:tabs>
          <w:tab w:leader="none" w:pos="129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62" w:lineRule="exact"/>
        <w:rPr>
          <w:rFonts w:ascii="Arial" w:cs="Arial" w:eastAsia="Arial" w:hAnsi="Arial"/>
          <w:sz w:val="18"/>
          <w:szCs w:val="18"/>
          <w:color w:val="auto"/>
        </w:rPr>
      </w:pPr>
    </w:p>
    <w:p>
      <w:pPr>
        <w:ind w:left="1360" w:hanging="459"/>
        <w:spacing w:after="0"/>
        <w:tabs>
          <w:tab w:leader="none" w:pos="13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1" w:lineRule="exact"/>
        <w:rPr>
          <w:rFonts w:ascii="Arial" w:cs="Arial" w:eastAsia="Arial" w:hAnsi="Arial"/>
          <w:sz w:val="18"/>
          <w:szCs w:val="18"/>
          <w:color w:val="auto"/>
        </w:rPr>
      </w:pPr>
    </w:p>
    <w:p>
      <w:pPr>
        <w:ind w:left="-20" w:firstLine="464"/>
        <w:spacing w:after="0" w:line="313" w:lineRule="auto"/>
        <w:tabs>
          <w:tab w:leader="none" w:pos="816"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or Ratings Agency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period from and after the date of this Agreement and through and including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Closing Date and, with respect to any Optional Shares purchased after the First Closing Date, each Option Closing Date:</w:t>
      </w:r>
    </w:p>
    <w:p>
      <w:pPr>
        <w:spacing w:after="0" w:line="34" w:lineRule="exact"/>
        <w:rPr>
          <w:rFonts w:ascii="Arial" w:cs="Arial" w:eastAsia="Arial" w:hAnsi="Arial"/>
          <w:sz w:val="17"/>
          <w:szCs w:val="17"/>
          <w:b w:val="1"/>
          <w:bCs w:val="1"/>
          <w:color w:val="auto"/>
        </w:rPr>
      </w:pPr>
    </w:p>
    <w:p>
      <w:pPr>
        <w:ind w:left="1260" w:hanging="359"/>
        <w:spacing w:after="0"/>
        <w:tabs>
          <w:tab w:leader="none" w:pos="12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 and</w:t>
      </w:r>
    </w:p>
    <w:p>
      <w:pPr>
        <w:spacing w:after="0" w:line="117" w:lineRule="exact"/>
        <w:rPr>
          <w:rFonts w:ascii="Arial" w:cs="Arial" w:eastAsia="Arial" w:hAnsi="Arial"/>
          <w:sz w:val="18"/>
          <w:szCs w:val="18"/>
          <w:color w:val="auto"/>
        </w:rPr>
      </w:pPr>
    </w:p>
    <w:p>
      <w:pPr>
        <w:ind w:left="-20" w:right="260" w:firstLine="921"/>
        <w:spacing w:after="0" w:line="312" w:lineRule="auto"/>
        <w:tabs>
          <w:tab w:leader="none" w:pos="1293"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142" w:lineRule="exact"/>
        <w:rPr>
          <w:rFonts w:ascii="Arial" w:cs="Arial" w:eastAsia="Arial" w:hAnsi="Arial"/>
          <w:sz w:val="16"/>
          <w:szCs w:val="16"/>
          <w:color w:val="auto"/>
        </w:rPr>
      </w:pPr>
    </w:p>
    <w:p>
      <w:pPr>
        <w:ind w:left="-20" w:right="100" w:firstLine="464"/>
        <w:spacing w:after="0" w:line="347" w:lineRule="auto"/>
        <w:tabs>
          <w:tab w:leader="none" w:pos="836"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U.S. Counsel for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the opinion of Cooley LLP, U.S. counsel for the Company, dated as of such date, in form and substance reasonably satisfactory to the Underwriters.</w:t>
      </w:r>
    </w:p>
    <w:p>
      <w:pPr>
        <w:spacing w:after="0" w:line="116" w:lineRule="exact"/>
        <w:rPr>
          <w:rFonts w:ascii="Arial" w:cs="Arial" w:eastAsia="Arial" w:hAnsi="Arial"/>
          <w:sz w:val="16"/>
          <w:szCs w:val="16"/>
          <w:b w:val="1"/>
          <w:bCs w:val="1"/>
          <w:color w:val="auto"/>
        </w:rPr>
      </w:pPr>
    </w:p>
    <w:p>
      <w:pPr>
        <w:ind w:left="-20" w:right="100" w:firstLine="464"/>
        <w:spacing w:after="0" w:line="266" w:lineRule="auto"/>
        <w:tabs>
          <w:tab w:leader="none" w:pos="81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Israeli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Hamburger Evron &amp; Co., Israeli counsel for the Company, dated as of such date, in form and substance reasonably satisfactory to the Underwriters.</w:t>
      </w:r>
    </w:p>
    <w:p>
      <w:pPr>
        <w:spacing w:after="0" w:line="180" w:lineRule="exact"/>
        <w:rPr>
          <w:rFonts w:ascii="Arial" w:cs="Arial" w:eastAsia="Arial" w:hAnsi="Arial"/>
          <w:sz w:val="18"/>
          <w:szCs w:val="18"/>
          <w:b w:val="1"/>
          <w:bCs w:val="1"/>
          <w:color w:val="auto"/>
        </w:rPr>
      </w:pPr>
    </w:p>
    <w:p>
      <w:pPr>
        <w:ind w:left="-20" w:right="240" w:firstLine="464"/>
        <w:spacing w:after="0" w:line="264" w:lineRule="auto"/>
        <w:tabs>
          <w:tab w:leader="none" w:pos="79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IP Counsel for the Company.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Greenberg Traurig LLP, counsel for the Company with respect to intellectual property, dated as of such date, in form and substance reasonably satisfactory to the Underwriters.</w:t>
      </w:r>
    </w:p>
    <w:p>
      <w:pPr>
        <w:spacing w:after="0" w:line="177" w:lineRule="exact"/>
        <w:rPr>
          <w:rFonts w:ascii="Arial" w:cs="Arial" w:eastAsia="Arial" w:hAnsi="Arial"/>
          <w:sz w:val="18"/>
          <w:szCs w:val="18"/>
          <w:b w:val="1"/>
          <w:bCs w:val="1"/>
          <w:color w:val="auto"/>
        </w:rPr>
      </w:pPr>
    </w:p>
    <w:p>
      <w:pPr>
        <w:ind w:left="-20" w:right="100" w:firstLine="464"/>
        <w:spacing w:after="0" w:line="266" w:lineRule="auto"/>
        <w:tabs>
          <w:tab w:leader="none" w:pos="82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U.S.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Covington &amp; Burling LLP, U.S. counsel for the Underwriters in connection with the offer and sale of the Offered Shares, in form and substance satisfactory to the Underwriters, dated as of such date.</w:t>
      </w:r>
    </w:p>
    <w:p>
      <w:pPr>
        <w:spacing w:after="0" w:line="176" w:lineRule="exact"/>
        <w:rPr>
          <w:rFonts w:ascii="Arial" w:cs="Arial" w:eastAsia="Arial" w:hAnsi="Arial"/>
          <w:sz w:val="18"/>
          <w:szCs w:val="18"/>
          <w:b w:val="1"/>
          <w:bCs w:val="1"/>
          <w:color w:val="auto"/>
        </w:rPr>
      </w:pPr>
    </w:p>
    <w:p>
      <w:pPr>
        <w:ind w:left="-20" w:firstLine="464"/>
        <w:spacing w:after="0" w:line="266" w:lineRule="auto"/>
        <w:tabs>
          <w:tab w:leader="none" w:pos="83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Israeli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Gornitzky &amp; Co., Israeli counsel for the Underwriters in connection with the offer and sale of the Offered Shares, in form and substance satisfactory to the Underwriters, dated as of such date.</w:t>
      </w:r>
    </w:p>
    <w:p>
      <w:pPr>
        <w:spacing w:after="0" w:line="176" w:lineRule="exact"/>
        <w:rPr>
          <w:rFonts w:ascii="Arial" w:cs="Arial" w:eastAsia="Arial" w:hAnsi="Arial"/>
          <w:sz w:val="18"/>
          <w:szCs w:val="18"/>
          <w:b w:val="1"/>
          <w:bCs w:val="1"/>
          <w:color w:val="auto"/>
        </w:rPr>
      </w:pPr>
    </w:p>
    <w:p>
      <w:pPr>
        <w:ind w:left="-20" w:right="440" w:firstLine="464"/>
        <w:spacing w:after="0" w:line="266" w:lineRule="auto"/>
        <w:tabs>
          <w:tab w:leader="none" w:pos="78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of the Company and the Chief Financial Officer of the Company, dated as of such date, to the effect set forth in Section 6(b)(ii) and further to the effect that: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74" w:right="259" w:bottom="1440" w:gutter="0" w:footer="0" w:header="0"/>
        </w:sectPr>
      </w:pPr>
    </w:p>
    <w:bookmarkStart w:id="233" w:name="page234"/>
    <w:bookmarkEnd w:id="233"/>
    <w:p>
      <w:pPr>
        <w:ind w:left="920"/>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sz w:val="20"/>
          <w:szCs w:val="20"/>
          <w:color w:val="auto"/>
        </w:rPr>
        <w:tab/>
      </w:r>
      <w:r>
        <w:rPr>
          <w:rFonts w:ascii="Arial" w:cs="Arial" w:eastAsia="Arial" w:hAnsi="Arial"/>
          <w:sz w:val="16"/>
          <w:szCs w:val="16"/>
          <w:color w:val="auto"/>
        </w:rPr>
        <w:t>for the period from and including the date of this Agreement through and including such date, there has not occurred any Material Adverse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w:t>
      </w:r>
    </w:p>
    <w:p>
      <w:pPr>
        <w:spacing w:after="0" w:line="103" w:lineRule="exact"/>
        <w:rPr>
          <w:sz w:val="20"/>
          <w:szCs w:val="20"/>
          <w:color w:val="auto"/>
        </w:rPr>
      </w:pPr>
    </w:p>
    <w:p>
      <w:pPr>
        <w:ind w:right="180" w:firstLine="921"/>
        <w:spacing w:after="0" w:line="277" w:lineRule="auto"/>
        <w:tabs>
          <w:tab w:leader="none" w:pos="131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62" w:lineRule="exact"/>
        <w:rPr>
          <w:rFonts w:ascii="Arial" w:cs="Arial" w:eastAsia="Arial" w:hAnsi="Arial"/>
          <w:sz w:val="18"/>
          <w:szCs w:val="18"/>
          <w:color w:val="auto"/>
        </w:rPr>
      </w:pPr>
    </w:p>
    <w:p>
      <w:pPr>
        <w:ind w:right="480" w:firstLine="921"/>
        <w:spacing w:after="0" w:line="277" w:lineRule="auto"/>
        <w:tabs>
          <w:tab w:leader="none" w:pos="136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66" w:lineRule="exact"/>
        <w:rPr>
          <w:rFonts w:ascii="Arial" w:cs="Arial" w:eastAsia="Arial" w:hAnsi="Arial"/>
          <w:sz w:val="18"/>
          <w:szCs w:val="18"/>
          <w:color w:val="auto"/>
        </w:rPr>
      </w:pPr>
    </w:p>
    <w:p>
      <w:pPr>
        <w:ind w:right="80" w:firstLine="464"/>
        <w:spacing w:after="0" w:line="256" w:lineRule="auto"/>
        <w:tabs>
          <w:tab w:leader="none" w:pos="81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Bring-down 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Kesselman &amp; Kesselman, a member firm of PricewaterhouseCoopers International Limited,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91" w:lineRule="exact"/>
        <w:rPr>
          <w:rFonts w:ascii="Arial" w:cs="Arial" w:eastAsia="Arial" w:hAnsi="Arial"/>
          <w:sz w:val="18"/>
          <w:szCs w:val="18"/>
          <w:b w:val="1"/>
          <w:bCs w:val="1"/>
          <w:color w:val="auto"/>
        </w:rPr>
      </w:pPr>
    </w:p>
    <w:p>
      <w:pPr>
        <w:ind w:right="220" w:firstLine="464"/>
        <w:spacing w:after="0" w:line="264" w:lineRule="auto"/>
        <w:tabs>
          <w:tab w:leader="none" w:pos="85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of the persons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each such agreement shall be in full force and effect on each of the First Closing Date and each Option Closing Date.</w:t>
      </w:r>
    </w:p>
    <w:p>
      <w:pPr>
        <w:spacing w:after="0" w:line="181" w:lineRule="exact"/>
        <w:rPr>
          <w:rFonts w:ascii="Arial" w:cs="Arial" w:eastAsia="Arial" w:hAnsi="Arial"/>
          <w:sz w:val="18"/>
          <w:szCs w:val="18"/>
          <w:b w:val="1"/>
          <w:bCs w:val="1"/>
          <w:color w:val="auto"/>
        </w:rPr>
      </w:pPr>
    </w:p>
    <w:p>
      <w:pPr>
        <w:ind w:firstLine="464"/>
        <w:spacing w:after="0" w:line="264" w:lineRule="auto"/>
        <w:tabs>
          <w:tab w:leader="none" w:pos="80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 contemplated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this Agreement, such Rule 462(b) Registration Statement shall have been filed with the Commission on the date of this Agreement and shall have become effective automatically upon such filing.</w:t>
      </w:r>
    </w:p>
    <w:p>
      <w:pPr>
        <w:spacing w:after="0" w:line="181" w:lineRule="exact"/>
        <w:rPr>
          <w:rFonts w:ascii="Arial" w:cs="Arial" w:eastAsia="Arial" w:hAnsi="Arial"/>
          <w:sz w:val="18"/>
          <w:szCs w:val="18"/>
          <w:b w:val="1"/>
          <w:bCs w:val="1"/>
          <w:color w:val="auto"/>
        </w:rPr>
      </w:pPr>
    </w:p>
    <w:p>
      <w:pPr>
        <w:ind w:right="120" w:firstLine="464"/>
        <w:spacing w:after="0" w:line="273" w:lineRule="auto"/>
        <w:tabs>
          <w:tab w:leader="none" w:pos="90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67" w:lineRule="exact"/>
        <w:rPr>
          <w:sz w:val="20"/>
          <w:szCs w:val="20"/>
          <w:color w:val="auto"/>
        </w:rPr>
      </w:pPr>
    </w:p>
    <w:p>
      <w:pPr>
        <w:ind w:right="540" w:firstLine="913"/>
        <w:spacing w:after="0" w:line="282" w:lineRule="auto"/>
        <w:rPr>
          <w:sz w:val="20"/>
          <w:szCs w:val="20"/>
          <w:color w:val="auto"/>
        </w:rPr>
      </w:pPr>
      <w:r>
        <w:rPr>
          <w:rFonts w:ascii="Arial" w:cs="Arial" w:eastAsia="Arial" w:hAnsi="Arial"/>
          <w:sz w:val="18"/>
          <w:szCs w:val="18"/>
          <w:b w:val="1"/>
          <w:bCs w:val="1"/>
          <w:color w:val="auto"/>
        </w:rPr>
        <w:t xml:space="preserve">Section 7. Reimbursement of Underwriters’ Expenses. </w:t>
      </w:r>
      <w:r>
        <w:rPr>
          <w:rFonts w:ascii="Arial" w:cs="Arial" w:eastAsia="Arial" w:hAnsi="Arial"/>
          <w:sz w:val="18"/>
          <w:szCs w:val="18"/>
          <w:color w:val="auto"/>
        </w:rPr>
        <w:t>If this Agreement is terminated by the Representatives pursuant to 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or Section 12(i), (iv) or (v), or if the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234" w:name="page235"/>
    <w:bookmarkEnd w:id="23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documented and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89"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 xml:space="preserve">Effectiveness of this Agreement. </w:t>
      </w:r>
      <w:r>
        <w:rPr>
          <w:rFonts w:ascii="Arial" w:cs="Arial" w:eastAsia="Arial" w:hAnsi="Arial"/>
          <w:sz w:val="16"/>
          <w:szCs w:val="16"/>
          <w:color w:val="auto"/>
        </w:rPr>
        <w:t>This Agreement shall become effective upon the execution and delivery hereof by the parties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920"/>
        <w:spacing w:after="0"/>
        <w:tabs>
          <w:tab w:leader="none" w:pos="18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Indemnification.</w:t>
      </w:r>
    </w:p>
    <w:p>
      <w:pPr>
        <w:spacing w:after="0" w:line="225" w:lineRule="exact"/>
        <w:rPr>
          <w:sz w:val="20"/>
          <w:szCs w:val="20"/>
          <w:color w:val="auto"/>
        </w:rPr>
      </w:pPr>
    </w:p>
    <w:p>
      <w:pPr>
        <w:ind w:firstLine="464"/>
        <w:spacing w:after="0" w:line="285" w:lineRule="auto"/>
        <w:tabs>
          <w:tab w:leader="none" w:pos="846"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Section 15 of the Securities Act, Section 20 of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documented expenses that are reasonably incurred (including the counsel fees and disbursements reasonably incurred)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67" w:lineRule="exact"/>
        <w:rPr>
          <w:rFonts w:ascii="Arial" w:cs="Arial" w:eastAsia="Arial" w:hAnsi="Arial"/>
          <w:sz w:val="16"/>
          <w:szCs w:val="16"/>
          <w:b w:val="1"/>
          <w:bCs w:val="1"/>
          <w:color w:val="auto"/>
        </w:rPr>
      </w:pPr>
    </w:p>
    <w:p>
      <w:pPr>
        <w:ind w:right="100" w:firstLine="464"/>
        <w:spacing w:after="0" w:line="342" w:lineRule="auto"/>
        <w:tabs>
          <w:tab w:leader="none" w:pos="856"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 harmless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each of its directors, each of its officers who signed the Registration Statement, and each person, if any, who controls the Company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35" w:name="page236"/>
    <w:bookmarkEnd w:id="23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meaning of Section 15 of the Securities Act or Section 20 of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and the first and third sentences of the fourth paragraph under the caption “Underwriting,” the first two sentences of the first paragraph below the title “Commission and Expenses,” the first sentence of the first paragraph, the third sentence of the second paragraph and the first sentence of the sixth paragraph below the title “Stabilization” and the first sentence of the paragraph below the title “Electronic Distribution,” in each case under the caption “Underwriting” in the Preliminary Prospectus and the Prospectus. The indemnity agreement set forth in this Section 9(b) shall be in addition to any liabilities that each Underwriter may otherwise have.</w:t>
      </w:r>
    </w:p>
    <w:p>
      <w:pPr>
        <w:spacing w:after="0" w:line="391" w:lineRule="exact"/>
        <w:rPr>
          <w:sz w:val="20"/>
          <w:szCs w:val="20"/>
          <w:color w:val="auto"/>
        </w:rPr>
      </w:pPr>
    </w:p>
    <w:p>
      <w:pPr>
        <w:ind w:right="60" w:firstLine="464"/>
        <w:spacing w:after="0" w:line="289" w:lineRule="auto"/>
        <w:tabs>
          <w:tab w:leader="none" w:pos="836"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9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36" w:name="page237"/>
    <w:bookmarkEnd w:id="23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1" w:lineRule="exact"/>
        <w:rPr>
          <w:sz w:val="20"/>
          <w:szCs w:val="20"/>
          <w:color w:val="auto"/>
        </w:rPr>
      </w:pPr>
    </w:p>
    <w:p>
      <w:pPr>
        <w:ind w:firstLine="464"/>
        <w:spacing w:after="0" w:line="288" w:lineRule="auto"/>
        <w:tabs>
          <w:tab w:leader="none" w:pos="856"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4"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b w:val="1"/>
          <w:bCs w:val="1"/>
          <w:color w:val="auto"/>
        </w:rPr>
        <w:t xml:space="preserve">Section 10. Contribution. </w:t>
      </w:r>
      <w:r>
        <w:rPr>
          <w:rFonts w:ascii="Arial" w:cs="Arial" w:eastAsia="Arial" w:hAnsi="Arial"/>
          <w:sz w:val="17"/>
          <w:szCs w:val="17"/>
          <w:color w:val="auto"/>
        </w:rPr>
        <w:t>If the indemnification provided for in Section 9 is for any reason held to be unavailable to or otherwise insufficient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37" w:name="page238"/>
    <w:bookmarkEnd w:id="237"/>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Section 9(c) for purposes of indemnification.</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and Section 20 of the Exchange Act shall have the same rights to contribution as the Company.</w:t>
      </w:r>
    </w:p>
    <w:p>
      <w:pPr>
        <w:spacing w:after="0" w:line="17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color w:val="auto"/>
        </w:rPr>
        <w:t>Section 11. Default of One or More of the Several Underwriters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on the First Closing Date or any Option Closing Date any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bears to the aggregate number of Firm Shares set forth opposite the names of all such non-defaulting Underwriters, or in such other proportions as may be specified by the Representatives with the consent of the non-defaulting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38" w:name="page239"/>
    <w:bookmarkEnd w:id="23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2"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be terminated by the Representatives by notice given to the Company if at any time: (i) (a) trading or quotation in any of the Company’s securities shall have been suspended or limited by the Commission or by Nasdaq, or (b) trading in securities generally on either Nasdaq or the New York Stock Exchange shall have been suspended or limited, or minimum or maximum prices shall have been generally established on any of such stock exchanges;</w:t>
      </w:r>
    </w:p>
    <w:p>
      <w:pPr>
        <w:spacing w:after="0" w:line="3" w:lineRule="exact"/>
        <w:rPr>
          <w:sz w:val="20"/>
          <w:szCs w:val="20"/>
          <w:color w:val="auto"/>
        </w:rPr>
      </w:pPr>
    </w:p>
    <w:p>
      <w:pPr>
        <w:ind w:firstLine="8"/>
        <w:spacing w:after="0" w:line="267" w:lineRule="auto"/>
        <w:tabs>
          <w:tab w:leader="none" w:pos="2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a general banking moratorium shall have been declared by any of federal, New York or Israeli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9 and Section 10 shall at all times be effective and shall survive such termination.</w:t>
      </w:r>
    </w:p>
    <w:p>
      <w:pPr>
        <w:spacing w:after="0" w:line="183"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b w:val="1"/>
          <w:bCs w:val="1"/>
          <w:color w:val="auto"/>
        </w:rPr>
        <w:t xml:space="preserve">Section 13. No Advisory or Fiduciary Relationship. </w:t>
      </w:r>
      <w:r>
        <w:rPr>
          <w:rFonts w:ascii="Arial" w:cs="Arial" w:eastAsia="Arial" w:hAnsi="Arial"/>
          <w:sz w:val="17"/>
          <w:szCs w:val="17"/>
          <w:color w:val="auto"/>
        </w:rPr>
        <w:t>The Company acknowledges and agrees that (a) the purchase and sale of the Offered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239" w:name="page240"/>
    <w:bookmarkEnd w:id="2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 has any obligation to the Company with respect to the offering contemplated hereby except the obligations expressly set forth in this Agreement,</w:t>
      </w:r>
    </w:p>
    <w:p>
      <w:pPr>
        <w:spacing w:after="0" w:line="46" w:lineRule="exact"/>
        <w:rPr>
          <w:sz w:val="20"/>
          <w:szCs w:val="20"/>
          <w:color w:val="auto"/>
        </w:rPr>
      </w:pPr>
    </w:p>
    <w:p>
      <w:pPr>
        <w:ind w:firstLine="8"/>
        <w:spacing w:after="0" w:line="277" w:lineRule="auto"/>
        <w:tabs>
          <w:tab w:leader="none" w:pos="2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69"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 warranties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84"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Section 15. Notices. </w:t>
      </w:r>
      <w:r>
        <w:rPr>
          <w:rFonts w:ascii="Arial" w:cs="Arial" w:eastAsia="Arial" w:hAnsi="Arial"/>
          <w:sz w:val="18"/>
          <w:szCs w:val="18"/>
          <w:color w:val="auto"/>
        </w:rPr>
        <w:t>All communications hereunder shall be in writing and shall be mailed, hand delivered or telecopied and confirmed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as follows:</w:t>
      </w:r>
    </w:p>
    <w:p>
      <w:pPr>
        <w:sectPr>
          <w:pgSz w:w="11900" w:h="16838" w:orient="portrait"/>
          <w:cols w:equalWidth="0" w:num="1">
            <w:col w:w="11380"/>
          </w:cols>
          <w:pgMar w:left="240" w:top="274" w:right="27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+1 646 619-4437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14" w:lineRule="exact"/>
        <w:rPr>
          <w:sz w:val="20"/>
          <w:szCs w:val="20"/>
          <w:color w:val="auto"/>
        </w:rPr>
      </w:pPr>
    </w:p>
    <w:p>
      <w:pPr>
        <w:sectPr>
          <w:pgSz w:w="11900" w:h="16838" w:orient="portrait"/>
          <w:cols w:equalWidth="0" w:num="2">
            <w:col w:w="2280" w:space="600"/>
            <w:col w:w="8500"/>
          </w:cols>
          <w:pgMar w:left="240" w:top="274" w:right="279" w:bottom="1440" w:gutter="0" w:footer="0" w:header="0"/>
          <w:type w:val="continuous"/>
        </w:sectPr>
      </w:pPr>
    </w:p>
    <w:p>
      <w:pPr>
        <w:ind w:left="2880"/>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599 Lexington Avenue, 27th Floor</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New York, NY 10022</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Facsimile: (646) 562-1269</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1">
            <w:col w:w="11380"/>
          </w:cols>
          <w:pgMar w:left="240" w:top="274" w:right="279" w:bottom="1440" w:gutter="0" w:footer="0" w:header="0"/>
          <w:type w:val="continuous"/>
        </w:sectPr>
      </w:pP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New York, New York 10018</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Facsimile: +1 646 441-9111</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Attention: Eric W. Blanchard and Brian K. Rosenzweig</w:t>
      </w:r>
    </w:p>
    <w:p>
      <w:pPr>
        <w:spacing w:after="0" w:line="12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Gornitzky &amp; Co.</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Zion Building, 45 Rothschild Blvd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Tel Aviv, 6578403, Israel</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Facsimile: +972 3 560-6555</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Attention: Chaim Friedland and Ari Fried</w:t>
      </w:r>
    </w:p>
    <w:p>
      <w:pPr>
        <w:sectPr>
          <w:pgSz w:w="11900" w:h="16838" w:orient="portrait"/>
          <w:cols w:equalWidth="0" w:num="1">
            <w:col w:w="11380"/>
          </w:cols>
          <w:pgMar w:left="240" w:top="274" w:right="279" w:bottom="1440" w:gutter="0" w:footer="0" w:header="0"/>
          <w:type w:val="continuous"/>
        </w:sectPr>
      </w:pP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 Ha’Ta’asiya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Ra’anana 4365007,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+972 77-4171410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Ron Bentsur and Gary Titus</w:t>
      </w:r>
    </w:p>
    <w:p>
      <w:pPr>
        <w:spacing w:after="0" w:line="126" w:lineRule="exact"/>
        <w:rPr>
          <w:sz w:val="20"/>
          <w:szCs w:val="20"/>
          <w:color w:val="auto"/>
        </w:rPr>
      </w:pPr>
    </w:p>
    <w:p>
      <w:pPr>
        <w:sectPr>
          <w:pgSz w:w="11900" w:h="16838" w:orient="portrait"/>
          <w:cols w:equalWidth="0" w:num="2">
            <w:col w:w="2160" w:space="720"/>
            <w:col w:w="8500"/>
          </w:cols>
          <w:pgMar w:left="240" w:top="274"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274" w:right="279" w:bottom="1440" w:gutter="0" w:footer="0" w:header="0"/>
          <w:type w:val="continuous"/>
        </w:sectPr>
      </w:pPr>
    </w:p>
    <w:bookmarkStart w:id="240" w:name="page241"/>
    <w:bookmarkEnd w:id="240"/>
    <w:p>
      <w:pPr>
        <w:ind w:left="2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Cooley LLP</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New York, New York 10036</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Facsimile: +1 212 479-6275</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Attention: Divakar Gupta</w:t>
      </w:r>
    </w:p>
    <w:p>
      <w:pPr>
        <w:spacing w:after="0" w:line="10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Hamburger Evron &amp; Co.</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Museum Tower, 17th Floor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4 Berkowitz Street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Tel-Aviv 6423806, Israel</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Facsimile: +972 3 607-4004</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Attention: Yaron Sobol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Section 16. Successors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inure to the benefit of and be binding upon the parties hereto, including any substitute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Shares as such from any of the Underwriters merely by reason of such purchase.</w:t>
      </w:r>
    </w:p>
    <w:p>
      <w:pPr>
        <w:spacing w:after="0" w:line="165" w:lineRule="exact"/>
        <w:rPr>
          <w:sz w:val="20"/>
          <w:szCs w:val="20"/>
          <w:color w:val="auto"/>
        </w:rPr>
      </w:pPr>
    </w:p>
    <w:p>
      <w:pPr>
        <w:jc w:val="both"/>
        <w:ind w:right="200" w:firstLine="913"/>
        <w:spacing w:after="0" w:line="261" w:lineRule="auto"/>
        <w:rPr>
          <w:sz w:val="20"/>
          <w:szCs w:val="20"/>
          <w:color w:val="auto"/>
        </w:rPr>
      </w:pPr>
      <w:r>
        <w:rPr>
          <w:rFonts w:ascii="Arial" w:cs="Arial" w:eastAsia="Arial" w:hAnsi="Arial"/>
          <w:sz w:val="18"/>
          <w:szCs w:val="18"/>
          <w:b w:val="1"/>
          <w:bCs w:val="1"/>
          <w:color w:val="auto"/>
        </w:rPr>
        <w:t xml:space="preserve">Section 17. Partial Unenforceability. </w:t>
      </w:r>
      <w:r>
        <w:rPr>
          <w:rFonts w:ascii="Arial" w:cs="Arial" w:eastAsia="Arial" w:hAnsi="Arial"/>
          <w:sz w:val="18"/>
          <w:szCs w:val="18"/>
          <w:color w:val="auto"/>
        </w:rPr>
        <w:t>The invalidity or unenforceability of any section, paragraph or provision of this Agreement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b w:val="1"/>
          <w:bCs w:val="1"/>
          <w:color w:val="auto"/>
        </w:rPr>
        <w:t>Section 18. Governing Law Provisions; Currency Provisions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7"/>
          <w:szCs w:val="17"/>
          <w:b w:val="1"/>
          <w:bCs w:val="1"/>
          <w:color w:val="auto"/>
        </w:rPr>
        <w:t>Related Proceedings</w:t>
      </w:r>
      <w:r>
        <w:rPr>
          <w:rFonts w:ascii="Arial" w:cs="Arial" w:eastAsia="Arial" w:hAnsi="Arial"/>
          <w:sz w:val="17"/>
          <w:szCs w:val="17"/>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and each other party not located in the United States has irrevocably appointed Urogen Pharma, Inc., which currently maintains a New York City office at 499 Park Avenue, 12th Floor, New York, NY 10022,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382" w:right="299" w:bottom="1440" w:gutter="0" w:footer="0" w:header="0"/>
        </w:sectPr>
      </w:pPr>
    </w:p>
    <w:bookmarkStart w:id="241" w:name="page242"/>
    <w:bookmarkEnd w:id="241"/>
    <w:p>
      <w:pPr>
        <w:ind w:right="8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58"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78"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All payments made by the Company to the Underwriters, their respective affiliates, directors, officers, employees and agents or to any person controlling any Underwriter under this Agreement, if any, will be made without withholding or deduction for or on account of any present or future taxes, duties, assessments or governmental charges of whatever nature (other than taxes on net income) imposed or levied by or on behalf of the State of Israel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each Underwriter, their respective affiliates, directors, officers, employees and each person controlling any Underwriter, as the case may be, of the amounts that would otherwise have been receivable in respect thereof.</w:t>
      </w:r>
    </w:p>
    <w:p>
      <w:pPr>
        <w:spacing w:after="0" w:line="174"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42" w:name="page243"/>
    <w:bookmarkEnd w:id="242"/>
    <w:p>
      <w:pPr>
        <w:ind w:right="3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UROGEN PHARMA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 first above written.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the attached Schedule 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240" w:top="274" w:right="57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171"/>
        </w:trPr>
        <w:tc>
          <w:tcPr>
            <w:tcW w:w="4520" w:type="dxa"/>
            <w:vAlign w:val="bottom"/>
            <w:vMerge w:val="continue"/>
          </w:tcPr>
          <w:p>
            <w:pPr>
              <w:spacing w:after="0"/>
              <w:rPr>
                <w:sz w:val="14"/>
                <w:szCs w:val="14"/>
                <w:color w:val="auto"/>
              </w:rPr>
            </w:pPr>
          </w:p>
        </w:tc>
        <w:tc>
          <w:tcPr>
            <w:tcW w:w="3240" w:type="dxa"/>
            <w:vAlign w:val="bottom"/>
            <w:gridSpan w:val="2"/>
          </w:tcPr>
          <w:p>
            <w:pPr>
              <w:jc w:val="center"/>
              <w:ind w:left="2148"/>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Cowen and Company, LLC</w:t>
            </w:r>
          </w:p>
        </w:tc>
        <w:tc>
          <w:tcPr>
            <w:tcW w:w="2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National Securities Corporation</w:t>
            </w:r>
          </w:p>
        </w:tc>
        <w:tc>
          <w:tcPr>
            <w:tcW w:w="226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1440" w:top="270"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Number of Firm Shares: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Number of Optional Shares: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Ordinary Share: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7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UroGen Pharma Ltd.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is an executive officer or director of the Company or an owner of ordinary shares of the Company (the “</w:t>
      </w:r>
      <w:r>
        <w:rPr>
          <w:rFonts w:ascii="Arial" w:cs="Arial" w:eastAsia="Arial" w:hAnsi="Arial"/>
          <w:sz w:val="17"/>
          <w:szCs w:val="17"/>
          <w:b w:val="1"/>
          <w:bCs w:val="1"/>
          <w:color w:val="auto"/>
        </w:rPr>
        <w:t>Shares</w:t>
      </w:r>
      <w:r>
        <w:rPr>
          <w:rFonts w:ascii="Arial" w:cs="Arial" w:eastAsia="Arial" w:hAnsi="Arial"/>
          <w:sz w:val="17"/>
          <w:szCs w:val="17"/>
          <w:color w:val="auto"/>
        </w:rPr>
        <w:t>”), or of securities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convertible into or exchangeable or exercisable for Shares. The Company proposes to conduct a public offering of ordinary shares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w:t>
      </w:r>
      <w:r>
        <w:rPr>
          <w:rFonts w:ascii="Arial" w:cs="Arial" w:eastAsia="Arial" w:hAnsi="Arial"/>
          <w:sz w:val="16"/>
          <w:szCs w:val="16"/>
          <w:color w:val="auto"/>
        </w:rPr>
        <w:t>”) for which Jefferies LLC (“</w:t>
      </w:r>
      <w:r>
        <w:rPr>
          <w:rFonts w:ascii="Arial" w:cs="Arial" w:eastAsia="Arial" w:hAnsi="Arial"/>
          <w:sz w:val="16"/>
          <w:szCs w:val="16"/>
          <w:b w:val="1"/>
          <w:bCs w:val="1"/>
          <w:color w:val="auto"/>
        </w:rPr>
        <w:t>Jefferies</w:t>
      </w:r>
      <w:r>
        <w:rPr>
          <w:rFonts w:ascii="Arial" w:cs="Arial" w:eastAsia="Arial" w:hAnsi="Arial"/>
          <w:sz w:val="16"/>
          <w:szCs w:val="16"/>
          <w:color w:val="auto"/>
        </w:rPr>
        <w:t>”) will act as the representative of the underwriters. The undersigned recognizes that the Offering will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the Company and the undersigned. The undersigned acknowledges that the underwriters are relying on the representations and agreements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undersigned contained in this letter agreement in conducting the Offering and, at a subsequent date, in entering into an underwriting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other underwriting arrangements with the Company with respect to the Offering.</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which may withhold its consent in their sole discretion:</w:t>
      </w:r>
    </w:p>
    <w:p>
      <w:pPr>
        <w:spacing w:after="0" w:line="87" w:lineRule="exact"/>
        <w:rPr>
          <w:sz w:val="20"/>
          <w:szCs w:val="20"/>
          <w:color w:val="auto"/>
        </w:rPr>
      </w:pPr>
    </w:p>
    <w:p>
      <w:pPr>
        <w:ind w:left="900" w:right="6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will not apply to the registration of the offer and sale of Shares, and the sale of Shares to the underwriters, in each case as contemplated by the Underwriting Agreement. In addition, the</w:t>
      </w:r>
    </w:p>
    <w:p>
      <w:pPr>
        <w:sectPr>
          <w:pgSz w:w="11900" w:h="16838" w:orient="portrait"/>
          <w:cols w:equalWidth="0" w:num="1">
            <w:col w:w="11420"/>
          </w:cols>
          <w:pgMar w:left="240" w:top="270" w:right="239" w:bottom="1440" w:gutter="0" w:footer="0" w:header="0"/>
        </w:sectPr>
      </w:pPr>
    </w:p>
    <w:bookmarkStart w:id="247" w:name="page248"/>
    <w:bookmarkEnd w:id="24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restrictions shall not apply to (i) the transfer of Shares or Related Securities by gift of the undersigned, (ii) the transfer of Shares or Related Securities by will, other testamentary document, or by intestate succession to a legal representative, heir or beneficiary of the undersigned, (iii) the transfer of Shares or Related Securities to a trust whose beneficiaries consist exclusively of one or more of the undersigned and/or a Family Member, (iv) transfers or dispositions of the undersigned’s Shares or Related Securities to any corporation, partnership, limited liability company or other entity all of the beneficial ownership interests of which are held by the undersigned or any Family Member, (v) distributions of the undersigned’s Shares or Related Securities to partners, members, stockholders or trust beneficiaries of the undersigned, or (vi) if the undersigned is a corporation, partnership, limited liability company, trust or other business entity, the transfer of Shares or Related Securities to another corporation, partnership, limited liability company, trust or other business entity that is a direct or indirect affiliate (as defined in Rule 405 promulgated under the Securities Act), or one or more limited partners, general partners, limited liability company members or stockholders of the undersigned; provided, however, that in any such case, it shall be a condition to such transfer that:</w:t>
      </w:r>
    </w:p>
    <w:p>
      <w:pPr>
        <w:spacing w:after="0" w:line="72" w:lineRule="exact"/>
        <w:rPr>
          <w:sz w:val="20"/>
          <w:szCs w:val="20"/>
          <w:color w:val="auto"/>
        </w:rPr>
      </w:pPr>
    </w:p>
    <w:p>
      <w:pPr>
        <w:ind w:left="900" w:right="200" w:hanging="325"/>
        <w:spacing w:after="0" w:line="279" w:lineRule="auto"/>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transferee executes and delivers to Jefferies an agreement in form and substance satisfactory to Jefferies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76" w:lineRule="exact"/>
        <w:rPr>
          <w:rFonts w:ascii="Arial" w:cs="Arial" w:eastAsia="Arial" w:hAnsi="Arial"/>
          <w:sz w:val="17"/>
          <w:szCs w:val="17"/>
          <w:color w:val="auto"/>
        </w:rPr>
      </w:pPr>
    </w:p>
    <w:p>
      <w:pPr>
        <w:jc w:val="both"/>
        <w:ind w:left="900" w:right="260" w:hanging="325"/>
        <w:spacing w:after="0" w:line="264"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Shares or Related Securities in connection with such transfer.</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Furthermore, notwithstanding the restrictions imposed by this letter agreement, the undersigned may (i) exercise an option to purchase Shares granted under any equity incentive plan or stock purchase plan of the Company, provided that the Shares issued upon such exercise shall continue to be subject to the restrictions on transfer set forth in this letter agreement, (ii) establish a trading plan pursuant to Rule 10b5-1 under the Exchange Act for the transfer of Shares, provided that such plan does not provide for any transfers of Shares during the Lock-up Period and the entry into such plan is not publicly disclosed, including in any filing under the Exchange Act, during the Lock-up Period and (iii) transfer Shares or Related Securities (A) as forfeitures to satisfy tax withholding obligations of the undersigned in connection with the vesting or exercise of equity awards by the undersigned pursuant to the Company’s equity incentive, stock option, stock bonus or other stock plan or arrangement described in the Prospectus, (B) pursuant to a net exercise or cashless exercise by the undersigned of outstanding equity awards pursuant to the Company’s equity incentive, stock option, stock bonus or other stock plan or arrangement described in the Prospectus; provided that any Shares acquired upon the net exercise or cashless exercise of equity awards described in this clause (B) shall be subject to the restrictions set forth in this letter agreement, (C)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any lock-up, voting or similar agreement pursuant to which the undersigned may agree to transfer, sell, tender or otherwise dispose of common stock or other such securities in connection with such transaction, or vote any common stock or other such securities in favor of any such transaction); provided that in the event that such tender offer, merger, consolidation or other such transaction is not completed, such securities</w:t>
      </w:r>
    </w:p>
    <w:p>
      <w:pPr>
        <w:sectPr>
          <w:pgSz w:w="11900" w:h="16838" w:orient="portrait"/>
          <w:cols w:equalWidth="0" w:num="1">
            <w:col w:w="11400"/>
          </w:cols>
          <w:pgMar w:left="240" w:top="274" w:right="259" w:bottom="1440" w:gutter="0" w:footer="0" w:header="0"/>
        </w:sectPr>
      </w:pPr>
    </w:p>
    <w:bookmarkStart w:id="248" w:name="page249"/>
    <w:bookmarkEnd w:id="24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held by the undersigned shall remain subject to the provisions of this letter agreement, or (D) by operation of law, including pursuant to a domestic order or negotiated divorce settlement; provided that, in the case of a transfer pursuant to clause (A) above, if the undersigned is required to make a filing under the Exchange Act reporting a reduction in beneficial ownership of Shares during the Lock-up Period, the undersigned shall include a statement in such report to the effect that the purpose of such transfer was to cover tax obligations of the undersigned in connection with such exercise; and further provided that, in the case of a transfer pursuant to clause (B) above, that no public disclosure or filing under the Exchange Act by any party to the transfer shall be required, or made voluntarily, during the Lock-up Period.</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and/or Related Securities held by the undersigned and the undersigned’s Family Members, if any, except in compliance with the foregoing restrictions.</w:t>
      </w:r>
    </w:p>
    <w:p>
      <w:pPr>
        <w:spacing w:after="0" w:line="12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2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6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4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(i) the Company notifies Jefferies in writing that it does not intend to proceed with the Offering, (ii) the Underwriting Agreement is not executed before March 31, 2018, (iii) the purchase of Firm Shares (as defined in the Underwriting Agreement) does not occur by March 31, 2018, or (iv) the Underwriting Agreement (other than the provisions thereof that survive termination) terminates or is terminated prior to payment for and delivery of the Firm Shares, then in each case, this letter agreement shall automatically, and without any action on the part of any other party, terminate and be of no further force and effect, and the undersigned shall automatically be released from the obligations under this letter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ectPr>
          <w:pgSz w:w="11900" w:h="16838" w:orient="portrait"/>
          <w:cols w:equalWidth="0" w:num="1">
            <w:col w:w="11380"/>
          </w:cols>
          <w:pgMar w:left="240" w:top="274" w:right="27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(Indicate capacity of person signing if signing as custodian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trustee, or on behalf of an entity)</w:t>
      </w:r>
    </w:p>
    <w:p>
      <w:pPr>
        <w:sectPr>
          <w:pgSz w:w="11900" w:h="16838" w:orient="portrait"/>
          <w:cols w:equalWidth="0" w:num="1">
            <w:col w:w="10219"/>
          </w:cols>
          <w:pgMar w:left="240" w:top="787" w:right="1440" w:bottom="1440" w:gutter="0" w:footer="0" w:header="0"/>
        </w:sectPr>
      </w:pPr>
    </w:p>
    <w:bookmarkStart w:id="250" w:name="page251"/>
    <w:bookmarkEnd w:id="25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Defined Terms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00" w:hanging="325"/>
        <w:spacing w:after="0" w:line="25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89" w:lineRule="exact"/>
        <w:rPr>
          <w:rFonts w:ascii="Arial" w:cs="Arial" w:eastAsia="Arial" w:hAnsi="Arial"/>
          <w:sz w:val="18"/>
          <w:szCs w:val="18"/>
          <w:color w:val="auto"/>
        </w:rPr>
      </w:pPr>
    </w:p>
    <w:p>
      <w:pPr>
        <w:ind w:left="900" w:right="360" w:hanging="325"/>
        <w:spacing w:after="0" w:line="282"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ninety (90) days after the date of the Prospectus (as defined in the Underwriting Agreement).</w:t>
      </w:r>
    </w:p>
    <w:p>
      <w:pPr>
        <w:spacing w:after="0" w:line="67"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00" w:right="180" w:hanging="325"/>
        <w:spacing w:after="0" w:line="347"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5" w:lineRule="exact"/>
        <w:rPr>
          <w:sz w:val="20"/>
          <w:szCs w:val="20"/>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effect any short sale or establish or increase a Put Equivalent Position or liquidate or decrease any Call Equivalent Position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whether effected directly or indirectly.</w:t>
      </w:r>
    </w:p>
    <w:p>
      <w:pPr>
        <w:spacing w:after="0" w:line="248" w:lineRule="exact"/>
        <w:rPr>
          <w:sz w:val="20"/>
          <w:szCs w:val="20"/>
          <w:color w:val="auto"/>
        </w:rPr>
      </w:pPr>
    </w:p>
    <w:p>
      <w:pPr>
        <w:ind w:left="900" w:right="120" w:hanging="325"/>
        <w:spacing w:after="0" w:line="313"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Swap</w:t>
      </w:r>
      <w:r>
        <w:rPr>
          <w:rFonts w:ascii="Arial" w:cs="Arial" w:eastAsia="Arial" w:hAnsi="Arial"/>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ectPr>
          <w:pgSz w:w="11900" w:h="16838" w:orient="portrait"/>
          <w:cols w:equalWidth="0" w:num="1">
            <w:col w:w="11280"/>
          </w:cols>
          <w:pgMar w:left="240" w:top="270" w:right="37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and Additional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Signing Lock-up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Ron Bentsur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 Hakim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S. Titus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P. Schoenberg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Ron Bentsur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Kate Falberg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Cynthia Butitta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Fred Cohen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Stuart Holden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 Nussbaum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Pini Orbach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Arie Belldegrun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Bellco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Arie Belldegrun MD. Inc., Profit Sharing Plan and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Pontifax (Israel) III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Pontifax Cayman III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Arkin Communications Ltd.</w:t>
      </w:r>
    </w:p>
    <w:p>
      <w:pPr>
        <w:sectPr>
          <w:pgSz w:w="11900" w:h="16838" w:orient="portrait"/>
          <w:cols w:equalWidth="0" w:num="1">
            <w:col w:w="11420"/>
          </w:cols>
          <w:pgMar w:left="240" w:top="270"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Ha’Ta’asiya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Ra’anana 4365007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acted as Israeli counsel for UroGen Pharma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underwritten public offering by the Company, contemplating (i) the issuance and sale by the Company of ordinary shares, nominal value NIS 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the Company (the “</w:t>
      </w:r>
      <w:r>
        <w:rPr>
          <w:rFonts w:ascii="Arial" w:cs="Arial" w:eastAsia="Arial" w:hAnsi="Arial"/>
          <w:sz w:val="18"/>
          <w:szCs w:val="18"/>
          <w:b w:val="1"/>
          <w:bCs w:val="1"/>
          <w:color w:val="auto"/>
        </w:rPr>
        <w:t>Offering Shares</w:t>
      </w:r>
      <w:r>
        <w:rPr>
          <w:rFonts w:ascii="Arial" w:cs="Arial" w:eastAsia="Arial" w:hAnsi="Arial"/>
          <w:sz w:val="18"/>
          <w:szCs w:val="18"/>
          <w:color w:val="auto"/>
        </w:rPr>
        <w:t>”); and (ii) the potential issuance and sale by the Company of additional Ordinary Shares (the “</w:t>
      </w:r>
      <w:r>
        <w:rPr>
          <w:rFonts w:ascii="Arial" w:cs="Arial" w:eastAsia="Arial" w:hAnsi="Arial"/>
          <w:sz w:val="18"/>
          <w:szCs w:val="18"/>
          <w:b w:val="1"/>
          <w:bCs w:val="1"/>
          <w:color w:val="auto"/>
        </w:rPr>
        <w:t>Additional Shares</w:t>
      </w:r>
      <w:r>
        <w:rPr>
          <w:rFonts w:ascii="Arial" w:cs="Arial" w:eastAsia="Arial" w:hAnsi="Arial"/>
          <w:sz w:val="18"/>
          <w:szCs w:val="18"/>
          <w:color w:val="auto"/>
        </w:rPr>
        <w:t>” and collectively with the Offering Shares, the “</w:t>
      </w:r>
      <w:r>
        <w:rPr>
          <w:rFonts w:ascii="Arial" w:cs="Arial" w:eastAsia="Arial" w:hAnsi="Arial"/>
          <w:sz w:val="18"/>
          <w:szCs w:val="18"/>
          <w:b w:val="1"/>
          <w:bCs w:val="1"/>
          <w:color w:val="auto"/>
        </w:rPr>
        <w:t>Shares</w:t>
      </w:r>
      <w:r>
        <w:rPr>
          <w:rFonts w:ascii="Arial" w:cs="Arial" w:eastAsia="Arial" w:hAnsi="Arial"/>
          <w:sz w:val="18"/>
          <w:szCs w:val="18"/>
          <w:color w:val="auto"/>
        </w:rPr>
        <w:t>”) that are subject to an option to purchase additional shares granted by the Company to the underwriters of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This opinion letter is rendered pursuant to Item 8(a) of Form F-1 promulgated by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Items 601(b)(5) and (b)(23) of the SEC’s Regulation S-K promulgated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herewith, we have examined the originals, or photocopies or copies, certified or otherwise identified to our satisfaction, of: (i) the registration statement on Form F-1 filed by the Company with the SEC (as amended through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which this opinion is attached as an exhibit; (ii) a copy of the articles of association of the Company incorporated by reference as exhibit 3.1 into the Registration Statement (the “</w:t>
      </w:r>
      <w:r>
        <w:rPr>
          <w:rFonts w:ascii="Arial" w:cs="Arial" w:eastAsia="Arial" w:hAnsi="Arial"/>
          <w:sz w:val="16"/>
          <w:szCs w:val="16"/>
          <w:b w:val="1"/>
          <w:bCs w:val="1"/>
          <w:color w:val="auto"/>
        </w:rPr>
        <w:t>Articles</w:t>
      </w:r>
      <w:r>
        <w:rPr>
          <w:rFonts w:ascii="Arial" w:cs="Arial" w:eastAsia="Arial" w:hAnsi="Arial"/>
          <w:sz w:val="16"/>
          <w:szCs w:val="16"/>
          <w:color w:val="auto"/>
        </w:rPr>
        <w:t>”); (iii) resolutions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which relate to the Registration Statement and the actions to be taken in connection with the Offering; and (iv)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16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Based upon and subject to the foregoing we are of the opinion that, upon payment to the Company of the consideration per Share in such amount and form as shall be determined by the Board, the Shares, when issued and sold in the Offering as described in the Registration Statement, will be duly authorized, validly issued, fully paid and non-assessable.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ectPr>
          <w:pgSz w:w="11900" w:h="16838" w:orient="portrait"/>
          <w:cols w:equalWidth="0" w:num="1">
            <w:col w:w="11420"/>
          </w:cols>
          <w:pgMar w:left="240" w:top="121" w:right="239" w:bottom="1440" w:gutter="0" w:footer="0" w:header="0"/>
        </w:sectPr>
      </w:pPr>
    </w:p>
    <w:bookmarkStart w:id="253" w:name="page254"/>
    <w:bookmarkEnd w:id="25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Hamburger Evron &amp; 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Yaron Sobol</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Yaron Sobol, Adv.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40740" cy="643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84074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hereby consent to the use in this Registration Statement on Form F-1 of our report dated March 8, 2017, except for the effects of the share split discussed in note 1d to the consolidated financial statements, as to which the date is April 24, 2017 relating to the financial statements of Urogen Pharma Ltd., which appears in such Registration Statement. We also consent to the reference to us under the heading “Experts” in such Registration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36"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/s/Kesselman &amp; Kesselman</w:t>
      </w:r>
    </w:p>
    <w:p>
      <w:pPr>
        <w:spacing w:after="0" w:line="23"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January 16, 2018</w:t>
      </w:r>
      <w:r>
        <w:rPr>
          <w:sz w:val="20"/>
          <w:szCs w:val="20"/>
          <w:color w:val="auto"/>
        </w:rPr>
        <w:tab/>
      </w:r>
      <w:r>
        <w:rPr>
          <w:rFonts w:ascii="Arial" w:cs="Arial" w:eastAsia="Arial" w:hAnsi="Arial"/>
          <w:sz w:val="16"/>
          <w:szCs w:val="16"/>
          <w:color w:val="auto"/>
        </w:rPr>
        <w:t>Certified Public Accountants (lsr.)</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A member firm of PricewaterhouseCoopers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174625</wp:posOffset>
            </wp:positionV>
            <wp:extent cx="5342890" cy="3257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5342890" cy="32575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1)"/>
      <w:numFmt w:val="decimal"/>
      <w:start w:val="1"/>
    </w:lvl>
  </w:abstractNum>
  <w:abstractNum w:abstractNumId="1">
    <w:nsid w:val="60EF0119"/>
    <w:multiLevelType w:val="hybridMultilevel"/>
    <w:lvl w:ilvl="0">
      <w:lvlJc w:val="left"/>
      <w:lvlText w:val="(%1)"/>
      <w:numFmt w:val="decimal"/>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1)"/>
      <w:numFmt w:val="decimal"/>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1)"/>
      <w:numFmt w:val="lowerRoman"/>
      <w:start w:val="4"/>
    </w:lvl>
  </w:abstractNum>
  <w:abstractNum w:abstractNumId="29">
    <w:nsid w:val="288F1A34"/>
    <w:multiLevelType w:val="hybridMultilevel"/>
    <w:lvl w:ilvl="0">
      <w:lvlJc w:val="left"/>
      <w:lvlText w:val="(%1)"/>
      <w:numFmt w:val="decimal"/>
      <w:start w:val="2"/>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1)"/>
      <w:numFmt w:val="decimal"/>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1)"/>
      <w:numFmt w:val="decimal"/>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1)"/>
      <w:numFmt w:val="decimal"/>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1)"/>
      <w:numFmt w:val="decimal"/>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1)"/>
      <w:numFmt w:val="decimal"/>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1)"/>
      <w:numFmt w:val="lowerLetter"/>
      <w:start w:val="1"/>
    </w:lvl>
  </w:abstractNum>
  <w:abstractNum w:abstractNumId="55">
    <w:nsid w:val="3DD15094"/>
    <w:multiLevelType w:val="hybridMultilevel"/>
    <w:lvl w:ilvl="0">
      <w:lvlJc w:val="left"/>
      <w:lvlText w:val="(%1)"/>
      <w:numFmt w:val="lowerLetter"/>
      <w:start w:val="2"/>
    </w:lvl>
  </w:abstractNum>
  <w:abstractNum w:abstractNumId="56">
    <w:nsid w:val="3DB012B3"/>
    <w:multiLevelType w:val="hybridMultilevel"/>
    <w:lvl w:ilvl="0">
      <w:lvlJc w:val="left"/>
      <w:lvlText w:val="(%1)"/>
      <w:numFmt w:val="decimal"/>
      <w:start w:val="1"/>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
      <w:numFmt w:val="bullet"/>
      <w:start w:val="1"/>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
      <w:numFmt w:val="bullet"/>
      <w:start w:val="1"/>
    </w:lvl>
  </w:abstractNum>
  <w:abstractNum w:abstractNumId="67">
    <w:nsid w:val="17A1B582"/>
    <w:multiLevelType w:val="hybridMultilevel"/>
    <w:lvl w:ilvl="0">
      <w:lvlJc w:val="left"/>
      <w:lvlText w:val="(%1)"/>
      <w:numFmt w:val="lowerRoman"/>
      <w:start w:val="1"/>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
      <w:numFmt w:val="bullet"/>
      <w:start w:val="1"/>
    </w:lvl>
  </w:abstractNum>
  <w:abstractNum w:abstractNumId="73">
    <w:nsid w:val="19E21BB2"/>
    <w:multiLevelType w:val="hybridMultilevel"/>
    <w:lvl w:ilvl="0">
      <w:lvlJc w:val="left"/>
      <w:lvlText w:val="∎"/>
      <w:numFmt w:val="bullet"/>
      <w:start w:val="1"/>
    </w:lvl>
  </w:abstractNum>
  <w:abstractNum w:abstractNumId="74">
    <w:nsid w:val="75E0858A"/>
    <w:multiLevelType w:val="hybridMultilevel"/>
    <w:lvl w:ilvl="0">
      <w:lvlJc w:val="left"/>
      <w:lvlText w:val="∎"/>
      <w:numFmt w:val="bullet"/>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
      <w:numFmt w:val="bullet"/>
      <w:start w:val="1"/>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
      <w:numFmt w:val="bullet"/>
      <w:start w:val="1"/>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
      <w:numFmt w:val="bullet"/>
      <w:start w:val="1"/>
    </w:lvl>
    <w:lvl w:ilvl="1">
      <w:lvlJc w:val="left"/>
      <w:lvlText w:val="∎"/>
      <w:numFmt w:val="bullet"/>
      <w:start w:val="1"/>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1)"/>
      <w:numFmt w:val="decimal"/>
    </w:lvl>
    <w:lvl w:ilvl="1">
      <w:lvlJc w:val="left"/>
      <w:lvlText w:val="*"/>
      <w:numFmt w:val="bullet"/>
      <w:start w:val="1"/>
    </w:lvl>
  </w:abstractNum>
  <w:abstractNum w:abstractNumId="87">
    <w:nsid w:val="4BEE5A5B"/>
    <w:multiLevelType w:val="hybridMultilevel"/>
    <w:lvl w:ilvl="0">
      <w:lvlJc w:val="left"/>
      <w:lvlText w:val="(%1)"/>
      <w:numFmt w:val="decimal"/>
      <w:start w:val="6"/>
    </w:lvl>
  </w:abstractNum>
  <w:abstractNum w:abstractNumId="88">
    <w:nsid w:val="5551B9F3"/>
    <w:multiLevelType w:val="hybridMultilevel"/>
    <w:lvl w:ilvl="0">
      <w:lvlJc w:val="left"/>
      <w:lvlText w:val="(%1)"/>
      <w:numFmt w:val="decimal"/>
      <w:start w:val="10"/>
    </w:lvl>
  </w:abstractNum>
  <w:abstractNum w:abstractNumId="89">
    <w:nsid w:val="24F6AB8E"/>
    <w:multiLevelType w:val="hybridMultilevel"/>
    <w:lvl w:ilvl="0">
      <w:lvlJc w:val="left"/>
      <w:lvlText w:val="∎"/>
      <w:numFmt w:val="bullet"/>
      <w:start w:val="1"/>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
      <w:numFmt w:val="bullet"/>
      <w:start w:val="1"/>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
      <w:numFmt w:val="bullet"/>
      <w:start w:val="1"/>
    </w:lvl>
  </w:abstractNum>
  <w:abstractNum w:abstractNumId="95">
    <w:nsid w:val="754342"/>
    <w:multiLevelType w:val="hybridMultilevel"/>
    <w:lvl w:ilvl="0">
      <w:lvlJc w:val="left"/>
      <w:lvlText w:val="(%1)"/>
      <w:numFmt w:val="lowerLetter"/>
      <w:start w:val="1"/>
    </w:lvl>
  </w:abstractNum>
  <w:abstractNum w:abstractNumId="96">
    <w:nsid w:val="69E7F3E5"/>
    <w:multiLevelType w:val="hybridMultilevel"/>
    <w:lvl w:ilvl="0">
      <w:lvlJc w:val="left"/>
      <w:lvlText w:val="∎"/>
      <w:numFmt w:val="bullet"/>
      <w:start w:val="1"/>
    </w:lvl>
  </w:abstractNum>
  <w:abstractNum w:abstractNumId="97">
    <w:nsid w:val="2A6DE806"/>
    <w:multiLevelType w:val="hybridMultilevel"/>
    <w:lvl w:ilvl="0">
      <w:lvlJc w:val="left"/>
      <w:lvlText w:val="∎"/>
      <w:numFmt w:val="bullet"/>
      <w:start w:val="1"/>
    </w:lvl>
  </w:abstractNum>
  <w:abstractNum w:abstractNumId="98">
    <w:nsid w:val="1816F8C4"/>
    <w:multiLevelType w:val="hybridMultilevel"/>
    <w:lvl w:ilvl="0">
      <w:lvlJc w:val="left"/>
      <w:lvlText w:val="∎"/>
      <w:numFmt w:val="bullet"/>
      <w:start w:val="1"/>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
      <w:numFmt w:val="bullet"/>
      <w:start w:val="1"/>
    </w:lvl>
  </w:abstractNum>
  <w:abstractNum w:abstractNumId="102">
    <w:nsid w:val="61E74EA3"/>
    <w:multiLevelType w:val="hybridMultilevel"/>
    <w:lvl w:ilvl="0">
      <w:lvlJc w:val="left"/>
      <w:lvlText w:val="∎"/>
      <w:numFmt w:val="bullet"/>
      <w:start w:val="1"/>
    </w:lvl>
  </w:abstractNum>
  <w:abstractNum w:abstractNumId="103">
    <w:nsid w:val="597B4D84"/>
    <w:multiLevelType w:val="hybridMultilevel"/>
    <w:lvl w:ilvl="0">
      <w:lvlJc w:val="left"/>
      <w:lvlText w:val="∎"/>
      <w:numFmt w:val="bullet"/>
      <w:start w:val="1"/>
    </w:lvl>
  </w:abstractNum>
  <w:abstractNum w:abstractNumId="104">
    <w:nsid w:val="F819E7F"/>
    <w:multiLevelType w:val="hybridMultilevel"/>
    <w:lvl w:ilvl="0">
      <w:lvlJc w:val="left"/>
      <w:lvlText w:val="∎"/>
      <w:numFmt w:val="bullet"/>
      <w:start w:val="1"/>
    </w:lvl>
  </w:abstractNum>
  <w:abstractNum w:abstractNumId="105">
    <w:nsid w:val="57C7D42D"/>
    <w:multiLevelType w:val="hybridMultilevel"/>
    <w:lvl w:ilvl="0">
      <w:lvlJc w:val="left"/>
      <w:lvlText w:val="(*)"/>
      <w:numFmt w:val="bullet"/>
      <w:start w:val="1"/>
    </w:lvl>
  </w:abstractNum>
  <w:abstractNum w:abstractNumId="106">
    <w:nsid w:val="312167AD"/>
    <w:multiLevelType w:val="hybridMultilevel"/>
    <w:lvl w:ilvl="0">
      <w:lvlJc w:val="left"/>
      <w:lvlText w:val="%1."/>
      <w:numFmt w:val="lowerLetter"/>
      <w:start w:val="1"/>
    </w:lvl>
  </w:abstractNum>
  <w:abstractNum w:abstractNumId="107">
    <w:nsid w:val="631B64D4"/>
    <w:multiLevelType w:val="hybridMultilevel"/>
    <w:lvl w:ilvl="0">
      <w:lvlJc w:val="left"/>
      <w:lvlText w:val="%1)"/>
      <w:numFmt w:val="decimal"/>
      <w:start w:val="1"/>
    </w:lvl>
  </w:abstractNum>
  <w:abstractNum w:abstractNumId="108">
    <w:nsid w:val="78B5E776"/>
    <w:multiLevelType w:val="hybridMultilevel"/>
    <w:lvl w:ilvl="0">
      <w:lvlJc w:val="left"/>
      <w:lvlText w:val="(%1)"/>
      <w:numFmt w:val="lowerLetter"/>
      <w:start w:val="1"/>
    </w:lvl>
  </w:abstractNum>
  <w:abstractNum w:abstractNumId="109">
    <w:nsid w:val="75486E47"/>
    <w:multiLevelType w:val="hybridMultilevel"/>
    <w:lvl w:ilvl="0">
      <w:lvlJc w:val="left"/>
      <w:lvlText w:val="(%1)"/>
      <w:numFmt w:val="decimal"/>
      <w:start w:val="1"/>
    </w:lvl>
  </w:abstractNum>
  <w:abstractNum w:abstractNumId="110">
    <w:nsid w:val="6E534CDE"/>
    <w:multiLevelType w:val="hybridMultilevel"/>
    <w:lvl w:ilvl="0">
      <w:lvlJc w:val="left"/>
      <w:lvlText w:val="%1)"/>
      <w:numFmt w:val="decimal"/>
      <w:start w:val="1"/>
    </w:lvl>
  </w:abstractNum>
  <w:abstractNum w:abstractNumId="111">
    <w:nsid w:val="1A0DDE32"/>
    <w:multiLevelType w:val="hybridMultilevel"/>
    <w:lvl w:ilvl="0">
      <w:lvlJc w:val="left"/>
      <w:lvlText w:val="%1)"/>
      <w:numFmt w:val="decimal"/>
      <w:start w:val="6"/>
    </w:lvl>
  </w:abstractNum>
  <w:abstractNum w:abstractNumId="112">
    <w:nsid w:val="65968C1C"/>
    <w:multiLevelType w:val="hybridMultilevel"/>
    <w:lvl w:ilvl="0">
      <w:lvlJc w:val="left"/>
      <w:lvlText w:val="%1)"/>
      <w:numFmt w:val="decimal"/>
      <w:start w:val="1"/>
    </w:lvl>
  </w:abstractNum>
  <w:abstractNum w:abstractNumId="113">
    <w:nsid w:val="46263DEC"/>
    <w:multiLevelType w:val="hybridMultilevel"/>
    <w:lvl w:ilvl="0">
      <w:lvlJc w:val="left"/>
      <w:lvlText w:val="%1)"/>
      <w:numFmt w:val="decimal"/>
      <w:start w:val="2"/>
    </w:lvl>
  </w:abstractNum>
  <w:abstractNum w:abstractNumId="114">
    <w:nsid w:val="260D8C4A"/>
    <w:multiLevelType w:val="hybridMultilevel"/>
    <w:lvl w:ilvl="0">
      <w:lvlJc w:val="left"/>
      <w:lvlText w:val="%1."/>
      <w:numFmt w:val="lowerLetter"/>
      <w:start w:val="3"/>
    </w:lvl>
  </w:abstractNum>
  <w:abstractNum w:abstractNumId="115">
    <w:nsid w:val="73D4D3C4"/>
    <w:multiLevelType w:val="hybridMultilevel"/>
    <w:lvl w:ilvl="0">
      <w:lvlJc w:val="left"/>
      <w:lvlText w:val="%1)"/>
      <w:numFmt w:val="decimal"/>
      <w:start w:val="1"/>
    </w:lvl>
  </w:abstractNum>
  <w:abstractNum w:abstractNumId="116">
    <w:nsid w:val="746F2E30"/>
    <w:multiLevelType w:val="hybridMultilevel"/>
    <w:lvl w:ilvl="0">
      <w:lvlJc w:val="left"/>
      <w:lvlText w:val="%1)"/>
      <w:numFmt w:val="decimal"/>
      <w:start w:val="2"/>
    </w:lvl>
  </w:abstractNum>
  <w:abstractNum w:abstractNumId="117">
    <w:nsid w:val="6FDE8AF6"/>
    <w:multiLevelType w:val="hybridMultilevel"/>
    <w:lvl w:ilvl="0">
      <w:lvlJc w:val="left"/>
      <w:lvlText w:val="%1)"/>
      <w:numFmt w:val="decimal"/>
      <w:start w:val="4"/>
    </w:lvl>
  </w:abstractNum>
  <w:abstractNum w:abstractNumId="118">
    <w:nsid w:val="3FC32E20"/>
    <w:multiLevelType w:val="hybridMultilevel"/>
    <w:lvl w:ilvl="0">
      <w:lvlJc w:val="left"/>
      <w:lvlText w:val="%1)"/>
      <w:numFmt w:val="decimal"/>
      <w:start w:val="1"/>
    </w:lvl>
    <w:lvl w:ilvl="1">
      <w:lvlJc w:val="left"/>
      <w:lvlText w:val="%2)"/>
      <w:numFmt w:val="lowerLetter"/>
      <w:start w:val="1"/>
    </w:lvl>
  </w:abstractNum>
  <w:abstractNum w:abstractNumId="119">
    <w:nsid w:val="49C0E8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0">
    <w:nsid w:val="14D53685"/>
    <w:multiLevelType w:val="hybridMultilevel"/>
    <w:lvl w:ilvl="0">
      <w:lvlJc w:val="left"/>
      <w:lvlText w:val="%1)"/>
      <w:numFmt w:val="lowerLetter"/>
      <w:start w:val="1"/>
    </w:lvl>
  </w:abstractNum>
  <w:abstractNum w:abstractNumId="121">
    <w:nsid w:val="230F856C"/>
    <w:multiLevelType w:val="hybridMultilevel"/>
    <w:lvl w:ilvl="0">
      <w:lvlJc w:val="left"/>
      <w:lvlText w:val="%1)"/>
      <w:numFmt w:val="decimal"/>
      <w:start w:val="3"/>
    </w:lvl>
  </w:abstractNum>
  <w:abstractNum w:abstractNumId="122">
    <w:nsid w:val="6EAA85FB"/>
    <w:multiLevelType w:val="hybridMultilevel"/>
    <w:lvl w:ilvl="0">
      <w:lvlJc w:val="left"/>
      <w:lvlText w:val="%1)"/>
      <w:numFmt w:val="decimal"/>
      <w:start w:val="4"/>
    </w:lvl>
  </w:abstractNum>
  <w:abstractNum w:abstractNumId="123">
    <w:nsid w:val="3F06ECB2"/>
    <w:multiLevelType w:val="hybridMultilevel"/>
    <w:lvl w:ilvl="0">
      <w:lvlJc w:val="left"/>
      <w:lvlText w:val="%1)"/>
      <w:numFmt w:val="decimal"/>
      <w:start w:val="5"/>
    </w:lvl>
  </w:abstractNum>
  <w:abstractNum w:abstractNumId="124">
    <w:nsid w:val="3B594807"/>
    <w:multiLevelType w:val="hybridMultilevel"/>
    <w:lvl w:ilvl="0">
      <w:lvlJc w:val="left"/>
      <w:lvlText w:val="%1)"/>
      <w:numFmt w:val="decimal"/>
      <w:start w:val="6"/>
    </w:lvl>
  </w:abstractNum>
  <w:abstractNum w:abstractNumId="125">
    <w:nsid w:val="6CAA2304"/>
    <w:multiLevelType w:val="hybridMultilevel"/>
    <w:lvl w:ilvl="0">
      <w:lvlJc w:val="left"/>
      <w:lvlText w:val="%1."/>
      <w:numFmt w:val="lowerLetter"/>
      <w:start w:val="5"/>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decimal"/>
      <w:start w:val="1"/>
    </w:lvl>
  </w:abstractNum>
  <w:abstractNum w:abstractNumId="128">
    <w:nsid w:val="17180B0B"/>
    <w:multiLevelType w:val="hybridMultilevel"/>
    <w:lvl w:ilvl="0">
      <w:lvlJc w:val="left"/>
      <w:lvlText w:val="%1."/>
      <w:numFmt w:val="decimal"/>
      <w:start w:val="2"/>
    </w:lvl>
  </w:abstractNum>
  <w:abstractNum w:abstractNumId="129">
    <w:nsid w:val="579328B9"/>
    <w:multiLevelType w:val="hybridMultilevel"/>
    <w:lvl w:ilvl="0">
      <w:lvlJc w:val="left"/>
      <w:lvlText w:val="∎"/>
      <w:numFmt w:val="bullet"/>
      <w:start w:val="1"/>
    </w:lvl>
  </w:abstractNum>
  <w:abstractNum w:abstractNumId="130">
    <w:nsid w:val="5D205E20"/>
    <w:multiLevelType w:val="hybridMultilevel"/>
    <w:lvl w:ilvl="0">
      <w:lvlJc w:val="left"/>
      <w:lvlText w:val="∎"/>
      <w:numFmt w:val="bullet"/>
      <w:start w:val="1"/>
    </w:lvl>
  </w:abstractNum>
  <w:abstractNum w:abstractNumId="131">
    <w:nsid w:val="11CCA8BA"/>
    <w:multiLevelType w:val="hybridMultilevel"/>
    <w:lvl w:ilvl="0">
      <w:lvlJc w:val="left"/>
      <w:lvlText w:val="∎"/>
      <w:numFmt w:val="bullet"/>
      <w:start w:val="1"/>
    </w:lvl>
  </w:abstractNum>
  <w:abstractNum w:abstractNumId="132">
    <w:nsid w:val="4D32AB86"/>
    <w:multiLevelType w:val="hybridMultilevel"/>
    <w:lvl w:ilvl="0">
      <w:lvlJc w:val="left"/>
      <w:lvlText w:val="∎"/>
      <w:numFmt w:val="bullet"/>
      <w:start w:val="1"/>
    </w:lvl>
  </w:abstractNum>
  <w:abstractNum w:abstractNumId="133">
    <w:nsid w:val="3F07ACC3"/>
    <w:multiLevelType w:val="hybridMultilevel"/>
    <w:lvl w:ilvl="0">
      <w:lvlJc w:val="left"/>
      <w:lvlText w:val="∎"/>
      <w:numFmt w:val="bullet"/>
      <w:start w:val="1"/>
    </w:lvl>
  </w:abstractNum>
  <w:abstractNum w:abstractNumId="134">
    <w:nsid w:val="6B47F63E"/>
    <w:multiLevelType w:val="hybridMultilevel"/>
    <w:lvl w:ilvl="0">
      <w:lvlJc w:val="left"/>
      <w:lvlText w:val="∎"/>
      <w:numFmt w:val="bullet"/>
      <w:start w:val="1"/>
    </w:lvl>
  </w:abstractNum>
  <w:abstractNum w:abstractNumId="135">
    <w:nsid w:val="5CB44A05"/>
    <w:multiLevelType w:val="hybridMultilevel"/>
    <w:lvl w:ilvl="0">
      <w:lvlJc w:val="left"/>
      <w:lvlText w:val="†"/>
      <w:numFmt w:val="bullet"/>
      <w:start w:val="1"/>
    </w:lvl>
  </w:abstractNum>
  <w:abstractNum w:abstractNumId="136">
    <w:nsid w:val="16CF80F1"/>
    <w:multiLevelType w:val="hybridMultilevel"/>
    <w:lvl w:ilvl="0">
      <w:lvlJc w:val="left"/>
      <w:lvlText w:val="(%1)"/>
      <w:numFmt w:val="lowerLetter"/>
      <w:start w:val="2"/>
    </w:lvl>
  </w:abstractNum>
  <w:abstractNum w:abstractNumId="137">
    <w:nsid w:val="1C695DEC"/>
    <w:multiLevelType w:val="hybridMultilevel"/>
    <w:lvl w:ilvl="0">
      <w:lvlJc w:val="left"/>
      <w:lvlText w:val="(%1)"/>
      <w:numFmt w:val="decimal"/>
      <w:start w:val="1"/>
    </w:lvl>
  </w:abstractNum>
  <w:abstractNum w:abstractNumId="138">
    <w:nsid w:val="3FCFAED9"/>
    <w:multiLevelType w:val="hybridMultilevel"/>
    <w:lvl w:ilvl="0">
      <w:lvlJc w:val="left"/>
      <w:lvlText w:val="(%1)"/>
      <w:numFmt w:val="lowerLetter"/>
      <w:start w:val="1"/>
    </w:lvl>
  </w:abstractNum>
  <w:abstractNum w:abstractNumId="139">
    <w:nsid w:val="F856867"/>
    <w:multiLevelType w:val="hybridMultilevel"/>
    <w:lvl w:ilvl="0">
      <w:lvlJc w:val="left"/>
      <w:lvlText w:val="(%1)"/>
      <w:numFmt w:val="lowerLetter"/>
      <w:start w:val="2"/>
    </w:lvl>
  </w:abstractNum>
  <w:abstractNum w:abstractNumId="140">
    <w:nsid w:val="11B1CC33"/>
    <w:multiLevelType w:val="hybridMultilevel"/>
    <w:lvl w:ilvl="0">
      <w:lvlJc w:val="left"/>
      <w:lvlText w:val="(%1)"/>
      <w:numFmt w:val="lowerLetter"/>
      <w:start w:val="6"/>
    </w:lvl>
  </w:abstractNum>
  <w:abstractNum w:abstractNumId="141">
    <w:nsid w:val="2E22FBB7"/>
    <w:multiLevelType w:val="hybridMultilevel"/>
    <w:lvl w:ilvl="0">
      <w:lvlJc w:val="left"/>
      <w:lvlText w:val="%1"/>
      <w:numFmt w:val="lowerRoman"/>
      <w:start w:val="1"/>
    </w:lvl>
    <w:lvl w:ilvl="1">
      <w:lvlJc w:val="left"/>
      <w:lvlText w:val="(%2)"/>
      <w:numFmt w:val="lowerLetter"/>
      <w:start w:val="11"/>
    </w:lvl>
  </w:abstractNum>
  <w:abstractNum w:abstractNumId="142">
    <w:nsid w:val="29934699"/>
    <w:multiLevelType w:val="hybridMultilevel"/>
    <w:lvl w:ilvl="0">
      <w:lvlJc w:val="left"/>
      <w:lvlText w:val="(%1)"/>
      <w:numFmt w:val="lowerRoman"/>
      <w:start w:val="2"/>
    </w:lvl>
    <w:lvl w:ilvl="1">
      <w:lvlJc w:val="left"/>
      <w:lvlText w:val="(%2)"/>
      <w:numFmt w:val="lowerLetter"/>
      <w:start w:val="13"/>
    </w:lvl>
  </w:abstractNum>
  <w:abstractNum w:abstractNumId="143">
    <w:nsid w:val="77485850"/>
    <w:multiLevelType w:val="hybridMultilevel"/>
    <w:lvl w:ilvl="0">
      <w:lvlJc w:val="left"/>
      <w:lvlText w:val="(%1)"/>
      <w:numFmt w:val="lowerRoman"/>
      <w:start w:val="3"/>
    </w:lvl>
    <w:lvl w:ilvl="1">
      <w:lvlJc w:val="left"/>
      <w:lvlText w:val="%2"/>
      <w:numFmt w:val="lowerLetter"/>
      <w:start w:val="1"/>
    </w:lvl>
  </w:abstractNum>
  <w:abstractNum w:abstractNumId="144">
    <w:nsid w:val="744939A3"/>
    <w:multiLevelType w:val="hybridMultilevel"/>
    <w:lvl w:ilvl="0">
      <w:lvlJc w:val="left"/>
      <w:lvlText w:val="(%1)"/>
      <w:numFmt w:val="lowerLetter"/>
      <w:start w:val="14"/>
    </w:lvl>
  </w:abstractNum>
  <w:abstractNum w:abstractNumId="145">
    <w:nsid w:val="4FA0D2E3"/>
    <w:multiLevelType w:val="hybridMultilevel"/>
    <w:lvl w:ilvl="0">
      <w:lvlJc w:val="left"/>
      <w:lvlText w:val="(%1)"/>
      <w:numFmt w:val="lowerLetter"/>
      <w:start w:val="17"/>
    </w:lvl>
  </w:abstractNum>
  <w:abstractNum w:abstractNumId="146">
    <w:nsid w:val="6B1D2C14"/>
    <w:multiLevelType w:val="hybridMultilevel"/>
    <w:lvl w:ilvl="0">
      <w:lvlJc w:val="left"/>
      <w:lvlText w:val="(%1)"/>
      <w:numFmt w:val="lowerLetter"/>
      <w:start w:val="19"/>
    </w:lvl>
  </w:abstractNum>
  <w:abstractNum w:abstractNumId="147">
    <w:nsid w:val="68B867D3"/>
    <w:multiLevelType w:val="hybridMultilevel"/>
    <w:lvl w:ilvl="0">
      <w:lvlJc w:val="left"/>
      <w:lvlText w:val="(%1)"/>
      <w:numFmt w:val="lowerLetter"/>
      <w:start w:val="22"/>
    </w:lvl>
  </w:abstractNum>
  <w:abstractNum w:abstractNumId="148">
    <w:nsid w:val="3F7F5DD9"/>
    <w:multiLevelType w:val="hybridMultilevel"/>
    <w:lvl w:ilvl="0">
      <w:lvlJc w:val="left"/>
      <w:lvlText w:val="(%1)"/>
      <w:numFmt w:val="lowerLetter"/>
      <w:start w:val="26"/>
    </w:lvl>
  </w:abstractNum>
  <w:abstractNum w:abstractNumId="149">
    <w:nsid w:val="2AE05A34"/>
    <w:multiLevelType w:val="hybridMultilevel"/>
    <w:lvl w:ilvl="0">
      <w:lvlJc w:val="left"/>
      <w:lvlText w:val="(%1)"/>
      <w:numFmt w:val="lowerLetter"/>
      <w:start w:val="27"/>
    </w:lvl>
  </w:abstractNum>
  <w:abstractNum w:abstractNumId="150">
    <w:nsid w:val="32794FF7"/>
    <w:multiLevelType w:val="hybridMultilevel"/>
    <w:lvl w:ilvl="0">
      <w:lvlJc w:val="left"/>
      <w:lvlText w:val="(%1)"/>
      <w:numFmt w:val="lowerLetter"/>
      <w:start w:val="29"/>
    </w:lvl>
  </w:abstractNum>
  <w:abstractNum w:abstractNumId="151">
    <w:nsid w:val="5454945E"/>
    <w:multiLevelType w:val="hybridMultilevel"/>
    <w:lvl w:ilvl="0">
      <w:lvlJc w:val="left"/>
      <w:lvlText w:val="%1"/>
      <w:numFmt w:val="lowerLetter"/>
      <w:start w:val="1"/>
    </w:lvl>
    <w:lvl w:ilvl="1">
      <w:lvlJc w:val="left"/>
      <w:lvlText w:val="(%2)"/>
      <w:numFmt w:val="lowerLetter"/>
      <w:start w:val="33"/>
    </w:lvl>
  </w:abstractNum>
  <w:abstractNum w:abstractNumId="152">
    <w:nsid w:val="4DEFDFA0"/>
    <w:multiLevelType w:val="hybridMultilevel"/>
    <w:lvl w:ilvl="0">
      <w:lvlJc w:val="left"/>
      <w:lvlText w:val="(%1)"/>
      <w:numFmt w:val="lowerLetter"/>
      <w:start w:val="61"/>
    </w:lvl>
    <w:lvl w:ilvl="1">
      <w:lvlJc w:val="left"/>
      <w:lvlText w:val="(%2)"/>
      <w:numFmt w:val="lowerLetter"/>
      <w:start w:val="37"/>
    </w:lvl>
  </w:abstractNum>
  <w:abstractNum w:abstractNumId="153">
    <w:nsid w:val="2123D5F2"/>
    <w:multiLevelType w:val="hybridMultilevel"/>
    <w:lvl w:ilvl="0">
      <w:lvlJc w:val="left"/>
      <w:lvlText w:val="(%1)"/>
      <w:numFmt w:val="lowerLetter"/>
      <w:start w:val="39"/>
    </w:lvl>
  </w:abstractNum>
  <w:abstractNum w:abstractNumId="154">
    <w:nsid w:val="135B8110"/>
    <w:multiLevelType w:val="hybridMultilevel"/>
    <w:lvl w:ilvl="0">
      <w:lvlJc w:val="left"/>
      <w:lvlText w:val="%1"/>
      <w:numFmt w:val="decimal"/>
      <w:start w:val="1"/>
    </w:lvl>
    <w:lvl w:ilvl="1">
      <w:lvlJc w:val="left"/>
      <w:lvlText w:val="(%2)"/>
      <w:numFmt w:val="lowerLetter"/>
      <w:start w:val="44"/>
    </w:lvl>
  </w:abstractNum>
  <w:abstractNum w:abstractNumId="155">
    <w:nsid w:val="94927A8"/>
    <w:multiLevelType w:val="hybridMultilevel"/>
    <w:lvl w:ilvl="0">
      <w:lvlJc w:val="left"/>
      <w:lvlText w:val="(%1)"/>
      <w:numFmt w:val="decimal"/>
      <w:start w:val="48"/>
    </w:lvl>
    <w:lvl w:ilvl="1">
      <w:lvlJc w:val="left"/>
      <w:lvlText w:val="(%2)"/>
      <w:numFmt w:val="lowerLetter"/>
      <w:start w:val="45"/>
    </w:lvl>
  </w:abstractNum>
  <w:abstractNum w:abstractNumId="156">
    <w:nsid w:val="DCDF8F6"/>
    <w:multiLevelType w:val="hybridMultilevel"/>
    <w:lvl w:ilvl="0">
      <w:lvlJc w:val="left"/>
      <w:lvlText w:val="(%1)"/>
      <w:numFmt w:val="lowerLetter"/>
      <w:start w:val="47"/>
    </w:lvl>
  </w:abstractNum>
  <w:abstractNum w:abstractNumId="157">
    <w:nsid w:val="52D7B105"/>
    <w:multiLevelType w:val="hybridMultilevel"/>
    <w:lvl w:ilvl="0">
      <w:lvlJc w:val="left"/>
      <w:lvlText w:val="(%1)"/>
      <w:numFmt w:val="lowerLetter"/>
      <w:start w:val="1"/>
    </w:lvl>
  </w:abstractNum>
  <w:abstractNum w:abstractNumId="158">
    <w:nsid w:val="2E8A6394"/>
    <w:multiLevelType w:val="hybridMultilevel"/>
    <w:lvl w:ilvl="0">
      <w:lvlJc w:val="left"/>
      <w:lvlText w:val="(%1)"/>
      <w:numFmt w:val="lowerLetter"/>
      <w:start w:val="4"/>
    </w:lvl>
    <w:lvl w:ilvl="1">
      <w:lvlJc w:val="left"/>
      <w:lvlText w:val="(%2)"/>
      <w:numFmt w:val="lowerLetter"/>
      <w:start w:val="35"/>
    </w:lvl>
  </w:abstractNum>
  <w:abstractNum w:abstractNumId="159">
    <w:nsid w:val="24E60401"/>
    <w:multiLevelType w:val="hybridMultilevel"/>
    <w:lvl w:ilvl="0">
      <w:lvlJc w:val="left"/>
      <w:lvlText w:val="(%1)"/>
      <w:numFmt w:val="lowerLetter"/>
      <w:start w:val="1"/>
    </w:lvl>
  </w:abstractNum>
  <w:abstractNum w:abstractNumId="160">
    <w:nsid w:val="2A6AD9BE"/>
    <w:multiLevelType w:val="hybridMultilevel"/>
    <w:lvl w:ilvl="0">
      <w:lvlJc w:val="left"/>
      <w:lvlText w:val="%1"/>
      <w:numFmt w:val="lowerRoman"/>
      <w:start w:val="1"/>
    </w:lvl>
    <w:lvl w:ilvl="1">
      <w:lvlJc w:val="left"/>
      <w:lvlText w:val="(%2)"/>
      <w:numFmt w:val="lowerLetter"/>
      <w:start w:val="4"/>
    </w:lvl>
  </w:abstractNum>
  <w:abstractNum w:abstractNumId="161">
    <w:nsid w:val="BAAC1B4"/>
    <w:multiLevelType w:val="hybridMultilevel"/>
    <w:lvl w:ilvl="0">
      <w:lvlJc w:val="left"/>
      <w:lvlText w:val="(%1)"/>
      <w:numFmt w:val="lowerRoman"/>
      <w:start w:val="4"/>
    </w:lvl>
    <w:lvl w:ilvl="1">
      <w:lvlJc w:val="left"/>
      <w:lvlText w:val="(%2)"/>
      <w:numFmt w:val="lowerLetter"/>
      <w:start w:val="7"/>
    </w:lvl>
  </w:abstractNum>
  <w:abstractNum w:abstractNumId="162">
    <w:nsid w:val="36B2ACBC"/>
    <w:multiLevelType w:val="hybridMultilevel"/>
    <w:lvl w:ilvl="0">
      <w:lvlJc w:val="left"/>
      <w:lvlText w:val="(%1)"/>
      <w:numFmt w:val="lowerLetter"/>
      <w:start w:val="8"/>
    </w:lvl>
  </w:abstractNum>
  <w:abstractNum w:abstractNumId="163">
    <w:nsid w:val="779D8544"/>
    <w:multiLevelType w:val="hybridMultilevel"/>
    <w:lvl w:ilvl="0">
      <w:lvlJc w:val="left"/>
      <w:lvlText w:val="(%1)"/>
      <w:numFmt w:val="lowerLetter"/>
      <w:start w:val="13"/>
    </w:lvl>
  </w:abstractNum>
  <w:abstractNum w:abstractNumId="164">
    <w:nsid w:val="4AB26E78"/>
    <w:multiLevelType w:val="hybridMultilevel"/>
    <w:lvl w:ilvl="0">
      <w:lvlJc w:val="left"/>
      <w:lvlText w:val="%1"/>
      <w:numFmt w:val="lowerLetter"/>
      <w:start w:val="1"/>
    </w:lvl>
    <w:lvl w:ilvl="1">
      <w:lvlJc w:val="left"/>
      <w:lvlText w:val="(%2)"/>
      <w:numFmt w:val="lowerLetter"/>
      <w:start w:val="17"/>
    </w:lvl>
  </w:abstractNum>
  <w:abstractNum w:abstractNumId="165">
    <w:nsid w:val="21FAA2FA"/>
    <w:multiLevelType w:val="hybridMultilevel"/>
    <w:lvl w:ilvl="0">
      <w:lvlJc w:val="left"/>
      <w:lvlText w:val="(%1)"/>
      <w:numFmt w:val="lowerLetter"/>
      <w:start w:val="61"/>
    </w:lvl>
    <w:lvl w:ilvl="1">
      <w:lvlJc w:val="left"/>
      <w:lvlText w:val="(%2)"/>
      <w:numFmt w:val="lowerLetter"/>
      <w:start w:val="18"/>
    </w:lvl>
  </w:abstractNum>
  <w:abstractNum w:abstractNumId="166">
    <w:nsid w:val="5451CF49"/>
    <w:multiLevelType w:val="hybridMultilevel"/>
    <w:lvl w:ilvl="0">
      <w:lvlJc w:val="left"/>
      <w:lvlText w:val="(%1)"/>
      <w:numFmt w:val="lowerLetter"/>
      <w:start w:val="21"/>
    </w:lvl>
  </w:abstractNum>
  <w:abstractNum w:abstractNumId="167">
    <w:nsid w:val="6181EF69"/>
    <w:multiLevelType w:val="hybridMultilevel"/>
    <w:lvl w:ilvl="0">
      <w:lvlJc w:val="left"/>
      <w:lvlText w:val="(%1)"/>
      <w:numFmt w:val="lowerLetter"/>
      <w:start w:val="25"/>
    </w:lvl>
  </w:abstractNum>
  <w:abstractNum w:abstractNumId="168">
    <w:nsid w:val="3E6400E6"/>
    <w:multiLevelType w:val="hybridMultilevel"/>
    <w:lvl w:ilvl="0">
      <w:lvlJc w:val="left"/>
      <w:lvlText w:val="(%1)"/>
      <w:numFmt w:val="lowerRoman"/>
      <w:start w:val="3"/>
    </w:lvl>
  </w:abstractNum>
  <w:abstractNum w:abstractNumId="169">
    <w:nsid w:val="14217E23"/>
    <w:multiLevelType w:val="hybridMultilevel"/>
    <w:lvl w:ilvl="0">
      <w:lvlJc w:val="left"/>
      <w:lvlText w:val="(%1)"/>
      <w:numFmt w:val="lowerRoman"/>
      <w:start w:val="6"/>
    </w:lvl>
  </w:abstractNum>
  <w:abstractNum w:abstractNumId="170">
    <w:nsid w:val="710757D0"/>
    <w:multiLevelType w:val="hybridMultilevel"/>
    <w:lvl w:ilvl="0">
      <w:lvlJc w:val="left"/>
      <w:lvlText w:val="(%1)"/>
      <w:numFmt w:val="lowerLetter"/>
      <w:start w:val="1"/>
    </w:lvl>
  </w:abstractNum>
  <w:abstractNum w:abstractNumId="171">
    <w:nsid w:val="5015CD1A"/>
    <w:multiLevelType w:val="hybridMultilevel"/>
    <w:lvl w:ilvl="0">
      <w:lvlJc w:val="left"/>
      <w:lvlText w:val="(%1)"/>
      <w:numFmt w:val="lowerLetter"/>
      <w:start w:val="1"/>
    </w:lvl>
  </w:abstractNum>
  <w:abstractNum w:abstractNumId="172">
    <w:nsid w:val="424479DA"/>
    <w:multiLevelType w:val="hybridMultilevel"/>
    <w:lvl w:ilvl="0">
      <w:lvlJc w:val="left"/>
      <w:lvlText w:val="%1"/>
      <w:numFmt w:val="lowerLetter"/>
      <w:start w:val="1"/>
    </w:lvl>
    <w:lvl w:ilvl="1">
      <w:lvlJc w:val="left"/>
      <w:lvlText w:val="(%2)"/>
      <w:numFmt w:val="lowerRoman"/>
      <w:start w:val="1"/>
    </w:lvl>
  </w:abstractNum>
  <w:abstractNum w:abstractNumId="173">
    <w:nsid w:val="1A9A9E69"/>
    <w:multiLevelType w:val="hybridMultilevel"/>
    <w:lvl w:ilvl="0">
      <w:lvlJc w:val="left"/>
      <w:lvlText w:val="(%1)"/>
      <w:numFmt w:val="lowerLetter"/>
      <w:start w:val="3"/>
    </w:lvl>
    <w:lvl w:ilvl="1">
      <w:lvlJc w:val="left"/>
      <w:lvlText w:val="(%2)"/>
      <w:numFmt w:val="lowerRoman"/>
      <w:start w:val="1"/>
    </w:lvl>
  </w:abstractNum>
  <w:abstractNum w:abstractNumId="174">
    <w:nsid w:val="475E256A"/>
    <w:multiLevelType w:val="hybridMultilevel"/>
    <w:lvl w:ilvl="0">
      <w:lvlJc w:val="left"/>
      <w:lvlText w:val="%1"/>
      <w:numFmt w:val="lowerLetter"/>
      <w:start w:val="1"/>
    </w:lvl>
    <w:lvl w:ilvl="1">
      <w:lvlJc w:val="left"/>
      <w:lvlText w:val="(%2)"/>
      <w:numFmt w:val="lowerRoman"/>
      <w:start w:val="2"/>
    </w:lvl>
  </w:abstractNum>
  <w:abstractNum w:abstractNumId="175">
    <w:nsid w:val="368DB37E"/>
    <w:multiLevelType w:val="hybridMultilevel"/>
    <w:lvl w:ilvl="0">
      <w:lvlJc w:val="left"/>
      <w:lvlText w:val="(%1)"/>
      <w:numFmt w:val="lowerLetter"/>
      <w:start w:val="10"/>
    </w:lvl>
    <w:lvl w:ilvl="1">
      <w:lvlJc w:val="left"/>
      <w:lvlText w:val="%2"/>
      <w:numFmt w:val="lowerRoman"/>
      <w:start w:val="1"/>
    </w:lvl>
  </w:abstractNum>
  <w:abstractNum w:abstractNumId="176">
    <w:nsid w:val="6A3B714C"/>
    <w:multiLevelType w:val="hybridMultilevel"/>
    <w:lvl w:ilvl="0">
      <w:lvlJc w:val="left"/>
      <w:lvlText w:val="(%1)"/>
      <w:numFmt w:val="lowerLetter"/>
      <w:start w:val="1"/>
    </w:lvl>
  </w:abstractNum>
  <w:abstractNum w:abstractNumId="177">
    <w:nsid w:val="327B517E"/>
    <w:multiLevelType w:val="hybridMultilevel"/>
    <w:lvl w:ilvl="0">
      <w:lvlJc w:val="left"/>
      <w:lvlText w:val="(%1)"/>
      <w:numFmt w:val="lowerLetter"/>
      <w:start w:val="3"/>
    </w:lvl>
  </w:abstractNum>
  <w:abstractNum w:abstractNumId="178">
    <w:nsid w:val="1F461B51"/>
    <w:multiLevelType w:val="hybridMultilevel"/>
    <w:lvl w:ilvl="0">
      <w:lvlJc w:val="left"/>
      <w:lvlText w:val="(%1)"/>
      <w:numFmt w:val="lowerLetter"/>
      <w:start w:val="4"/>
    </w:lvl>
  </w:abstractNum>
  <w:abstractNum w:abstractNumId="179">
    <w:nsid w:val="29BACF25"/>
    <w:multiLevelType w:val="hybridMultilevel"/>
    <w:lvl w:ilvl="0">
      <w:lvlJc w:val="left"/>
      <w:lvlText w:val="(%1)"/>
      <w:numFmt w:val="lowerRoman"/>
      <w:start w:val="2"/>
    </w:lvl>
  </w:abstractNum>
  <w:abstractNum w:abstractNumId="180">
    <w:nsid w:val="5D5BABB3"/>
    <w:multiLevelType w:val="hybridMultilevel"/>
    <w:lvl w:ilvl="0">
      <w:lvlJc w:val="left"/>
      <w:lvlText w:val="(%1)"/>
      <w:numFmt w:val="lowerLetter"/>
      <w:start w:val="4"/>
    </w:lvl>
  </w:abstractNum>
  <w:abstractNum w:abstractNumId="181">
    <w:nsid w:val="51BF6B48"/>
    <w:multiLevelType w:val="hybridMultilevel"/>
    <w:lvl w:ilvl="0">
      <w:lvlJc w:val="left"/>
      <w:lvlText w:val="•"/>
      <w:numFmt w:val="bullet"/>
      <w:start w:val="1"/>
    </w:lvl>
  </w:abstractNum>
  <w:abstractNum w:abstractNumId="182">
    <w:nsid w:val="7E0F6384"/>
    <w:multiLevelType w:val="hybridMultilevel"/>
    <w:lvl w:ilvl="0">
      <w:lvlJc w:val="left"/>
      <w:lvlText w:val="•"/>
      <w:numFmt w:val="bullet"/>
      <w:start w:val="1"/>
    </w:lvl>
  </w:abstractNum>
  <w:abstractNum w:abstractNumId="183">
    <w:nsid w:val="2B4B8B53"/>
    <w:multiLevelType w:val="hybridMultilevel"/>
    <w:lvl w:ilvl="0">
      <w:lvlJc w:val="left"/>
      <w:lvlText w:val="•"/>
      <w:numFmt w:val="bullet"/>
      <w:start w:val="1"/>
    </w:lvl>
  </w:abstractNum>
  <w:abstractNum w:abstractNumId="184">
    <w:nsid w:val="72E3413A"/>
    <w:multiLevelType w:val="hybridMultilevel"/>
    <w:lvl w:ilvl="0">
      <w:lvlJc w:val="left"/>
      <w:lvlText w:val="•"/>
      <w:numFmt w:val="bullet"/>
      <w:start w:val="1"/>
    </w:lvl>
  </w:abstractNum>
  <w:abstractNum w:abstractNumId="185">
    <w:nsid w:val="116AE4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86" Type="http://schemas.openxmlformats.org/officeDocument/2006/relationships/image" Target="media/image570.png"/><Relationship Id="rId588" Type="http://schemas.openxmlformats.org/officeDocument/2006/relationships/image" Target="media/image571.png"/><Relationship Id="rId589" Type="http://schemas.openxmlformats.org/officeDocument/2006/relationships/image" Target="media/image572.png"/><Relationship Id="rId590" Type="http://schemas.openxmlformats.org/officeDocument/2006/relationships/image" Target="media/image573.png"/><Relationship Id="rId591" Type="http://schemas.openxmlformats.org/officeDocument/2006/relationships/image" Target="media/image574.png"/><Relationship Id="rId592" Type="http://schemas.openxmlformats.org/officeDocument/2006/relationships/image" Target="media/image575.png"/><Relationship Id="rId593" Type="http://schemas.openxmlformats.org/officeDocument/2006/relationships/image" Target="media/image576.png"/><Relationship Id="rId594" Type="http://schemas.openxmlformats.org/officeDocument/2006/relationships/image" Target="media/image577.png"/><Relationship Id="rId595" Type="http://schemas.openxmlformats.org/officeDocument/2006/relationships/image" Target="media/image578.png"/><Relationship Id="rId596" Type="http://schemas.openxmlformats.org/officeDocument/2006/relationships/image" Target="media/image579.png"/><Relationship Id="rId597" Type="http://schemas.openxmlformats.org/officeDocument/2006/relationships/image" Target="media/image580.png"/><Relationship Id="rId598" Type="http://schemas.openxmlformats.org/officeDocument/2006/relationships/image" Target="media/image581.png"/><Relationship Id="rId599" Type="http://schemas.openxmlformats.org/officeDocument/2006/relationships/image" Target="media/image582.png"/><Relationship Id="rId600" Type="http://schemas.openxmlformats.org/officeDocument/2006/relationships/image" Target="media/image583.png"/><Relationship Id="rId601" Type="http://schemas.openxmlformats.org/officeDocument/2006/relationships/image" Target="media/image584.png"/><Relationship Id="rId602" Type="http://schemas.openxmlformats.org/officeDocument/2006/relationships/image" Target="media/image585.png"/><Relationship Id="rId603" Type="http://schemas.openxmlformats.org/officeDocument/2006/relationships/image" Target="media/image586.png"/><Relationship Id="rId604" Type="http://schemas.openxmlformats.org/officeDocument/2006/relationships/image" Target="media/image587.png"/><Relationship Id="rId605" Type="http://schemas.openxmlformats.org/officeDocument/2006/relationships/image" Target="media/image588.png"/><Relationship Id="rId606" Type="http://schemas.openxmlformats.org/officeDocument/2006/relationships/image" Target="media/image589.png"/><Relationship Id="rId607" Type="http://schemas.openxmlformats.org/officeDocument/2006/relationships/image" Target="media/image590.png"/><Relationship Id="rId608" Type="http://schemas.openxmlformats.org/officeDocument/2006/relationships/image" Target="media/image591.png"/><Relationship Id="rId609" Type="http://schemas.openxmlformats.org/officeDocument/2006/relationships/image" Target="media/image592.png"/><Relationship Id="rId610" Type="http://schemas.openxmlformats.org/officeDocument/2006/relationships/image" Target="media/image593.png"/><Relationship Id="rId611" Type="http://schemas.openxmlformats.org/officeDocument/2006/relationships/image" Target="media/image594.png"/><Relationship Id="rId612" Type="http://schemas.openxmlformats.org/officeDocument/2006/relationships/image" Target="media/image595.png"/><Relationship Id="rId613" Type="http://schemas.openxmlformats.org/officeDocument/2006/relationships/image" Target="media/image596.png"/><Relationship Id="rId614" Type="http://schemas.openxmlformats.org/officeDocument/2006/relationships/image" Target="media/image597.png"/><Relationship Id="rId615" Type="http://schemas.openxmlformats.org/officeDocument/2006/relationships/image" Target="media/image598.png"/><Relationship Id="rId616" Type="http://schemas.openxmlformats.org/officeDocument/2006/relationships/image" Target="media/image599.png"/><Relationship Id="rId617" Type="http://schemas.openxmlformats.org/officeDocument/2006/relationships/image" Target="media/image600.png"/><Relationship Id="rId618" Type="http://schemas.openxmlformats.org/officeDocument/2006/relationships/image" Target="media/image601.png"/><Relationship Id="rId619" Type="http://schemas.openxmlformats.org/officeDocument/2006/relationships/image" Target="media/image602.png"/><Relationship Id="rId620"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3" Type="http://schemas.openxmlformats.org/officeDocument/2006/relationships/image" Target="media/image606.png"/><Relationship Id="rId624" Type="http://schemas.openxmlformats.org/officeDocument/2006/relationships/image" Target="media/image607.png"/><Relationship Id="rId625" Type="http://schemas.openxmlformats.org/officeDocument/2006/relationships/image" Target="media/image608.png"/><Relationship Id="rId626" Type="http://schemas.openxmlformats.org/officeDocument/2006/relationships/image" Target="media/image609.png"/><Relationship Id="rId627" Type="http://schemas.openxmlformats.org/officeDocument/2006/relationships/image" Target="media/image610.png"/><Relationship Id="rId628" Type="http://schemas.openxmlformats.org/officeDocument/2006/relationships/image" Target="media/image611.png"/><Relationship Id="rId629" Type="http://schemas.openxmlformats.org/officeDocument/2006/relationships/image" Target="media/image612.png"/><Relationship Id="rId630" Type="http://schemas.openxmlformats.org/officeDocument/2006/relationships/image" Target="media/image613.png"/><Relationship Id="rId631" Type="http://schemas.openxmlformats.org/officeDocument/2006/relationships/image" Target="media/image614.png"/><Relationship Id="rId632" Type="http://schemas.openxmlformats.org/officeDocument/2006/relationships/image" Target="media/image615.png"/><Relationship Id="rId633" Type="http://schemas.openxmlformats.org/officeDocument/2006/relationships/image" Target="media/image616.png"/><Relationship Id="rId634" Type="http://schemas.openxmlformats.org/officeDocument/2006/relationships/image" Target="media/image617.png"/><Relationship Id="rId635" Type="http://schemas.openxmlformats.org/officeDocument/2006/relationships/image" Target="media/image618.png"/><Relationship Id="rId636" Type="http://schemas.openxmlformats.org/officeDocument/2006/relationships/image" Target="media/image619.png"/><Relationship Id="rId63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0" Type="http://schemas.openxmlformats.org/officeDocument/2006/relationships/image" Target="media/image623.png"/><Relationship Id="rId641" Type="http://schemas.openxmlformats.org/officeDocument/2006/relationships/image" Target="media/image624.png"/><Relationship Id="rId642" Type="http://schemas.openxmlformats.org/officeDocument/2006/relationships/image" Target="media/image625.jpeg"/><Relationship Id="rId643" Type="http://schemas.openxmlformats.org/officeDocument/2006/relationships/image" Target="media/image626.jpeg"/><Relationship Id="rId577" Type="http://schemas.openxmlformats.org/officeDocument/2006/relationships/hyperlink" Target="http://www.sec.gov/Archives/edgar/data/1668243/000119312517175069/d401998dex31.htm" TargetMode="External"/><Relationship Id="rId578" Type="http://schemas.openxmlformats.org/officeDocument/2006/relationships/hyperlink" Target="http://www.sec.gov/Archives/edgar/data/1668243/000119312517116003/d142578dex101.htm" TargetMode="External"/><Relationship Id="rId579" Type="http://schemas.openxmlformats.org/officeDocument/2006/relationships/hyperlink" Target="http://www.sec.gov/Archives/edgar/data/1668243/000119312517116003/d142578dex102.htm" TargetMode="External"/><Relationship Id="rId580" Type="http://schemas.openxmlformats.org/officeDocument/2006/relationships/hyperlink" Target="http://www.sec.gov/Archives/edgar/data/1668243/000119312517116003/d142578dex103.htm" TargetMode="External"/><Relationship Id="rId581" Type="http://schemas.openxmlformats.org/officeDocument/2006/relationships/hyperlink" Target="http://www.sec.gov/Archives/edgar/data/1668243/000119312517116003/d142578dex104.htm" TargetMode="External"/><Relationship Id="rId582" Type="http://schemas.openxmlformats.org/officeDocument/2006/relationships/hyperlink" Target="http://www.sec.gov/Archives/edgar/data/1668243/000119312517116003/d142578dex105.htm" TargetMode="External"/><Relationship Id="rId583" Type="http://schemas.openxmlformats.org/officeDocument/2006/relationships/hyperlink" Target="http://www.sec.gov/Archives/edgar/data/1668243/000119312517116003/d142578dex106.htm" TargetMode="External"/><Relationship Id="rId584" Type="http://schemas.openxmlformats.org/officeDocument/2006/relationships/hyperlink" Target="http://www.sec.gov/Archives/edgar/data/1668243/000119312517116003/d142578dex107.htm" TargetMode="External"/><Relationship Id="rId585" Type="http://schemas.openxmlformats.org/officeDocument/2006/relationships/hyperlink" Target="http://www.sec.gov/Archives/edgar/data/1668243/000119312517116003/d142578dex211.htm" TargetMode="External"/><Relationship Id="rId587" Type="http://schemas.openxmlformats.org/officeDocument/2006/relationships/hyperlink" Target="http://www.sec.gov/Archives/edgar/data/1668243/000119312517116003/d14257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2019-12-08T15:08:28Z</dcterms:created>
  <dcterms:modified xsi:type="dcterms:W3CDTF">2019-12-08T15:08:28Z</dcterms:modified>
</cp:coreProperties>
</file>