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415290</wp:posOffset>
            </wp:positionV>
            <wp:extent cx="715073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2222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467360</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jc w:val="center"/>
        <w:ind w:right="-6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9"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30480</wp:posOffset>
            </wp:positionV>
            <wp:extent cx="17875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33"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28"/>
          <w:szCs w:val="28"/>
          <w:b w:val="1"/>
          <w:bCs w:val="1"/>
          <w:color w:val="auto"/>
        </w:rPr>
        <w:t>Form 10-K/A</w:t>
      </w:r>
    </w:p>
    <w:p>
      <w:pPr>
        <w:spacing w:after="0" w:line="202"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161925</wp:posOffset>
            </wp:positionV>
            <wp:extent cx="17875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 w:lineRule="exact"/>
        <w:rPr>
          <w:sz w:val="24"/>
          <w:szCs w:val="24"/>
          <w:color w:val="auto"/>
        </w:rPr>
      </w:pPr>
    </w:p>
    <w:p>
      <w:pPr>
        <w:ind w:left="4167" w:right="3040" w:hanging="4167"/>
        <w:spacing w:after="0" w:line="739" w:lineRule="auto"/>
        <w:tabs>
          <w:tab w:leader="none" w:pos="56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61"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77" w:lineRule="exact"/>
        <w:rPr>
          <w:sz w:val="24"/>
          <w:szCs w:val="24"/>
          <w:color w:val="auto"/>
        </w:rPr>
      </w:pPr>
    </w:p>
    <w:p>
      <w:pPr>
        <w:ind w:left="567" w:hanging="567"/>
        <w:spacing w:after="0"/>
        <w:tabs>
          <w:tab w:leader="none" w:pos="56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77" w:lineRule="exact"/>
        <w:rPr>
          <w:sz w:val="24"/>
          <w:szCs w:val="24"/>
          <w:color w:val="auto"/>
        </w:rPr>
      </w:pPr>
    </w:p>
    <w:p>
      <w:pPr>
        <w:ind w:left="3407"/>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from_____________to </w:t>
      </w:r>
      <w:r>
        <w:rPr>
          <w:rFonts w:ascii="Times New Roman" w:cs="Times New Roman" w:eastAsia="Times New Roman" w:hAnsi="Times New Roman"/>
          <w:sz w:val="16"/>
          <w:szCs w:val="16"/>
          <w:b w:val="1"/>
          <w:bCs w:val="1"/>
          <w:u w:val="single" w:color="auto"/>
          <w:color w:val="auto"/>
        </w:rPr>
        <w:t>________________</w:t>
      </w:r>
    </w:p>
    <w:p>
      <w:pPr>
        <w:spacing w:after="0" w:line="190"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Commission file number: 001-38079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161925</wp:posOffset>
            </wp:positionV>
            <wp:extent cx="17875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37"/>
          <w:szCs w:val="37"/>
          <w:b w:val="1"/>
          <w:bCs w:val="1"/>
          <w:color w:val="auto"/>
        </w:rPr>
        <w:t>UROGEN PHARMA LTD.</w:t>
      </w:r>
    </w:p>
    <w:p>
      <w:pPr>
        <w:spacing w:after="0" w:line="219"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161925</wp:posOffset>
            </wp:positionV>
            <wp:extent cx="17875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447"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700" w:type="dxa"/>
            <w:vAlign w:val="bottom"/>
          </w:tcPr>
          <w:p>
            <w:pPr>
              <w:jc w:val="center"/>
              <w:ind w:right="1802"/>
              <w:spacing w:after="0"/>
              <w:rPr>
                <w:sz w:val="20"/>
                <w:szCs w:val="20"/>
                <w:color w:val="auto"/>
              </w:rPr>
            </w:pPr>
            <w:r>
              <w:rPr>
                <w:rFonts w:ascii="Times New Roman" w:cs="Times New Roman" w:eastAsia="Times New Roman" w:hAnsi="Times New Roman"/>
                <w:sz w:val="16"/>
                <w:szCs w:val="16"/>
                <w:b w:val="1"/>
                <w:bCs w:val="1"/>
                <w:color w:val="auto"/>
                <w:w w:val="97"/>
              </w:rPr>
              <w:t>Israel</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60" w:type="dxa"/>
            <w:vAlign w:val="bottom"/>
            <w:gridSpan w:val="2"/>
          </w:tcPr>
          <w:p>
            <w:pPr>
              <w:jc w:val="right"/>
              <w:ind w:right="1622"/>
              <w:spacing w:after="0"/>
              <w:rPr>
                <w:sz w:val="20"/>
                <w:szCs w:val="20"/>
                <w:color w:val="auto"/>
              </w:rPr>
            </w:pPr>
            <w:r>
              <w:rPr>
                <w:rFonts w:ascii="Times New Roman" w:cs="Times New Roman" w:eastAsia="Times New Roman" w:hAnsi="Times New Roman"/>
                <w:sz w:val="16"/>
                <w:szCs w:val="16"/>
                <w:b w:val="1"/>
                <w:bCs w:val="1"/>
                <w:color w:val="auto"/>
              </w:rPr>
              <w:t>98-1460746</w:t>
            </w:r>
          </w:p>
        </w:tc>
      </w:tr>
      <w:tr>
        <w:trPr>
          <w:trHeight w:val="187"/>
        </w:trPr>
        <w:tc>
          <w:tcPr>
            <w:tcW w:w="860" w:type="dxa"/>
            <w:vAlign w:val="bottom"/>
          </w:tcPr>
          <w:p>
            <w:pPr>
              <w:spacing w:after="0"/>
              <w:rPr>
                <w:sz w:val="16"/>
                <w:szCs w:val="16"/>
                <w:color w:val="auto"/>
              </w:rPr>
            </w:pPr>
          </w:p>
        </w:tc>
        <w:tc>
          <w:tcPr>
            <w:tcW w:w="3820" w:type="dxa"/>
            <w:vAlign w:val="bottom"/>
            <w:gridSpan w:val="2"/>
          </w:tcPr>
          <w:p>
            <w:pPr>
              <w:jc w:val="center"/>
              <w:ind w:right="662"/>
              <w:spacing w:after="0"/>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60" w:type="dxa"/>
            <w:vAlign w:val="bottom"/>
            <w:gridSpan w:val="2"/>
          </w:tcPr>
          <w:p>
            <w:pPr>
              <w:jc w:val="center"/>
              <w:ind w:right="1122"/>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187"/>
        </w:trPr>
        <w:tc>
          <w:tcPr>
            <w:tcW w:w="860" w:type="dxa"/>
            <w:vAlign w:val="bottom"/>
          </w:tcPr>
          <w:p>
            <w:pPr>
              <w:spacing w:after="0"/>
              <w:rPr>
                <w:sz w:val="16"/>
                <w:szCs w:val="16"/>
                <w:color w:val="auto"/>
              </w:rPr>
            </w:pPr>
          </w:p>
        </w:tc>
        <w:tc>
          <w:tcPr>
            <w:tcW w:w="3820" w:type="dxa"/>
            <w:vAlign w:val="bottom"/>
            <w:gridSpan w:val="2"/>
          </w:tcPr>
          <w:p>
            <w:pPr>
              <w:jc w:val="center"/>
              <w:ind w:right="662"/>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60" w:type="dxa"/>
            <w:vAlign w:val="bottom"/>
            <w:gridSpan w:val="2"/>
          </w:tcPr>
          <w:p>
            <w:pPr>
              <w:jc w:val="center"/>
              <w:ind w:right="1102"/>
              <w:spacing w:after="0"/>
              <w:rPr>
                <w:sz w:val="20"/>
                <w:szCs w:val="20"/>
                <w:color w:val="auto"/>
              </w:rPr>
            </w:pPr>
            <w:r>
              <w:rPr>
                <w:rFonts w:ascii="Times New Roman" w:cs="Times New Roman" w:eastAsia="Times New Roman" w:hAnsi="Times New Roman"/>
                <w:sz w:val="16"/>
                <w:szCs w:val="16"/>
                <w:b w:val="1"/>
                <w:bCs w:val="1"/>
                <w:color w:val="auto"/>
                <w:w w:val="97"/>
              </w:rPr>
              <w:t>Identification Number)</w:t>
            </w:r>
          </w:p>
        </w:tc>
      </w:tr>
      <w:tr>
        <w:trPr>
          <w:trHeight w:val="187"/>
        </w:trPr>
        <w:tc>
          <w:tcPr>
            <w:tcW w:w="860" w:type="dxa"/>
            <w:vAlign w:val="bottom"/>
          </w:tcPr>
          <w:p>
            <w:pPr>
              <w:spacing w:after="0"/>
              <w:rPr>
                <w:sz w:val="16"/>
                <w:szCs w:val="16"/>
                <w:color w:val="auto"/>
              </w:rPr>
            </w:pPr>
          </w:p>
        </w:tc>
        <w:tc>
          <w:tcPr>
            <w:tcW w:w="3820" w:type="dxa"/>
            <w:vAlign w:val="bottom"/>
            <w:gridSpan w:val="2"/>
          </w:tcPr>
          <w:p>
            <w:pPr>
              <w:jc w:val="center"/>
              <w:ind w:right="662"/>
              <w:spacing w:after="0"/>
              <w:rPr>
                <w:sz w:val="20"/>
                <w:szCs w:val="20"/>
                <w:color w:val="auto"/>
              </w:rPr>
            </w:pPr>
            <w:r>
              <w:rPr>
                <w:rFonts w:ascii="Times New Roman" w:cs="Times New Roman" w:eastAsia="Times New Roman" w:hAnsi="Times New Roman"/>
                <w:sz w:val="16"/>
                <w:szCs w:val="16"/>
                <w:b w:val="1"/>
                <w:bCs w:val="1"/>
                <w:color w:val="auto"/>
                <w:w w:val="97"/>
              </w:rPr>
              <w:t>400 Alexander Park, Princeton, NJ</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60" w:type="dxa"/>
            <w:vAlign w:val="bottom"/>
            <w:gridSpan w:val="2"/>
          </w:tcPr>
          <w:p>
            <w:pPr>
              <w:jc w:val="right"/>
              <w:ind w:right="1802"/>
              <w:spacing w:after="0"/>
              <w:rPr>
                <w:sz w:val="20"/>
                <w:szCs w:val="20"/>
                <w:color w:val="auto"/>
              </w:rPr>
            </w:pPr>
            <w:r>
              <w:rPr>
                <w:rFonts w:ascii="Times New Roman" w:cs="Times New Roman" w:eastAsia="Times New Roman" w:hAnsi="Times New Roman"/>
                <w:sz w:val="16"/>
                <w:szCs w:val="16"/>
                <w:b w:val="1"/>
                <w:bCs w:val="1"/>
                <w:color w:val="auto"/>
              </w:rPr>
              <w:t>08540</w:t>
            </w:r>
          </w:p>
        </w:tc>
      </w:tr>
      <w:tr>
        <w:trPr>
          <w:trHeight w:val="205"/>
        </w:trPr>
        <w:tc>
          <w:tcPr>
            <w:tcW w:w="860" w:type="dxa"/>
            <w:vAlign w:val="bottom"/>
          </w:tcPr>
          <w:p>
            <w:pPr>
              <w:spacing w:after="0"/>
              <w:rPr>
                <w:sz w:val="17"/>
                <w:szCs w:val="17"/>
                <w:color w:val="auto"/>
              </w:rPr>
            </w:pPr>
          </w:p>
        </w:tc>
        <w:tc>
          <w:tcPr>
            <w:tcW w:w="3820" w:type="dxa"/>
            <w:vAlign w:val="bottom"/>
            <w:gridSpan w:val="2"/>
          </w:tcPr>
          <w:p>
            <w:pPr>
              <w:jc w:val="center"/>
              <w:ind w:right="662"/>
              <w:spacing w:after="0"/>
              <w:rPr>
                <w:sz w:val="20"/>
                <w:szCs w:val="20"/>
                <w:color w:val="auto"/>
              </w:rPr>
            </w:pPr>
            <w:r>
              <w:rPr>
                <w:rFonts w:ascii="Times New Roman" w:cs="Times New Roman" w:eastAsia="Times New Roman" w:hAnsi="Times New Roman"/>
                <w:sz w:val="16"/>
                <w:szCs w:val="16"/>
                <w:b w:val="1"/>
                <w:bCs w:val="1"/>
                <w:color w:val="auto"/>
                <w:w w:val="96"/>
              </w:rPr>
              <w:t>(Address of principal executive offices)</w:t>
            </w: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40" w:type="dxa"/>
            <w:vAlign w:val="bottom"/>
          </w:tcPr>
          <w:p>
            <w:pPr>
              <w:jc w:val="center"/>
              <w:ind w:right="1642"/>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r>
        <w:trPr>
          <w:trHeight w:val="748"/>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gridSpan w:val="3"/>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w w:val="97"/>
              </w:rPr>
              <w:t>Registrant</w:t>
            </w:r>
            <w:r>
              <w:rPr>
                <w:rFonts w:ascii="Times New Roman" w:cs="Times New Roman" w:eastAsia="Times New Roman" w:hAnsi="Times New Roman"/>
                <w:sz w:val="16"/>
                <w:szCs w:val="16"/>
                <w:color w:val="auto"/>
                <w:w w:val="97"/>
              </w:rPr>
              <w:t>’</w:t>
            </w:r>
            <w:r>
              <w:rPr>
                <w:rFonts w:ascii="Times New Roman" w:cs="Times New Roman" w:eastAsia="Times New Roman" w:hAnsi="Times New Roman"/>
                <w:sz w:val="16"/>
                <w:szCs w:val="16"/>
                <w:b w:val="1"/>
                <w:bCs w:val="1"/>
                <w:color w:val="auto"/>
                <w:w w:val="97"/>
              </w:rPr>
              <w:t>s telephone number, including area code:</w:t>
            </w: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74"/>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(646) 768-9780</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74"/>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gridSpan w:val="3"/>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26"/>
        </w:trPr>
        <w:tc>
          <w:tcPr>
            <w:tcW w:w="860" w:type="dxa"/>
            <w:vAlign w:val="bottom"/>
          </w:tcPr>
          <w:p>
            <w:pPr>
              <w:spacing w:after="0"/>
              <w:rPr>
                <w:sz w:val="24"/>
                <w:szCs w:val="24"/>
                <w:color w:val="auto"/>
              </w:rPr>
            </w:pPr>
          </w:p>
        </w:tc>
        <w:tc>
          <w:tcPr>
            <w:tcW w:w="3820" w:type="dxa"/>
            <w:vAlign w:val="bottom"/>
            <w:gridSpan w:val="2"/>
          </w:tcPr>
          <w:p>
            <w:pPr>
              <w:jc w:val="center"/>
              <w:ind w:right="2622"/>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52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color w:val="auto"/>
                <w:w w:val="95"/>
              </w:rPr>
              <w:t>Trading Symbol</w:t>
            </w:r>
          </w:p>
        </w:tc>
        <w:tc>
          <w:tcPr>
            <w:tcW w:w="5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Name of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r>
      <w:tr>
        <w:trPr>
          <w:trHeight w:val="201"/>
        </w:trPr>
        <w:tc>
          <w:tcPr>
            <w:tcW w:w="4680" w:type="dxa"/>
            <w:vAlign w:val="bottom"/>
            <w:gridSpan w:val="3"/>
          </w:tcPr>
          <w:p>
            <w:pPr>
              <w:jc w:val="center"/>
              <w:ind w:right="1742"/>
              <w:spacing w:after="0"/>
              <w:rPr>
                <w:sz w:val="20"/>
                <w:szCs w:val="20"/>
                <w:color w:val="auto"/>
              </w:rPr>
            </w:pPr>
            <w:r>
              <w:rPr>
                <w:rFonts w:ascii="Times New Roman" w:cs="Times New Roman" w:eastAsia="Times New Roman" w:hAnsi="Times New Roman"/>
                <w:sz w:val="16"/>
                <w:szCs w:val="16"/>
                <w:color w:val="auto"/>
                <w:w w:val="96"/>
              </w:rPr>
              <w:t>Ordinary Shares, par value NIS 0.01 per share</w:t>
            </w:r>
          </w:p>
        </w:tc>
        <w:tc>
          <w:tcPr>
            <w:tcW w:w="252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color w:val="auto"/>
                <w:w w:val="96"/>
              </w:rPr>
              <w:t>URGN</w:t>
            </w:r>
          </w:p>
        </w:tc>
        <w:tc>
          <w:tcPr>
            <w:tcW w:w="52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69" w:lineRule="exact"/>
        <w:rPr>
          <w:sz w:val="24"/>
          <w:szCs w:val="24"/>
          <w:color w:val="auto"/>
        </w:rPr>
      </w:pPr>
    </w:p>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280670</wp:posOffset>
            </wp:positionV>
            <wp:extent cx="17875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7"/>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ind w:left="7"/>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ind w:left="7" w:right="18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ind w:left="7" w:right="10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8" w:lineRule="exact"/>
        <w:rPr>
          <w:sz w:val="24"/>
          <w:szCs w:val="24"/>
          <w:color w:val="auto"/>
        </w:rPr>
      </w:pPr>
    </w:p>
    <w:p>
      <w:pPr>
        <w:ind w:left="7"/>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2"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7" w:type="dxa"/>
        <w:tblCellMar>
          <w:top w:w="0" w:type="dxa"/>
          <w:left w:w="0" w:type="dxa"/>
          <w:bottom w:w="0" w:type="dxa"/>
          <w:right w:w="0" w:type="dxa"/>
        </w:tblCellMar>
      </w:tblPr>
      <w:tr>
        <w:trPr>
          <w:trHeight w:val="191"/>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7"/>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1"/>
        </w:trPr>
        <w:tc>
          <w:tcPr>
            <w:tcW w:w="18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3" w:lineRule="exact"/>
        <w:rPr>
          <w:sz w:val="24"/>
          <w:szCs w:val="24"/>
          <w:color w:val="auto"/>
        </w:rPr>
      </w:pPr>
    </w:p>
    <w:p>
      <w:pPr>
        <w:ind w:left="7" w:right="38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8" w:lineRule="exact"/>
        <w:rPr>
          <w:sz w:val="24"/>
          <w:szCs w:val="24"/>
          <w:color w:val="auto"/>
        </w:rPr>
      </w:pPr>
    </w:p>
    <w:p>
      <w:pPr>
        <w:ind w:left="7"/>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ectPr>
          <w:pgSz w:w="11900" w:h="16938" w:orient="portrait"/>
          <w:cols w:equalWidth="0" w:num="1">
            <w:col w:w="11207"/>
          </w:cols>
          <w:pgMar w:left="313" w:top="940" w:right="379" w:bottom="0" w:gutter="0" w:footer="0" w:header="0"/>
        </w:sectPr>
      </w:pPr>
    </w:p>
    <w:bookmarkStart w:id="1" w:name="page2"/>
    <w:bookmarkEnd w:id="1"/>
    <w:p>
      <w:pPr>
        <w:ind w:right="6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1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aggregate market value of the ordinary shares held by non-affiliates of the registrant as of June 30, 2023 totaled approximately $190.4 million based on the closing price for the registrant’s ordinary shares on that day as reported by the Nasdaq Stock Market LLC. Such value excludes ordinary shares held by executive officers, directors and certain entities affiliated with directors as of June 30,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April 22, 2024, there were 36,130,121 of the registrant’s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2840" w:val="left"/>
          <w:tab w:leader="none" w:pos="7080" w:val="left"/>
        </w:tabs>
        <w:rPr>
          <w:sz w:val="20"/>
          <w:szCs w:val="20"/>
          <w:color w:val="auto"/>
        </w:rPr>
      </w:pPr>
      <w:r>
        <w:rPr>
          <w:rFonts w:ascii="Times New Roman" w:cs="Times New Roman" w:eastAsia="Times New Roman" w:hAnsi="Times New Roman"/>
          <w:sz w:val="16"/>
          <w:szCs w:val="16"/>
          <w:b w:val="1"/>
          <w:bCs w:val="1"/>
          <w:color w:val="auto"/>
        </w:rPr>
        <w:t xml:space="preserve">Auditor Firm ID: </w:t>
      </w:r>
      <w:r>
        <w:rPr>
          <w:rFonts w:ascii="Times New Roman" w:cs="Times New Roman" w:eastAsia="Times New Roman" w:hAnsi="Times New Roman"/>
          <w:sz w:val="16"/>
          <w:szCs w:val="16"/>
          <w:color w:val="auto"/>
        </w:rPr>
        <w:t>238</w:t>
      </w:r>
      <w:r>
        <w:rPr>
          <w:sz w:val="20"/>
          <w:szCs w:val="20"/>
          <w:color w:val="auto"/>
        </w:rPr>
        <w:tab/>
      </w:r>
      <w:r>
        <w:rPr>
          <w:rFonts w:ascii="Times New Roman" w:cs="Times New Roman" w:eastAsia="Times New Roman" w:hAnsi="Times New Roman"/>
          <w:sz w:val="16"/>
          <w:szCs w:val="16"/>
          <w:b w:val="1"/>
          <w:bCs w:val="1"/>
          <w:color w:val="auto"/>
        </w:rPr>
        <w:t xml:space="preserve">Auditor Name: </w:t>
      </w:r>
      <w:r>
        <w:rPr>
          <w:rFonts w:ascii="Times New Roman" w:cs="Times New Roman" w:eastAsia="Times New Roman" w:hAnsi="Times New Roman"/>
          <w:sz w:val="16"/>
          <w:szCs w:val="16"/>
          <w:color w:val="auto"/>
        </w:rPr>
        <w:t>PricewaterhouseCoopers LLP</w:t>
      </w:r>
      <w:r>
        <w:rPr>
          <w:sz w:val="20"/>
          <w:szCs w:val="20"/>
          <w:color w:val="auto"/>
        </w:rPr>
        <w:tab/>
      </w:r>
      <w:r>
        <w:rPr>
          <w:rFonts w:ascii="Times New Roman" w:cs="Times New Roman" w:eastAsia="Times New Roman" w:hAnsi="Times New Roman"/>
          <w:sz w:val="14"/>
          <w:szCs w:val="14"/>
          <w:b w:val="1"/>
          <w:bCs w:val="1"/>
          <w:color w:val="auto"/>
        </w:rPr>
        <w:t xml:space="preserve">Auditor Location: </w:t>
      </w:r>
      <w:r>
        <w:rPr>
          <w:rFonts w:ascii="Times New Roman" w:cs="Times New Roman" w:eastAsia="Times New Roman" w:hAnsi="Times New Roman"/>
          <w:sz w:val="14"/>
          <w:szCs w:val="14"/>
          <w:color w:val="auto"/>
        </w:rPr>
        <w:t>Florham Park,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325120</wp:posOffset>
            </wp:positionV>
            <wp:extent cx="715073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58" w:lineRule="exact"/>
        <w:rPr>
          <w:sz w:val="20"/>
          <w:szCs w:val="20"/>
          <w:color w:val="auto"/>
        </w:rPr>
      </w:pPr>
    </w:p>
    <w:p>
      <w:pPr>
        <w:ind w:right="20"/>
        <w:spacing w:after="0" w:line="204" w:lineRule="exact"/>
        <w:rPr>
          <w:sz w:val="20"/>
          <w:szCs w:val="20"/>
          <w:color w:val="auto"/>
        </w:rPr>
      </w:pPr>
      <w:r>
        <w:rPr>
          <w:rFonts w:ascii="Times New Roman" w:cs="Times New Roman" w:eastAsia="Times New Roman" w:hAnsi="Times New Roman"/>
          <w:sz w:val="14"/>
          <w:szCs w:val="14"/>
          <w:color w:val="auto"/>
        </w:rPr>
        <w:t>UroGen Pharma Ltd. (the “Company,” “our,” “us” or “we”) is filing this Amendment No. 1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K/A (this “Amendment No. 1”) to our Annual Report on Form 10-K for the fiscal year ended December 31, 2023 (the “Form 10-K”), which was filed with the U.S. Securities and Exchange Commission (the “SEC”) on March 14, 2024, to provide the information required by Part III of Form 10-K. This Amendment No. 1 amends and restates in their entirety Items 10, 11, 12, 13 and 14 of Part III of the Form 10-K.</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4"/>
          <w:szCs w:val="14"/>
          <w:color w:val="auto"/>
        </w:rPr>
        <w:t>In addition, as required by Section 302 of the Sarbanes-Oxley Act of 2002 and Rule 12b-15 of the Securities Exchange Act of 1934 (the “Exchange Act”), as amended, updated certifications of the Company’s principal executive officer and principal financial officer are included as Exhibits 31.3 and 31.4 hereto. Because no financial statements have been included in this Amendment No. 1 and this Amendment No. 1 does not contain or amend any disclosure with respect to Items 307 and 308 of Regulation S-K, paragraphs 3, 4, and</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5 of the certifications have been omitted. We are not including the certifications under Section 906 of the Sarbanes-Oxley Act of 2002 as no financial statements are being filed with this Amendment No. 1. This Amendment No. 1 also amends Item 15 of Part IV to add the foregoing certifications.</w:t>
      </w:r>
    </w:p>
    <w:p>
      <w:pPr>
        <w:spacing w:after="0" w:line="16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No other changes have been made to the Form 10-K other than those described above. This Amendment No. 1 does not reflect subsequent events occurring after the original filing date of the Form 10-K or modify or update in any way the financial statements, consents or any other items or disclosures made in the Form 10-K in any way other than as required to reflect the amendments discussed above. Accordingly, this Amendment No. 1 should be read in conjunction with the Form 10-K and the Company’s other filings with the SEC subsequent to the filing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307975</wp:posOffset>
            </wp:positionV>
            <wp:extent cx="715073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2"/>
        </w:trPr>
        <w:tc>
          <w:tcPr>
            <w:tcW w:w="6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1"/>
              </w:rPr>
              <w:t>PART III.</w:t>
            </w:r>
          </w:p>
        </w:tc>
        <w:tc>
          <w:tcPr>
            <w:tcW w:w="580" w:type="dxa"/>
            <w:vAlign w:val="bottom"/>
            <w:gridSpan w:val="2"/>
            <w:vMerge w:val="restart"/>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Item 10.</w:t>
            </w:r>
          </w:p>
        </w:tc>
        <w:tc>
          <w:tcPr>
            <w:tcW w:w="9420" w:type="dxa"/>
            <w:vAlign w:val="bottom"/>
            <w:gridSpan w:val="7"/>
          </w:tcPr>
          <w:p>
            <w:pPr>
              <w:spacing w:after="0" w:line="167" w:lineRule="exact"/>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7"/>
        </w:trPr>
        <w:tc>
          <w:tcPr>
            <w:tcW w:w="124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Item 11.</w:t>
            </w:r>
          </w:p>
        </w:tc>
        <w:tc>
          <w:tcPr>
            <w:tcW w:w="3580" w:type="dxa"/>
            <w:vAlign w:val="bottom"/>
            <w:tcBorders>
              <w:top w:val="single" w:sz="8" w:color="auto"/>
            </w:tcBorders>
            <w:gridSpan w:val="4"/>
          </w:tcPr>
          <w:p>
            <w:pPr>
              <w:spacing w:after="0" w:line="167" w:lineRule="exact"/>
              <w:rPr>
                <w:sz w:val="20"/>
                <w:szCs w:val="20"/>
                <w:color w:val="auto"/>
              </w:rPr>
            </w:pPr>
            <w:r>
              <w:rPr>
                <w:rFonts w:ascii="Times New Roman" w:cs="Times New Roman" w:eastAsia="Times New Roman" w:hAnsi="Times New Roman"/>
                <w:sz w:val="16"/>
                <w:szCs w:val="16"/>
                <w:color w:val="auto"/>
              </w:rPr>
              <w:t>Executive Compensation.</w:t>
            </w:r>
          </w:p>
        </w:tc>
        <w:tc>
          <w:tcPr>
            <w:tcW w:w="5840" w:type="dxa"/>
            <w:vAlign w:val="bottom"/>
            <w:gridSpan w:val="3"/>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4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Item 12.</w:t>
            </w:r>
          </w:p>
        </w:tc>
        <w:tc>
          <w:tcPr>
            <w:tcW w:w="6360" w:type="dxa"/>
            <w:vAlign w:val="bottom"/>
            <w:tcBorders>
              <w:bottom w:val="single" w:sz="8" w:color="auto"/>
            </w:tcBorders>
            <w:gridSpan w:val="6"/>
          </w:tcPr>
          <w:p>
            <w:pPr>
              <w:spacing w:after="0" w:line="167" w:lineRule="exact"/>
              <w:rPr>
                <w:sz w:val="20"/>
                <w:szCs w:val="20"/>
                <w:color w:val="auto"/>
              </w:rPr>
            </w:pPr>
            <w:r>
              <w:rPr>
                <w:rFonts w:ascii="Times New Roman" w:cs="Times New Roman" w:eastAsia="Times New Roman" w:hAnsi="Times New Roman"/>
                <w:sz w:val="16"/>
                <w:szCs w:val="16"/>
                <w:color w:val="auto"/>
                <w:w w:val="97"/>
              </w:rPr>
              <w:t>Security Ownership of Certain Beneficial Owners and Management and Related Stockholder Matters.</w:t>
            </w:r>
          </w:p>
        </w:tc>
        <w:tc>
          <w:tcPr>
            <w:tcW w:w="306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67"/>
        </w:trPr>
        <w:tc>
          <w:tcPr>
            <w:tcW w:w="124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Item 13.</w:t>
            </w:r>
          </w:p>
        </w:tc>
        <w:tc>
          <w:tcPr>
            <w:tcW w:w="4720" w:type="dxa"/>
            <w:vAlign w:val="bottom"/>
            <w:tcBorders>
              <w:bottom w:val="single" w:sz="8" w:color="auto"/>
            </w:tcBorders>
            <w:gridSpan w:val="5"/>
          </w:tcPr>
          <w:p>
            <w:pPr>
              <w:spacing w:after="0" w:line="167" w:lineRule="exact"/>
              <w:rPr>
                <w:sz w:val="20"/>
                <w:szCs w:val="20"/>
                <w:color w:val="auto"/>
              </w:rPr>
            </w:pPr>
            <w:r>
              <w:rPr>
                <w:rFonts w:ascii="Times New Roman" w:cs="Times New Roman" w:eastAsia="Times New Roman" w:hAnsi="Times New Roman"/>
                <w:sz w:val="16"/>
                <w:szCs w:val="16"/>
                <w:color w:val="auto"/>
                <w:w w:val="96"/>
              </w:rPr>
              <w:t>Certain Relationships and Related Transactions and Director Independence.</w:t>
            </w:r>
          </w:p>
        </w:tc>
        <w:tc>
          <w:tcPr>
            <w:tcW w:w="4700" w:type="dxa"/>
            <w:vAlign w:val="bottom"/>
            <w:gridSpan w:val="2"/>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7"/>
        </w:trPr>
        <w:tc>
          <w:tcPr>
            <w:tcW w:w="124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Item 14.</w:t>
            </w:r>
          </w:p>
        </w:tc>
        <w:tc>
          <w:tcPr>
            <w:tcW w:w="9420" w:type="dxa"/>
            <w:vAlign w:val="bottom"/>
            <w:gridSpan w:val="7"/>
          </w:tcPr>
          <w:p>
            <w:pPr>
              <w:spacing w:after="0" w:line="167" w:lineRule="exact"/>
              <w:rPr>
                <w:sz w:val="20"/>
                <w:szCs w:val="20"/>
                <w:color w:val="auto"/>
              </w:rPr>
            </w:pPr>
            <w:r>
              <w:rPr>
                <w:rFonts w:ascii="Times New Roman" w:cs="Times New Roman" w:eastAsia="Times New Roman" w:hAnsi="Times New Roman"/>
                <w:sz w:val="16"/>
                <w:szCs w:val="16"/>
                <w:color w:val="auto"/>
              </w:rPr>
              <w:t>Principal Accountant Fees and Services.</w:t>
            </w: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54"/>
        </w:trPr>
        <w:tc>
          <w:tcPr>
            <w:tcW w:w="1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16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Item 15.</w:t>
            </w:r>
          </w:p>
        </w:tc>
        <w:tc>
          <w:tcPr>
            <w:tcW w:w="620" w:type="dxa"/>
            <w:vAlign w:val="bottom"/>
            <w:gridSpan w:val="3"/>
          </w:tcPr>
          <w:p>
            <w:pPr>
              <w:spacing w:after="0"/>
              <w:rPr>
                <w:sz w:val="14"/>
                <w:szCs w:val="14"/>
                <w:color w:val="auto"/>
              </w:rPr>
            </w:pPr>
          </w:p>
        </w:tc>
        <w:tc>
          <w:tcPr>
            <w:tcW w:w="9420" w:type="dxa"/>
            <w:vAlign w:val="bottom"/>
            <w:gridSpan w:val="7"/>
          </w:tcPr>
          <w:p>
            <w:pPr>
              <w:spacing w:after="0" w:line="167" w:lineRule="exact"/>
              <w:rPr>
                <w:sz w:val="20"/>
                <w:szCs w:val="20"/>
                <w:color w:val="auto"/>
              </w:rPr>
            </w:pPr>
            <w:r>
              <w:rPr>
                <w:rFonts w:ascii="Times New Roman" w:cs="Times New Roman" w:eastAsia="Times New Roman" w:hAnsi="Times New Roman"/>
                <w:sz w:val="16"/>
                <w:szCs w:val="16"/>
                <w:color w:val="auto"/>
              </w:rPr>
              <w:t>Exhibits, Financial Statement Schedules.</w:t>
            </w: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509"/>
        </w:trPr>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5" w:right="319" w:bottom="1440" w:gutter="0" w:footer="0" w:header="0"/>
        </w:sectPr>
      </w:pPr>
    </w:p>
    <w:bookmarkStart w:id="4" w:name="page5"/>
    <w:bookmarkEnd w:id="4"/>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Concerning Our Directors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Our Board currently consists of eight directors. The brief biographies below include information, as of the date of this Form 10-K/A, regarding the specific and particular experience, qualifications, attributes or skills of each director that qualify such director to serve on our Board.</w:t>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05"/>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80" w:type="dxa"/>
            <w:vAlign w:val="bottom"/>
          </w:tcPr>
          <w:p>
            <w:pPr>
              <w:spacing w:after="0"/>
              <w:rPr>
                <w:sz w:val="17"/>
                <w:szCs w:val="17"/>
                <w:color w:val="auto"/>
              </w:rPr>
            </w:pP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 Held With the Company</w:t>
            </w:r>
          </w:p>
        </w:tc>
      </w:tr>
      <w:tr>
        <w:trPr>
          <w:trHeight w:val="163"/>
        </w:trPr>
        <w:tc>
          <w:tcPr>
            <w:tcW w:w="510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Arie Belldegrun, M.D., FACS</w:t>
            </w:r>
          </w:p>
        </w:tc>
        <w:tc>
          <w:tcPr>
            <w:tcW w:w="8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74</w:t>
            </w:r>
          </w:p>
        </w:tc>
        <w:tc>
          <w:tcPr>
            <w:tcW w:w="80" w:type="dxa"/>
            <w:vAlign w:val="bottom"/>
          </w:tcPr>
          <w:p>
            <w:pPr>
              <w:spacing w:after="0"/>
              <w:rPr>
                <w:sz w:val="14"/>
                <w:szCs w:val="14"/>
                <w:color w:val="auto"/>
              </w:rPr>
            </w:pPr>
          </w:p>
        </w:tc>
        <w:tc>
          <w:tcPr>
            <w:tcW w:w="512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Chair of the Board</w:t>
            </w:r>
          </w:p>
        </w:tc>
      </w:tr>
      <w:tr>
        <w:trPr>
          <w:trHeight w:val="18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Elizabeth Barrett</w:t>
            </w:r>
          </w:p>
        </w:tc>
        <w:tc>
          <w:tcPr>
            <w:tcW w:w="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61</w:t>
            </w:r>
          </w:p>
        </w:tc>
        <w:tc>
          <w:tcPr>
            <w:tcW w:w="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18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Cynthia M. Butitta</w:t>
            </w:r>
          </w:p>
        </w:tc>
        <w:tc>
          <w:tcPr>
            <w:tcW w:w="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69</w:t>
            </w:r>
          </w:p>
        </w:tc>
        <w:tc>
          <w:tcPr>
            <w:tcW w:w="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8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Fred E. Cohen, M.D., D.Phil.</w:t>
            </w:r>
          </w:p>
        </w:tc>
        <w:tc>
          <w:tcPr>
            <w:tcW w:w="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8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Stuart Holden, M.D.</w:t>
            </w:r>
          </w:p>
        </w:tc>
        <w:tc>
          <w:tcPr>
            <w:tcW w:w="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81</w:t>
            </w:r>
          </w:p>
        </w:tc>
        <w:tc>
          <w:tcPr>
            <w:tcW w:w="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8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James A. Robinson, Jr</w:t>
            </w:r>
          </w:p>
        </w:tc>
        <w:tc>
          <w:tcPr>
            <w:tcW w:w="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54</w:t>
            </w:r>
          </w:p>
        </w:tc>
        <w:tc>
          <w:tcPr>
            <w:tcW w:w="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8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Leana Wen, M.D., M.SC.</w:t>
            </w:r>
          </w:p>
        </w:tc>
        <w:tc>
          <w:tcPr>
            <w:tcW w:w="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Daniel G. Wildman</w:t>
            </w:r>
          </w:p>
        </w:tc>
        <w:tc>
          <w:tcPr>
            <w:tcW w:w="7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b w:val="1"/>
          <w:bCs w:val="1"/>
          <w:i w:val="1"/>
          <w:iCs w:val="1"/>
          <w:color w:val="auto"/>
        </w:rPr>
        <w:t xml:space="preserve">Arie Belldegrun, M.D., FACS </w:t>
      </w:r>
      <w:r>
        <w:rPr>
          <w:rFonts w:ascii="Times New Roman" w:cs="Times New Roman" w:eastAsia="Times New Roman" w:hAnsi="Times New Roman"/>
          <w:sz w:val="16"/>
          <w:szCs w:val="16"/>
          <w:color w:val="auto"/>
        </w:rPr>
        <w:t>has served as our Chair since December 2012. Dr. Belldegrun is a co-founder of Allogene Therapeutics, a public biopharmaceutical company,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has served as Executive Chairman of its board of directors since November 2017. From March 2014 until October 2017 Dr. Belldegrun served as the President and Chief Executive Officer of Kite Pharma, Inc. and as a member of its board of directors from June 2009 until October 2017. Dr. Belldegrun currently serves as Chairman of Bellco Capital LLC (since 2004); Chairman and Partner of Two River (since June 2009); Co-chairman of Breakthrough Properties LLC and Breakthrough Services, L.L.C. (since April 2019); Chairman of Kronos Bio (since November 2017); Co-chairman of Symbiotic Capital (since June 2023); Director of Gingko Bioworks (since September 2021); and Director of ByHeart, Inc. (since October 2019). Dr. Belldegrun is also Senior Managing Director of Vida Ventures, LLC (since November 2017). Dr. Belldegrun is a Research Professor, holds the Roy and Carol Doumani Chair in Urologic Oncology, and is Founder and Director of the UCLA Institute of Urologic Oncology at the David Geffen School of Medicine at UCLA. Prior to joining UCLA, Dr. Belldegrun was at the National Cancer Institute/NIH as a research fellow in surgical oncology and immunotherapy under Dr. Steven A. Rosenberg. He completed his MD at the Hebrew University Hadassah Medical School in Jerusalem, his post-graduate studies in Immunology at the Weizmann Institute of Science, and his residency in urologic surgery at Harvard Medical School. He has authored several books on oncology and more than 500 scientific and medical papers related to urological cancers, immunotherapy, gene therapy and cancer vaccines. He is certified by the American Board of Urology and the American Association of Genitourinary Surgeons. Our Board believes Sr. Belldegrun’s business and medical knowledge and experience qualify him to serve on our Board.</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Elizabeth Barrett </w:t>
      </w:r>
      <w:r>
        <w:rPr>
          <w:rFonts w:ascii="Times New Roman" w:cs="Times New Roman" w:eastAsia="Times New Roman" w:hAnsi="Times New Roman"/>
          <w:sz w:val="16"/>
          <w:szCs w:val="16"/>
          <w:color w:val="auto"/>
        </w:rPr>
        <w:t>has served as our director and as our President and Chief Executive Officer since January 2019. Prior to joining UroGen, Ms. Barrett served as the Chief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Officer of Novartis Oncology and a member of the Novartis Executive Committee since February 2018. Prior to Novartis, Ms. Barrett served at Pfizer Inc. in various leadership capacities, most recently as the Global President of Oncology and, before that, as President of Global Innovative Pharma for Europe, President of the Specialty Care Business Unit for North America, and Regional President of United States Oncology. Prior to Pfizer, Ms. Barrett was Vice President and General Manager of the Oncology Business Unit at Cephalon Inc. Ms. Barrett received an M.B.A. degree in Business Administration-Marketing from Saint Joseph’s University and a B.S. from the University of Louisiana. Ms. Barrett also currently serves on the boards of directors of Sage Therapeutics, Inc. and Allogene Therapeutics, Inc. Our Board believes Ms. Barrett’s service as our Chief Executive Officer and her leadership of both large organizations and growing businesses qualify her to serve on our Board.</w:t>
      </w:r>
    </w:p>
    <w:p>
      <w:pPr>
        <w:spacing w:after="0" w:line="1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 xml:space="preserve">Cynthia M. Butitta </w:t>
      </w:r>
      <w:r>
        <w:rPr>
          <w:rFonts w:ascii="Times New Roman" w:cs="Times New Roman" w:eastAsia="Times New Roman" w:hAnsi="Times New Roman"/>
          <w:sz w:val="14"/>
          <w:szCs w:val="14"/>
          <w:color w:val="auto"/>
        </w:rPr>
        <w:t>has served as our director since October 2017. Ms. Butitta served as Chief Financial Officer of Kite Pharma, Inc. from January 2014 to May 2016 and as Chief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Operating Officer from March 2014 to September 2017. From May 2011 to December 2012, she was Senior Vice President and Chief Financial Officer at Next Wave Pharmaceuticals Inc., a specialty pharmaceutical company. Prior to that, Ms. Butitta served as Chief Operating Officer of Telik, Inc., a biopharmaceutical company, from March 2001 to December 2010 and as its Chief Financial Officer from August 1998 to December 2010. Ms. Butitta also served as Principal Accounting Officer of Telik, Inc. until December 2010. She has served as a Director of Autolus, Ltd., a biotechnology company, since March 2018; a board member of Olema Oncology since August 2020 and Century Therapeutics since February 2021. Ms. Butitta received her B.S. degree with honors in Business and Accounting from Edgewood College in Madison, Wisconsin and her M.B.A. degree in Finance from the University of Wisconsin, Madison. Our Board believes Ms. Butitta’s financial knowledge and experience qualify her to serve on our Board.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 xml:space="preserve">Fred E. Cohen, M.D., D.Phil. </w:t>
      </w:r>
      <w:r>
        <w:rPr>
          <w:rFonts w:ascii="Times New Roman" w:cs="Times New Roman" w:eastAsia="Times New Roman" w:hAnsi="Times New Roman"/>
          <w:sz w:val="14"/>
          <w:szCs w:val="14"/>
          <w:color w:val="auto"/>
        </w:rPr>
        <w:t>has served as our director since May 2017. Dr. Cohen is a Senior Advisor to TPG, where he served for over 15 years as a Partner, and founder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TPG Biotechnology, a life science focused venture capital fund. Beginning in November 2017, Dr. Cohen has served as a cofounder and senior managing director of Vida Ventures, LLC, a biotechnology venture capital fund. In June 2021, Dr. Cohen founded Monograph Capital Partners, a life sciences venture capital fund. In addition, for over two decades throughout his career, Dr. Cohen has been affiliated with the University of California, San Francisco where he held various clinical responsibilities, including as a research scientist, an internist for hospitalized patients, a consulting endocrinologist, and the Chief of the Division of Endocrinology and Metabolism. Dr. Cohen received his B.S. degree in Molecular Biophysics and Biochemistry from Yale University, his D.Phil. in Molecular Biophysics from Oxford on a Rhodes Scholarship, and his M.D. from Stanford University. He is a member of the National Academy of Medicine and the American Academy of Arts and Sciences. Dr. Cohen currently serves on the board of directors of several other biotechnology and pharmaceutical companies. Our Board believes Dr. Cohen’s financial and medical knowledge and experience qualify him to serve on our Board.</w:t>
      </w:r>
    </w:p>
    <w:p>
      <w:pPr>
        <w:spacing w:after="0" w:line="14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Stuart Holden, M.D. </w:t>
      </w:r>
      <w:r>
        <w:rPr>
          <w:rFonts w:ascii="Times New Roman" w:cs="Times New Roman" w:eastAsia="Times New Roman" w:hAnsi="Times New Roman"/>
          <w:sz w:val="14"/>
          <w:szCs w:val="14"/>
          <w:color w:val="auto"/>
        </w:rPr>
        <w:t>has served as our director since December 2015. Dr. Holden has been the Chair of ProQuest Investments’ Scientific Advisory Board since it was founded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1998. Since May 2014, Dr. Holden has served as a member of the UCLA faculty as a Health Sciences Clinical Professor of Urology, Spielberg Family Chair in Urologic Oncology, in the Department of Urology at the UCLA David Geffen School of Medicine and Associate Director of the UCLA Institute of Urologic Oncology. Dr. Holden has worked in the field of prostate cancer for more than 36 years. Dr. Holden also serves as Medical Director of the Prostate Cancer Foundation since the foundation’s inception in 1993. Dr. Holden was the director of the Louis Warschaw Prostate Cancer Center at Cedars-Sinai Medical Center and the first holder of the Warschaw, Robertson, Law Families Chair in Prostate Cancer. Dr. Holden has served as a member of the board of directors of Telormedix SA from 2008 to 2017 and served as a member of the board of directors of Acurian, Inc. from 1999 through 2014. Dr. Holden also served on the Board of the American College of Medical Informatics from 1999 through 2006 and is currently on the board of Clarus Therapeutics. In addition, he was a founding partner at Tower Urology in Los Angeles. Dr. Holden received a B.S. degree from the University of Wisconsin-Madison and completed his medical degree and received his surgical training at Weill Cornell Medical College and the New York Hospital-Cornell University Medical College. He completed his urology residency at Emory University School of Medicine and fellowships in urology and developmental genetics at Memorial Sloan-Kettering Cancer Center. He also was awarded a clinical fellowship from the American Cancer Society. Our Board believes Dr. Holden’s medical knowledge and experience qualify him to serve on our Board.</w:t>
      </w:r>
    </w:p>
    <w:p>
      <w:pPr>
        <w:spacing w:after="0" w:line="3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A. Robinson, Jr. </w:t>
      </w:r>
      <w:r>
        <w:rPr>
          <w:rFonts w:ascii="Times New Roman" w:cs="Times New Roman" w:eastAsia="Times New Roman" w:hAnsi="Times New Roman"/>
          <w:sz w:val="16"/>
          <w:szCs w:val="16"/>
          <w:color w:val="auto"/>
        </w:rPr>
        <w:t>has served as our director since July 2023. Mr. Robinson currently serves as the President, Chief Executive Officer and member of the board directors of A2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Biotherapeutics. Prior to this role, he served as the Chief Executive Officer of Urovant Sciences, Inc. from March 23, 2020 through June 2023 and has served as a member of Urovant’s board of directors from March 2019 through June 2023.</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Prior to Urovant Sciences, Mr. Robinson held the position of President and Chief Operating Officer at Paragon Biosciences where he oversaw Paragon’s operations from April 2019 to March 2020. Previously, Mr. Robinson served as the President and Chief Operating Officer of Alkermes, where he was responsible for global commercial, new product planning, corporate planning, manufacturing, quality, human resources and business development functions. Prior to Alkermes, Mr. Robinson spent over twelve years at Astellas U.S., most recently as President, Americas Operations, where his responsibilities included all aspects of operations for North and South America. Prior to that, he was President of Astellas Pharma US, where he was responsible for leading the U.S. commercial organization. Prior to Astellas, Mr. Robinson spent thirteen years at Schering-Plough Pharmaceuticals, where his last role was Vice President, Hepatitis Sales and Managed Care.</w:t>
      </w:r>
    </w:p>
    <w:p>
      <w:pPr>
        <w:spacing w:after="0" w:line="1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Mr. Robinson currently serves as an advisor to BridgeBio Pharma Inc. and on the board of directors of Eledon Pharmaceuticals, a private biotechnology company, and Petauri Health, a private healthcare service company. Previously, Mr. Robinson served on the board of directors of Neos Therapeutics prior to its acquisition by Aytu Biopharma as well as the board of directors of Applied Genetic Technologies Corporation until its acquisition by Syncona LTD in November 2022. He also previously served on the board of directors of</w:t>
      </w:r>
    </w:p>
    <w:p>
      <w:pPr>
        <w:sectPr>
          <w:pgSz w:w="11900" w:h="16867" w:orient="portrait"/>
          <w:cols w:equalWidth="0" w:num="1">
            <w:col w:w="11260"/>
          </w:cols>
          <w:pgMar w:left="320" w:top="518" w:right="319" w:bottom="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6"/>
          <w:szCs w:val="16"/>
          <w:color w:val="auto"/>
        </w:rPr>
        <w:t>the Pharmaceutical Research and Manufacturers of America ("PhRMA") and served as Chairman of PhRMA’s State Committee. He is a founding member of MATTER. Mr. Robinson received a Bachelor of Science degree from DePaul University. Our Board believes Mr. Robinson’s broad business leadership experience, including his experience as an executive of commercial organizations, qualifies him to serve on our Board.</w:t>
      </w:r>
    </w:p>
    <w:p>
      <w:pPr>
        <w:spacing w:after="0" w:line="15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Leana S. Wen, M.D., M.Sc. </w:t>
      </w:r>
      <w:r>
        <w:rPr>
          <w:rFonts w:ascii="Times New Roman" w:cs="Times New Roman" w:eastAsia="Times New Roman" w:hAnsi="Times New Roman"/>
          <w:sz w:val="14"/>
          <w:szCs w:val="14"/>
          <w:color w:val="auto"/>
        </w:rPr>
        <w:t>has served as our director since August 2022. Dr. Wen is an emergency physician and has served as a faculty member at the George Washington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University since September 2019. She has been a contributing columnist for The Washington Post since June 2020, writing on health policy and public health, and a health and medical expert for CNN since August 2020. From January 2015 to October 2018, she was the health commissioner for the city of Baltimore, where she led the nation’s oldest continuously operating health department to combat the opioid epidemic and improve maternal and child health. From 2013 to 2015, Dr. Wen served as director of patient-centered care research in the department of emergency medicine at George Washington University, and authored a critically-acclaimed book on patient advocacy. She is currently on the board of the Bipartisan Policy Center and the Baltimore Community Foundation, and chairs the advisory board of the Behavioral Health Group. She has also been a global health fellow at the World Health Organization, a consultant with the China Medical Board, and a nonresident senior fellow at the Brookings Institution. Dr. Wen also served as the President of Planned Parenthood from 2018 through 2019. She has been a member of more than ten nonprofit boards, including serving as the chair of Behavioral Health System Baltimore. Dr. Wen has also served on the board of directors of Glaukos Corporation since March 2021 and also serves on its audit committee. Dr. Wen’s work has been recognized by numerous professional organizations, including as one of Modern Healthcare’s Top 50 Physician-Executives and a member of the Council on Foreign Relationships. In 2019, she was named one of TIME magazine’s 100 Most Influential People and in 2022 as one of Modern Healthcare’s 100 Most Influential People in Healthcare. She holds a B.S. from California State University, Los Angeles, an M.D. from Washington University School of Medicine and two M.Sc.s from the University of Oxford, where she was a Rhodes Scholar. She completed her residency training at Brigham &amp; Women’s Hospital and Massachusetts General Hospital, where she was a clinical fellow at Harvard Medical School. Our Board believes Dr. Wen’s experience as a practicing physician, combined with her extensive experience working in governmental sectors, with innovative health companies, and serving on a public company board and audit committee and on nonprofit boards and foundations qualify her to serve on our Board.</w:t>
      </w:r>
    </w:p>
    <w:p>
      <w:pPr>
        <w:spacing w:after="0" w:line="3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Daniel G. Wildman </w:t>
      </w:r>
      <w:r>
        <w:rPr>
          <w:rFonts w:ascii="Times New Roman" w:cs="Times New Roman" w:eastAsia="Times New Roman" w:hAnsi="Times New Roman"/>
          <w:sz w:val="16"/>
          <w:szCs w:val="16"/>
          <w:color w:val="auto"/>
        </w:rPr>
        <w:t>has served as our director since November 2022. Mr. Wildman is Chairman of the Board of Progenerative Medical, Inc., a pre-commercial company translating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clinically proven reduced pressure technology into medical treatments for orthopedic surgeries. He also serves on the board of directors for Nyxoah, Progenerative Medical, Inc. and Panther Therapeutics. At Johnson &amp; Johnson, Mr. Wildman led the Digital Surgery Strategy initiative where he was tasked with developing an integrated strategy for robotic surgery for the company. This strategy directly led to the 2019 acquisition of Auris Health, Inc. Prior to Digital Surgery, Mr. Wildman led Depuy Synthes Spine. In this role, he had overall responsibility for the second-largest spine surgery business in the world ($1.8B). He served in this capacity from August of 2015 to September of 2017, and during this period developed and implemented an integrated turn-around plan for the company. Previously, Mr. Wildman served as Worldwide President of Ethicon Biosurgery, a division of Ethicon, Inc. From 2003-2015 he led this global business dedicated to delivering innovative and life-saving solutions to surgeons via development and commercialization of biomaterial, biologic and combination products that changed the standard of care for intraoperative hemostasis. In this role, Mr. Wildman transitioned the company from Advanced Wound Care to Biosurgery through a combination of acquisitions, divestitures, and internal capability development, all focused on development and commercialization of meaningful innovations. The Biosurgery business at Ethicon continues to be one of the fastest growing companies in Johnson &amp; Johnson's portfolio. Prior to Johnson &amp; Johnson, Mr. Wildman spent 10 years with Boston Scientific Corporation in a variety of sales, marketing, operations and strategic planning roles of increasing responsibility. Mr. Wildman is an accomplished global leader. Throughout his career, he has earned a solid reputation for his strategic vision, motivational leadership, innovative technologies, ability to execute and his commitment to people development. Mr. Wildman received a Bachelor of Arts degree in Economics from St. Lawrence University in New York. Our Board believes Mr. Wildman’s business and executive experience qualify him to serve on our Board.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Concerning Our Executive Officers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concerning our executive officers, including their ages, as of the date of this Form 10-K/A.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Executive Officer</w:t>
            </w: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163"/>
        </w:trPr>
        <w:tc>
          <w:tcPr>
            <w:tcW w:w="396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6"/>
                <w:szCs w:val="16"/>
                <w:color w:val="auto"/>
              </w:rPr>
              <w:t>Elizabeth Barrett</w:t>
            </w:r>
          </w:p>
        </w:tc>
        <w:tc>
          <w:tcPr>
            <w:tcW w:w="80" w:type="dxa"/>
            <w:vAlign w:val="bottom"/>
          </w:tcPr>
          <w:p>
            <w:pPr>
              <w:spacing w:after="0"/>
              <w:rPr>
                <w:sz w:val="14"/>
                <w:szCs w:val="14"/>
                <w:color w:val="auto"/>
              </w:rPr>
            </w:pPr>
          </w:p>
        </w:tc>
        <w:tc>
          <w:tcPr>
            <w:tcW w:w="660" w:type="dxa"/>
            <w:vAlign w:val="bottom"/>
            <w:tcBorders>
              <w:top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tcPr>
          <w:p>
            <w:pPr>
              <w:spacing w:after="0"/>
              <w:rPr>
                <w:sz w:val="14"/>
                <w:szCs w:val="14"/>
                <w:color w:val="auto"/>
              </w:rPr>
            </w:pPr>
          </w:p>
        </w:tc>
        <w:tc>
          <w:tcPr>
            <w:tcW w:w="646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187"/>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Don Kim</w:t>
            </w:r>
          </w:p>
        </w:tc>
        <w:tc>
          <w:tcPr>
            <w:tcW w:w="7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47</w:t>
            </w: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87"/>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Mark P. Schoenberg, M.D.</w:t>
            </w:r>
          </w:p>
        </w:tc>
        <w:tc>
          <w:tcPr>
            <w:tcW w:w="7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66</w:t>
            </w: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Jason Smith</w:t>
            </w:r>
          </w:p>
        </w:tc>
        <w:tc>
          <w:tcPr>
            <w:tcW w:w="7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52</w:t>
            </w: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General Counsel and Chief Compliance Officer</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biography of Ms. Barrett is set forth under the heading “Information Concerning Our Directors” above.</w:t>
      </w:r>
    </w:p>
    <w:p>
      <w:pPr>
        <w:spacing w:after="0" w:line="1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 xml:space="preserve">Don Kim </w:t>
      </w:r>
      <w:r>
        <w:rPr>
          <w:rFonts w:ascii="Times New Roman" w:cs="Times New Roman" w:eastAsia="Times New Roman" w:hAnsi="Times New Roman"/>
          <w:sz w:val="14"/>
          <w:szCs w:val="14"/>
          <w:color w:val="auto"/>
        </w:rPr>
        <w:t>has served as our Chief Financial Officer since March 2022. Mr. Kim is a seasoned financial executive with extensive pharmaceutical industry experience. Before 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promotion, Mr. Kim served as VP Finance at UroGen since August 2021. Prior to UroGen, Mr. Kim was employed by Strides Pharma Inc., generic pharmaceutical company, starting as Head of Finance in April 2020. He was subsequently appointed to the Stride Pharma board in March 2021. During his tenure at Strides Pharma, Mr. Kim played a key role in the company’s capital-raising efforts in support of advancing its mission until his departure in August 2021. Prior to joining Strides Pharma, Mr. Kim was Controller at Sun Pharma Inc., a pharmaceutical company, from July 2019 to April 2020. Before that, Mr. Kim joined Zoetis Inc., an animal-health company, in December 2014 as Senior Manager-Corporate Audit. He was later promoted to Director-Corporate Audit in December 2015. He thereafter became the US Controller at Zoetis Inc. in January 2018 until his departure from the company in July 2019. Earlier in his career, Mr. Kim served as Audit/Assurance Manager at Deloitte, NY. He is a licensed Certified Public Accountant in California. Mr. Kim holds a Master of Business Administration from the University of North Carolina, Chapel Hill, and bachelor’s degree from Yonsei University in Korea.</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Mark P. Schoenberg, M.D. </w:t>
      </w:r>
      <w:r>
        <w:rPr>
          <w:rFonts w:ascii="Times New Roman" w:cs="Times New Roman" w:eastAsia="Times New Roman" w:hAnsi="Times New Roman"/>
          <w:sz w:val="16"/>
          <w:szCs w:val="16"/>
          <w:color w:val="auto"/>
        </w:rPr>
        <w:t>has served as our Chief Medical Officer since December 2017 and, prior to that, served as our Medical Director since February 2016. Dr. Schoenberg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has over 20 years of experience in clinical practice and research focused on the care of patients with all forms of bladder cancer. Since April 2014, Dr. Schoenberg has been University Professor and Chair of the Urology Department at The Montefiore Medical Center for The Albert Einstein College of Medicine of Yeshiva University. Prior to joining Montefiore, from 2005 to 2014, Dr. Schoenberg served as Director of Urologic Oncology and Bernard L. Schwartz Distinguished Professor of Urologic Oncology at Johns Hopkins Hospital. Dr. Schoenberg is also the past chair of the Medical Advisory Board of the Bladder Cancer Advocacy Network, the author of The Guide to Living with Bladder Cancer, co-editor of The Textbook of Bladder Cancer, a contributor to Campbell’s Urology and a past Senior Editor of the journal Seminars in Urologic Oncology. Dr. Schoenberg received his M.D. (Alpha Omega Alpha) from the University of Texas Health Sciences Center and completed his residency in General Surgery and Urology at the Hospital of The University of Pennsylvania, where he served as chief resident and urology instructor, before completing basic research and clinical urologic oncology fellowships at Johns Hopkins under the auspices of The American Cancer Society. Dr. Schoenberg is a fellow of the American College of Surgeons, as well as a member of the American Association of Cancer Research, the Society of Urologic Oncology and the American Urological Association.</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Jason Smith </w:t>
      </w:r>
      <w:r>
        <w:rPr>
          <w:rFonts w:ascii="Times New Roman" w:cs="Times New Roman" w:eastAsia="Times New Roman" w:hAnsi="Times New Roman"/>
          <w:sz w:val="16"/>
          <w:szCs w:val="16"/>
          <w:color w:val="auto"/>
        </w:rPr>
        <w:t>has served as our General Counsel, Chief Compliance Officer and Corporate Secretary since August 2020. Mr. Smith is responsible for leading our legal, intellectual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property, and corporate compliance functions. Mr. Smith joined us from Pfizer, where he served as Chief Counsel, Oncology from August 2016 to August 2020. Prior to Pfizer, Mr. Smith worked in the legal department at Wyeth in a variety of roles including as antitrust counsel, Global Product Counsel and Chief Counsel, U.S. Pharmaceuticals, leading a team of lawyers supporting the prescription pharmaceuticals businesses. Before joining Wyeth, Mr. Smith was an associate at Howrey, Simon, Arnold &amp; White in Washington, DC, in the antitrust and commercial litigation groups. Mr. Smith received his bachelor's degree in Economics, cum laude from Binghamton University and his juris doctor degree, with high honors, from George Washington University.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Conduct and Ethics</w:t>
      </w:r>
    </w:p>
    <w:p>
      <w:pPr>
        <w:spacing w:after="0" w:line="19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6"/>
          <w:szCs w:val="16"/>
          <w:color w:val="auto"/>
        </w:rPr>
        <w:t>We have adopted a Corporate Code of Ethics and Conduct (the “Code of Conduct”) applicable to all of our employees, executive officers and directors. The Code of Conduct is available on our website at www.urogen.com. Our Audit Committee is responsible for monitoring the implementation of the Code of Conduct and must approve any material changes to or waivers of the Code of Conduct regarding our directors or executive officers, and disclosures made in the Company’s annual report in such regard. In addition, we intend to post on our website all disclosures that are required by law or the listing standards of the applicable stock exchange concerning any amendments to, or waivers from, any provision of the Code of Conduct.</w:t>
      </w:r>
    </w:p>
    <w:p>
      <w:pPr>
        <w:sectPr>
          <w:pgSz w:w="11900" w:h="16838" w:orient="portrait"/>
          <w:cols w:equalWidth="0" w:num="1">
            <w:col w:w="11260"/>
          </w:cols>
          <w:pgMar w:left="320" w:top="123" w:right="31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Audit Committee consists of Ms. Butitta, Dr. Holden and Dr. Wen. Ms. Butitta serves as Chair of the Audit Committee. All members of our Audit Committee meet the requirements for financial literacy under the applicable rules and regulations of the SEC and Nasdaq. Our Board has determined that Ms. Butitta is an “audit committee financial expert” as such term is defined in the applicable SEC rules and has the requisite financial experience as defined by the Nasdaq listing standards. Each of the members of our Audit Committee is “independent” as such term is defined in Rule 10A-3(b)(1) under the Exchange Act and satisfies the independent director requirements under the Nasdaq listing standards.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Compensation Committee consists of Dr. Belldegrun, Dr. Cohen, and Mr. Wildman. Dr. Cohen serves as Chair of the Compensation Committee. Each of these individuals is a non-employee director, as defined in Rule 16b-3 promulgated under the Exchange Act. Our Board has determined that each of these individuals is “independent” as defined under the applicable listing standards of Nasdaq, including the standards specific to members of a compensation committee.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19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Our Nominating and Corporate Governance Committee consists of Mr. Robinson and Dr. Wen. Dr. Wen serves as Chair of the Nominating and Corporate Governance Committee. Each of these individuals is a non-employee director, as defined in Rule 16b-3 promulgated under the Exchange Act. Our Board has determined that each of these individuals is “independent” as defined under the applicable listing standards of Nasdaq, including the standards specific to members of a nominating and corporate governance committee.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2"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2"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6"/>
          <w:szCs w:val="16"/>
          <w:color w:val="auto"/>
        </w:rPr>
        <w:t>Our fundamental objective is to advance patient care while creating consistent long-term value for our shareholders. To accomplish this objective, we have established an overall compensation program intended to attract and retain highly qualified executives, incentivize achievement of our key performance goals in order to align our executives’ interests with those of our shareholders and link pay to company performance. We take a holistic approach to assessing Company performance, and identify corporate objectives that align with our short- and long-term strategic priorities, and build towards creation of long-term, sustainable shareholder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2023 corporate performance highlights include:</w:t>
      </w:r>
    </w:p>
    <w:p>
      <w:pPr>
        <w:spacing w:after="0" w:line="190" w:lineRule="exact"/>
        <w:rPr>
          <w:sz w:val="20"/>
          <w:szCs w:val="20"/>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Achieved year-over-year revenue increase of 28%</w:t>
      </w:r>
    </w:p>
    <w:p>
      <w:pPr>
        <w:spacing w:after="0" w:line="187"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Obtained a New Technology Ambulatory Payment Classification from Centers for Medicare &amp; Medicaid Services for </w:t>
      </w:r>
      <w:r>
        <w:rPr>
          <w:rFonts w:ascii="Times New Roman" w:cs="Times New Roman" w:eastAsia="Times New Roman" w:hAnsi="Times New Roman"/>
          <w:sz w:val="16"/>
          <w:szCs w:val="16"/>
          <w:i w:val="1"/>
          <w:iCs w:val="1"/>
          <w:color w:val="auto"/>
        </w:rPr>
        <w:t>Jelmyto</w:t>
      </w:r>
      <w:r>
        <w:rPr>
          <w:rFonts w:ascii="Times New Roman" w:cs="Times New Roman" w:eastAsia="Times New Roman" w:hAnsi="Times New Roman"/>
          <w:sz w:val="16"/>
          <w:szCs w:val="16"/>
          <w:color w:val="auto"/>
        </w:rPr>
        <w:t>, effective from October 1, 2023</w:t>
      </w:r>
    </w:p>
    <w:p>
      <w:pPr>
        <w:spacing w:after="0" w:line="191" w:lineRule="exact"/>
        <w:rPr>
          <w:rFonts w:ascii="Times New Roman" w:cs="Times New Roman" w:eastAsia="Times New Roman" w:hAnsi="Times New Roman"/>
          <w:sz w:val="16"/>
          <w:szCs w:val="16"/>
          <w:color w:val="auto"/>
        </w:rPr>
      </w:pPr>
    </w:p>
    <w:p>
      <w:pPr>
        <w:ind w:left="560" w:right="800" w:hanging="286"/>
        <w:spacing w:after="0" w:line="268"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of positive topline data from our Phase 3 trials ATLAS and ENVISION studying UGN-102 (mitomycin) for intravesical solution for low-grade intermediate risk non-muscle invasive bladder cancer</w:t>
      </w:r>
    </w:p>
    <w:p>
      <w:pPr>
        <w:spacing w:after="0" w:line="149" w:lineRule="exact"/>
        <w:rPr>
          <w:rFonts w:ascii="Times New Roman" w:cs="Times New Roman" w:eastAsia="Times New Roman" w:hAnsi="Times New Roman"/>
          <w:sz w:val="16"/>
          <w:szCs w:val="16"/>
          <w:color w:val="auto"/>
        </w:rPr>
      </w:pPr>
    </w:p>
    <w:p>
      <w:pPr>
        <w:ind w:left="560" w:right="440" w:hanging="286"/>
        <w:spacing w:after="0" w:line="268"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 placement of ordinary shares for aggregate gross proceeds of $120 million, before deducting fees to placement agents and financial advisors and before other expenses</w:t>
      </w:r>
    </w:p>
    <w:p>
      <w:pPr>
        <w:spacing w:after="0" w:line="149"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 with the FDA on plans for rolling submission of a New Drug Application for UGN-102 (mitomycin) for intravesical solution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following discussion describes our executive compensation process and policies. It provides qualitative information on the factors relevant to these decisions and the manner in which compensation is awarded to our named executive officers for the fiscal year ended December 31, 2023, which consisted of our principal executive officer, our chief medical officer and our general counsel and chief compliance officer. These named executive officers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160" w:type="dxa"/>
            <w:vAlign w:val="bottom"/>
            <w:gridSpan w:val="3"/>
          </w:tcPr>
          <w:p>
            <w:pPr>
              <w:ind w:left="120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5"/>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Elizabeth Barrett</w:t>
            </w:r>
          </w:p>
        </w:tc>
        <w:tc>
          <w:tcPr>
            <w:tcW w:w="4160" w:type="dxa"/>
            <w:vAlign w:val="bottom"/>
            <w:gridSpan w:val="3"/>
          </w:tcPr>
          <w:p>
            <w:pPr>
              <w:ind w:left="120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87"/>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 P. Schoenberg, M.D.</w:t>
            </w:r>
          </w:p>
        </w:tc>
        <w:tc>
          <w:tcPr>
            <w:tcW w:w="4160" w:type="dxa"/>
            <w:vAlign w:val="bottom"/>
            <w:gridSpan w:val="3"/>
          </w:tcPr>
          <w:p>
            <w:pPr>
              <w:ind w:left="120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Jason Smith</w:t>
            </w:r>
          </w:p>
        </w:tc>
        <w:tc>
          <w:tcPr>
            <w:tcW w:w="4160" w:type="dxa"/>
            <w:vAlign w:val="bottom"/>
            <w:gridSpan w:val="3"/>
          </w:tcPr>
          <w:p>
            <w:pPr>
              <w:ind w:left="1200"/>
              <w:spacing w:after="0"/>
              <w:rPr>
                <w:sz w:val="20"/>
                <w:szCs w:val="20"/>
                <w:color w:val="auto"/>
              </w:rPr>
            </w:pPr>
            <w:r>
              <w:rPr>
                <w:rFonts w:ascii="Times New Roman" w:cs="Times New Roman" w:eastAsia="Times New Roman" w:hAnsi="Times New Roman"/>
                <w:sz w:val="16"/>
                <w:szCs w:val="16"/>
                <w:color w:val="auto"/>
                <w:w w:val="96"/>
              </w:rPr>
              <w:t>General Counsel and Chief Compliance Officer</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Objectives, Philosophy and Elements of Executive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compensation program aims to achieve the following main objectives:</w:t>
      </w:r>
    </w:p>
    <w:p>
      <w:pPr>
        <w:spacing w:after="0" w:line="190" w:lineRule="exact"/>
        <w:rPr>
          <w:sz w:val="20"/>
          <w:szCs w:val="20"/>
          <w:color w:val="auto"/>
        </w:rPr>
      </w:pPr>
    </w:p>
    <w:p>
      <w:pPr>
        <w:ind w:left="1280" w:hanging="422"/>
        <w:spacing w:after="0"/>
        <w:tabs>
          <w:tab w:leader="none" w:pos="1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retain and reward highly qualified executives;</w:t>
      </w:r>
    </w:p>
    <w:p>
      <w:pPr>
        <w:spacing w:after="0" w:line="18" w:lineRule="exact"/>
        <w:rPr>
          <w:rFonts w:ascii="Times New Roman" w:cs="Times New Roman" w:eastAsia="Times New Roman" w:hAnsi="Times New Roman"/>
          <w:sz w:val="16"/>
          <w:szCs w:val="16"/>
          <w:color w:val="auto"/>
        </w:rPr>
      </w:pPr>
    </w:p>
    <w:p>
      <w:pPr>
        <w:ind w:left="1280" w:hanging="422"/>
        <w:spacing w:after="0"/>
        <w:tabs>
          <w:tab w:leader="none" w:pos="1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incentives that motivate executives to achieve our key performance goals that create shareholder value;</w:t>
      </w:r>
    </w:p>
    <w:p>
      <w:pPr>
        <w:spacing w:after="0" w:line="2" w:lineRule="exact"/>
        <w:rPr>
          <w:rFonts w:ascii="Times New Roman" w:cs="Times New Roman" w:eastAsia="Times New Roman" w:hAnsi="Times New Roman"/>
          <w:sz w:val="16"/>
          <w:szCs w:val="16"/>
          <w:color w:val="auto"/>
        </w:rPr>
      </w:pPr>
    </w:p>
    <w:p>
      <w:pPr>
        <w:ind w:left="1280" w:hanging="422"/>
        <w:spacing w:after="0"/>
        <w:tabs>
          <w:tab w:leader="none" w:pos="1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our executives’ interests with those of our shareholders; and</w:t>
      </w:r>
    </w:p>
    <w:p>
      <w:pPr>
        <w:spacing w:after="0" w:line="2" w:lineRule="exact"/>
        <w:rPr>
          <w:rFonts w:ascii="Times New Roman" w:cs="Times New Roman" w:eastAsia="Times New Roman" w:hAnsi="Times New Roman"/>
          <w:sz w:val="16"/>
          <w:szCs w:val="16"/>
          <w:color w:val="auto"/>
        </w:rPr>
      </w:pPr>
    </w:p>
    <w:p>
      <w:pPr>
        <w:ind w:left="1280" w:hanging="422"/>
        <w:spacing w:after="0"/>
        <w:tabs>
          <w:tab w:leader="none" w:pos="12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link pay to company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executive compensation program is overseen by the Compensation Committee with the advice and support of an independent third-party compensation consultant.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key characteristics of the Company’s executive compensation program:</w:t>
      </w:r>
    </w:p>
    <w:p>
      <w:pPr>
        <w:spacing w:after="0" w:line="172" w:lineRule="exact"/>
        <w:rPr>
          <w:sz w:val="20"/>
          <w:szCs w:val="20"/>
          <w:color w:val="auto"/>
        </w:rPr>
      </w:pPr>
    </w:p>
    <w:p>
      <w:pPr>
        <w:ind w:left="560" w:right="160" w:hanging="286"/>
        <w:spacing w:after="0" w:line="257"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 substantial portion of executive pay is tied to performance</w:t>
      </w:r>
      <w:r>
        <w:rPr>
          <w:rFonts w:ascii="Times New Roman" w:cs="Times New Roman" w:eastAsia="Times New Roman" w:hAnsi="Times New Roman"/>
          <w:sz w:val="16"/>
          <w:szCs w:val="16"/>
          <w:color w:val="auto"/>
        </w:rPr>
        <w:t>. We structure a significant portion of our named executive officers’ compensation to be variable.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cash performance bonuses and long-term equity compensation are dependent on achievement of corporate performance objectives and determined by the Compensation Committee.</w:t>
      </w:r>
    </w:p>
    <w:p>
      <w:pPr>
        <w:spacing w:after="0" w:line="156" w:lineRule="exact"/>
        <w:rPr>
          <w:rFonts w:ascii="Times New Roman" w:cs="Times New Roman" w:eastAsia="Times New Roman" w:hAnsi="Times New Roman"/>
          <w:sz w:val="16"/>
          <w:szCs w:val="16"/>
          <w:color w:val="auto"/>
        </w:rPr>
      </w:pPr>
    </w:p>
    <w:p>
      <w:pPr>
        <w:ind w:left="560" w:right="20" w:hanging="286"/>
        <w:spacing w:after="0" w:line="294" w:lineRule="auto"/>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Our executive bonuses are dependent on the Company and the officer achieving annually determined objectives</w:t>
      </w:r>
      <w:r>
        <w:rPr>
          <w:rFonts w:ascii="Times New Roman" w:cs="Times New Roman" w:eastAsia="Times New Roman" w:hAnsi="Times New Roman"/>
          <w:sz w:val="14"/>
          <w:szCs w:val="14"/>
          <w:color w:val="auto"/>
        </w:rPr>
        <w:t>. As a smaller reporting company with significant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development-stage activities, we take a holistic approach to evaluating the Company's performance. We measure performance against challenging objectives established at the beginning of each performance cycle. We establish a broad set of measurable performance objectives that align with our long-term strategic priorities and build towards lasting long-term value. Our annual performance-based bonus opportunities for all our named executive officers are determined by the Compensation Committee, and ultimately the Board, based upon the Company’s and the officer’s achievement of objectives determined on an annual basis by the Company.</w:t>
      </w:r>
    </w:p>
    <w:p>
      <w:pPr>
        <w:spacing w:after="0" w:line="135" w:lineRule="exact"/>
        <w:rPr>
          <w:rFonts w:ascii="Times New Roman" w:cs="Times New Roman" w:eastAsia="Times New Roman" w:hAnsi="Times New Roman"/>
          <w:sz w:val="14"/>
          <w:szCs w:val="14"/>
          <w:color w:val="auto"/>
        </w:rPr>
      </w:pPr>
    </w:p>
    <w:p>
      <w:pPr>
        <w:ind w:left="560" w:right="100" w:hanging="286"/>
        <w:spacing w:after="0" w:line="300" w:lineRule="auto"/>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We emphasize long-term equity incentives</w:t>
      </w:r>
      <w:r>
        <w:rPr>
          <w:rFonts w:ascii="Times New Roman" w:cs="Times New Roman" w:eastAsia="Times New Roman" w:hAnsi="Times New Roman"/>
          <w:sz w:val="14"/>
          <w:szCs w:val="14"/>
          <w:color w:val="auto"/>
        </w:rPr>
        <w:t>. Equity awards are an integral part of our executive compensation program and comprise the primary “at-risk” portion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named executive officer compensation package. During 2023, we granted our executive officers options to purchase our ordinary shares and restricted stock units. These equity awards granted to our named executive officers in 2023 vest in equal annual installments over three years from the vesting commencement date. These awards strongly align our executive officers’ interests with those of our shareholders by providing a continuing financial incentive to maximize value for our shareholders and by</w:t>
      </w:r>
    </w:p>
    <w:p>
      <w:pPr>
        <w:sectPr>
          <w:pgSz w:w="11900" w:h="16838" w:orient="portrait"/>
          <w:cols w:equalWidth="0" w:num="1">
            <w:col w:w="11260"/>
          </w:cols>
          <w:pgMar w:left="320" w:top="121" w:right="319" w:bottom="0" w:gutter="0" w:footer="0" w:header="0"/>
        </w:sectPr>
      </w:pPr>
    </w:p>
    <w:bookmarkStart w:id="7" w:name="page8"/>
    <w:bookmarkEnd w:id="7"/>
    <w:p>
      <w:pPr>
        <w:spacing w:after="0" w:line="12" w:lineRule="exact"/>
        <w:rPr>
          <w:sz w:val="20"/>
          <w:szCs w:val="20"/>
          <w:color w:val="auto"/>
        </w:rPr>
      </w:pPr>
    </w:p>
    <w:p>
      <w:pPr>
        <w:ind w:left="560" w:right="40"/>
        <w:spacing w:after="0" w:line="251" w:lineRule="auto"/>
        <w:rPr>
          <w:sz w:val="20"/>
          <w:szCs w:val="20"/>
          <w:color w:val="auto"/>
        </w:rPr>
      </w:pPr>
      <w:r>
        <w:rPr>
          <w:rFonts w:ascii="Times New Roman" w:cs="Times New Roman" w:eastAsia="Times New Roman" w:hAnsi="Times New Roman"/>
          <w:sz w:val="16"/>
          <w:szCs w:val="16"/>
          <w:color w:val="auto"/>
        </w:rPr>
        <w:t>encouraging our executive officers to remain in our long-term employ. In 2023 we also awarded performance stock units as part of our CEO’s long-term incentive compensation. We have identified receipt of U.S. regulatory approval for our lead product candidate UGN-102 as a critical long-term strategic objective. Vesting of these PSUs will depend upon obtaining this regulatory approval in the three years following the grant, directly tying a substantial component of our CEO’s total compensation to performance against one of the primary drivers of long-term value.</w:t>
      </w:r>
    </w:p>
    <w:p>
      <w:pPr>
        <w:spacing w:after="0" w:line="163" w:lineRule="exact"/>
        <w:rPr>
          <w:sz w:val="20"/>
          <w:szCs w:val="20"/>
          <w:color w:val="auto"/>
        </w:rPr>
      </w:pPr>
    </w:p>
    <w:p>
      <w:pPr>
        <w:ind w:left="560" w:right="660" w:hanging="286"/>
        <w:spacing w:after="0" w:line="252"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Our Compensation Committee has retained Compensia as an independent third-party compensation consultant for guidance in making compensation decisions</w:t>
      </w:r>
      <w:r>
        <w:rPr>
          <w:rFonts w:ascii="Times New Roman" w:cs="Times New Roman" w:eastAsia="Times New Roman" w:hAnsi="Times New Roman"/>
          <w:sz w:val="16"/>
          <w:szCs w:val="16"/>
          <w:color w:val="auto"/>
        </w:rPr>
        <w:t>. The compensation consultant advises the Compensation Committee on market practices, including identifying a peer group of companies and their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practices, so that our Compensation Committee can regularly assess the Company’s individual and total compensation programs against these peer companies, the general marketplace and other industry data points.</w:t>
      </w:r>
    </w:p>
    <w:p>
      <w:pPr>
        <w:spacing w:after="0" w:line="161"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 do not provide our executive officers with any excise tax gross ups</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 have not repriced options</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 do not provide executive fringe benefits or perquisites to our executives</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Our executive compensation program generally consists of, and is intended to strike a balance among, the following three principal components: base salary, annual performance-based bonuses and long-term incentive compensation. We provided signing bonuses to our executive officers when they joined the Company. We also provide our executive officers with benefits available to all our employees, including participation in employee benefit plans. The following chart summarizes the three main elements of compensation, their objectives and key features.</w:t>
      </w:r>
    </w:p>
    <w:p>
      <w:pPr>
        <w:sectPr>
          <w:pgSz w:w="11900" w:h="16850" w:orient="portrait"/>
          <w:cols w:equalWidth="0" w:num="1">
            <w:col w:w="11260"/>
          </w:cols>
          <w:pgMar w:left="320" w:top="123" w:right="319" w:bottom="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Element of</w:t>
            </w:r>
          </w:p>
        </w:tc>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5"/>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7"/>
                <w:szCs w:val="17"/>
                <w:color w:val="auto"/>
              </w:rPr>
            </w:pPr>
          </w:p>
        </w:tc>
        <w:tc>
          <w:tcPr>
            <w:tcW w:w="33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Objectives</w:t>
            </w:r>
          </w:p>
        </w:tc>
      </w:tr>
      <w:tr>
        <w:trPr>
          <w:trHeight w:val="161"/>
        </w:trPr>
        <w:tc>
          <w:tcPr>
            <w:tcW w:w="28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Base Salary</w:t>
            </w:r>
          </w:p>
        </w:tc>
        <w:tc>
          <w:tcPr>
            <w:tcW w:w="100" w:type="dxa"/>
            <w:vAlign w:val="bottom"/>
          </w:tcPr>
          <w:p>
            <w:pPr>
              <w:spacing w:after="0"/>
              <w:rPr>
                <w:sz w:val="13"/>
                <w:szCs w:val="13"/>
                <w:color w:val="auto"/>
              </w:rPr>
            </w:pPr>
          </w:p>
        </w:tc>
        <w:tc>
          <w:tcPr>
            <w:tcW w:w="33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Provides financial stability and security through a</w:t>
            </w:r>
          </w:p>
        </w:tc>
      </w:tr>
      <w:tr>
        <w:trPr>
          <w:trHeight w:val="189"/>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(fixed cash)</w:t>
            </w:r>
          </w:p>
        </w:tc>
        <w:tc>
          <w:tcPr>
            <w:tcW w:w="10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fixed amount of cash for performing job</w:t>
            </w:r>
          </w:p>
        </w:tc>
      </w:tr>
      <w:tr>
        <w:trPr>
          <w:trHeight w:val="203"/>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responsibilities.</w:t>
            </w:r>
          </w:p>
        </w:tc>
      </w:tr>
      <w:tr>
        <w:trPr>
          <w:trHeight w:val="356"/>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Performance Bonus</w:t>
            </w:r>
          </w:p>
        </w:tc>
        <w:tc>
          <w:tcPr>
            <w:tcW w:w="10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Motivates and rewards for attaining key annual</w:t>
            </w:r>
          </w:p>
        </w:tc>
      </w:tr>
      <w:tr>
        <w:trPr>
          <w:trHeight w:val="189"/>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(at-risk cash)</w:t>
            </w:r>
          </w:p>
        </w:tc>
        <w:tc>
          <w:tcPr>
            <w:tcW w:w="100" w:type="dxa"/>
            <w:vAlign w:val="bottom"/>
          </w:tcPr>
          <w:p>
            <w:pPr>
              <w:spacing w:after="0"/>
              <w:rPr>
                <w:sz w:val="16"/>
                <w:szCs w:val="16"/>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Company and executive officer performance</w:t>
            </w:r>
          </w:p>
        </w:tc>
      </w:tr>
      <w:tr>
        <w:trPr>
          <w:trHeight w:val="203"/>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objectives.</w:t>
            </w:r>
          </w:p>
        </w:tc>
      </w:tr>
    </w:tbl>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Features</w:t>
      </w:r>
    </w:p>
    <w:p>
      <w:pPr>
        <w:spacing w:after="0" w:line="2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6"/>
          <w:szCs w:val="16"/>
          <w:color w:val="auto"/>
        </w:rPr>
        <w:t>Generally reviewed annually and determined based on a number of factors, including in part, market data provided by our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30930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93085" cy="7620"/>
                    </a:xfrm>
                    <a:prstGeom prst="rect">
                      <a:avLst/>
                    </a:prstGeom>
                    <a:noFill/>
                  </pic:spPr>
                </pic:pic>
              </a:graphicData>
            </a:graphic>
          </wp:anchor>
        </w:drawing>
      </w:r>
    </w:p>
    <w:p>
      <w:pPr>
        <w:spacing w:after="0" w:line="14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Target bonus amounts are generally reviewed annually and determined based upon positions that have similar impact on the organization and competitive bonus opportunities in our market. Bonus opportunities are dependent upon achievement of specific corporate performance objectives consistent with our strategic plan and individual performance objectives that relate to the officer’s role and expected contribution toward reaching our corporate goals, determined by the Board and communicated at the beginning of the year. Actual bonus amounts earned are determined at the end of the year, taking into account corporate and individual performance objectives.</w:t>
      </w:r>
    </w:p>
    <w:p>
      <w:pPr>
        <w:spacing w:after="0" w:line="142" w:lineRule="exact"/>
        <w:rPr>
          <w:sz w:val="20"/>
          <w:szCs w:val="20"/>
          <w:color w:val="auto"/>
        </w:rPr>
      </w:pPr>
    </w:p>
    <w:p>
      <w:pPr>
        <w:sectPr>
          <w:pgSz w:w="11900" w:h="16850" w:orient="portrait"/>
          <w:cols w:equalWidth="0" w:num="2">
            <w:col w:w="6280" w:space="100"/>
            <w:col w:w="4880"/>
          </w:cols>
          <w:pgMar w:left="320" w:top="123" w:right="319" w:bottom="0" w:gutter="0" w:footer="0" w:header="0"/>
          <w:type w:val="continuous"/>
        </w:sectPr>
      </w:pPr>
    </w:p>
    <w:p>
      <w:pPr>
        <w:spacing w:after="0"/>
        <w:tabs>
          <w:tab w:leader="none" w:pos="2880" w:val="left"/>
        </w:tabs>
        <w:rPr>
          <w:sz w:val="20"/>
          <w:szCs w:val="20"/>
          <w:color w:val="auto"/>
        </w:rPr>
      </w:pPr>
      <w:r>
        <w:rPr>
          <w:rFonts w:ascii="Times New Roman" w:cs="Times New Roman" w:eastAsia="Times New Roman" w:hAnsi="Times New Roman"/>
          <w:sz w:val="16"/>
          <w:szCs w:val="16"/>
          <w:color w:val="auto"/>
        </w:rPr>
        <w:t>Long-Term Incentive</w:t>
      </w:r>
      <w:r>
        <w:rPr>
          <w:sz w:val="20"/>
          <w:szCs w:val="20"/>
          <w:color w:val="auto"/>
        </w:rPr>
        <w:tab/>
      </w:r>
      <w:r>
        <w:rPr>
          <w:rFonts w:ascii="Times New Roman" w:cs="Times New Roman" w:eastAsia="Times New Roman" w:hAnsi="Times New Roman"/>
          <w:sz w:val="14"/>
          <w:szCs w:val="14"/>
          <w:color w:val="auto"/>
        </w:rPr>
        <w:t>Motivates and rewards for long-term Company</w:t>
      </w:r>
    </w:p>
    <w:p>
      <w:pPr>
        <w:spacing w:after="0" w:line="19"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6"/>
          <w:szCs w:val="16"/>
          <w:b w:val="1"/>
          <w:bCs w:val="1"/>
          <w:color w:val="auto"/>
        </w:rPr>
        <w:t>(at-risk equity)</w:t>
      </w:r>
      <w:r>
        <w:rPr>
          <w:sz w:val="20"/>
          <w:szCs w:val="20"/>
          <w:color w:val="auto"/>
        </w:rPr>
        <w:tab/>
      </w:r>
      <w:r>
        <w:rPr>
          <w:rFonts w:ascii="Times New Roman" w:cs="Times New Roman" w:eastAsia="Times New Roman" w:hAnsi="Times New Roman"/>
          <w:sz w:val="14"/>
          <w:szCs w:val="14"/>
          <w:color w:val="auto"/>
        </w:rPr>
        <w:t>performance; aligns executives’ interests with</w:t>
      </w:r>
    </w:p>
    <w:p>
      <w:pPr>
        <w:spacing w:after="0" w:line="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shareholder interests and changes in shareholder</w:t>
      </w:r>
    </w:p>
    <w:p>
      <w:pPr>
        <w:spacing w:after="0" w:line="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value.</w:t>
      </w:r>
    </w:p>
    <w:p>
      <w:pPr>
        <w:spacing w:after="0" w:line="174" w:lineRule="exact"/>
        <w:rPr>
          <w:sz w:val="20"/>
          <w:szCs w:val="20"/>
          <w:color w:val="auto"/>
        </w:rPr>
      </w:pPr>
    </w:p>
    <w:p>
      <w:pPr>
        <w:ind w:left="2900"/>
        <w:spacing w:after="0" w:line="340" w:lineRule="auto"/>
        <w:rPr>
          <w:sz w:val="20"/>
          <w:szCs w:val="20"/>
          <w:color w:val="auto"/>
        </w:rPr>
      </w:pPr>
      <w:r>
        <w:rPr>
          <w:rFonts w:ascii="Times New Roman" w:cs="Times New Roman" w:eastAsia="Times New Roman" w:hAnsi="Times New Roman"/>
          <w:sz w:val="14"/>
          <w:szCs w:val="14"/>
          <w:color w:val="auto"/>
        </w:rPr>
        <w:t>Attracts highly qualified executives and encourages their continued employment over the long-term.</w:t>
      </w:r>
    </w:p>
    <w:p>
      <w:pPr>
        <w:spacing w:after="0" w:line="20" w:lineRule="exact"/>
        <w:rPr>
          <w:sz w:val="20"/>
          <w:szCs w:val="20"/>
          <w:color w:val="auto"/>
        </w:rPr>
      </w:pPr>
      <w:r>
        <w:rPr>
          <w:sz w:val="20"/>
          <w:szCs w:val="20"/>
          <w:color w:val="auto"/>
        </w:rPr>
        <w:br w:type="column"/>
      </w:r>
    </w:p>
    <w:p>
      <w:pPr>
        <w:ind w:right="300"/>
        <w:spacing w:after="0" w:line="251" w:lineRule="auto"/>
        <w:rPr>
          <w:sz w:val="20"/>
          <w:szCs w:val="20"/>
          <w:color w:val="auto"/>
        </w:rPr>
      </w:pPr>
      <w:r>
        <w:rPr>
          <w:rFonts w:ascii="Times New Roman" w:cs="Times New Roman" w:eastAsia="Times New Roman" w:hAnsi="Times New Roman"/>
          <w:sz w:val="16"/>
          <w:szCs w:val="16"/>
          <w:color w:val="auto"/>
        </w:rPr>
        <w:t>Equity opportunities are generally reviewed annually and may be granted during the first half of the year or as appropriate during the year for new hires, promotions, or other special circumstances, such as to encourage retention, or as a reward for significant achievement.</w:t>
      </w:r>
    </w:p>
    <w:p>
      <w:pPr>
        <w:spacing w:after="0" w:line="165"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6"/>
          <w:szCs w:val="16"/>
          <w:color w:val="auto"/>
        </w:rPr>
        <w:t>Individual awards are determined based on a number of factors, including current corporate and individual performance and market data provided by our independent compensation consultant.</w:t>
      </w:r>
    </w:p>
    <w:p>
      <w:pPr>
        <w:spacing w:after="0" w:line="200" w:lineRule="exact"/>
        <w:rPr>
          <w:sz w:val="20"/>
          <w:szCs w:val="20"/>
          <w:color w:val="auto"/>
        </w:rPr>
      </w:pPr>
    </w:p>
    <w:p>
      <w:pPr>
        <w:sectPr>
          <w:pgSz w:w="11900" w:h="16850" w:orient="portrait"/>
          <w:cols w:equalWidth="0" w:num="2">
            <w:col w:w="6120" w:space="260"/>
            <w:col w:w="4880"/>
          </w:cols>
          <w:pgMar w:left="320" w:top="123" w:right="319" w:bottom="0" w:gutter="0" w:footer="0" w:header="0"/>
          <w:type w:val="continuous"/>
        </w:sectPr>
      </w:pP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focus on providing a competitive compensation package to our executive officers which provides short- and long-term incentives for the achievement of measurable Company and executive officer objectives. We believe that this approach provides an appropriate blend of short-term and long-term incentives to maximize shareholder value. We generally do not have any formal policies for allocating compensation among salary, performance bonus awards and equity grants, short-term and long-term compensation or among cash and non-cash compensation, although total annual cash bonus compensation to any individual is capped at 150% of such individual’s salary pursuant to our Officers Compensation Policy. Our Compensation Committee uses its judgment to establish a total compensation program for each named executive officer that is a mix of current, short-term and long-term incentive compensation, and cash and non-cash compensation, that it believes is appropriate to achieve the goals of our executive compensation program and our corporate objectives. In 2023 our Actual CEO compensation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615305" cy="301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5305" cy="3011805"/>
                    </a:xfrm>
                    <a:prstGeom prst="rect">
                      <a:avLst/>
                    </a:prstGeom>
                    <a:noFill/>
                  </pic:spPr>
                </pic:pic>
              </a:graphicData>
            </a:graphic>
          </wp:anchor>
        </w:drawing>
      </w:r>
    </w:p>
    <w:p>
      <w:pPr>
        <w:sectPr>
          <w:pgSz w:w="11900" w:h="16850" w:orient="portrait"/>
          <w:cols w:equalWidth="0" w:num="1">
            <w:col w:w="11260"/>
          </w:cols>
          <w:pgMar w:left="320" w:top="123"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5"/>
          <w:szCs w:val="15"/>
          <w:color w:val="auto"/>
        </w:rPr>
        <w:t>To ensure alignment of our executive officer incentives with shareholder interests, we have historically structured a significant portion of the named executive officers’ total target compensation with performance-based bonus opportunities and long-term incentive equity awards. Additionally, in 2023, over half of the value of our CEO’s long-term incentive equity awards were in the form of performance stock units which vest upon receipt of U.S. regulatory approval for our lead product candidate UGN-102 in the three years following the grant, directly tying a substantial component of our CEO’s total compensation to performance against one of the primary drivers of long-term value. Our CEO's total direct compensation for 2023 was positioned at approximately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percentile of our compensation peer group. Our non-CEO executives' total direct compensation for 2023 was</w:t>
      </w:r>
    </w:p>
    <w:p>
      <w:pPr>
        <w:sectPr>
          <w:pgSz w:w="11900" w:h="16850" w:orient="portrait"/>
          <w:cols w:equalWidth="0" w:num="1">
            <w:col w:w="11260"/>
          </w:cols>
          <w:pgMar w:left="320" w:top="123" w:right="319" w:bottom="0" w:gutter="0" w:footer="0" w:header="0"/>
          <w:type w:val="continuous"/>
        </w:sectPr>
      </w:pPr>
    </w:p>
    <w:bookmarkStart w:id="8" w:name="page9"/>
    <w:bookmarkEnd w:id="8"/>
    <w:p>
      <w:pPr>
        <w:jc w:val="both"/>
        <w:spacing w:after="0" w:line="198" w:lineRule="auto"/>
        <w:rPr>
          <w:sz w:val="20"/>
          <w:szCs w:val="20"/>
          <w:color w:val="auto"/>
        </w:rPr>
      </w:pPr>
      <w:r>
        <w:rPr>
          <w:rFonts w:ascii="Times New Roman" w:cs="Times New Roman" w:eastAsia="Times New Roman" w:hAnsi="Times New Roman"/>
          <w:sz w:val="16"/>
          <w:szCs w:val="16"/>
          <w:color w:val="auto"/>
        </w:rPr>
        <w:t>positioned at approximately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percentile of our compensation peer group (see section titled "Use of Competitive Market Compensation Data" below for more detail on the selection of our compensation peer group).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2023 Say-on-Pay Results</w:t>
      </w:r>
    </w:p>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At our 2023 annual meeting of shareholders, we held a shareholder advisory vote on executive compensation, commonly referred to as a “say-on-pay” vote, which resulted in approximately 81% of the total votes cast being in favor of the advisory proposal, representing a significant increase over the prior year’s approval percentage.</w:t>
      </w:r>
    </w:p>
    <w:p>
      <w:pPr>
        <w:spacing w:after="0" w:line="15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We continue to assess and enhance our approach to executive compensation by seeking feedback from shareholders and reviewing the analyses of the Institutional Shareholder Services and Glass Lewis published reports. Our approach to aligning pay and performance focuses on maintaining a significant portion of executive’s annual total compensation based on evaluation of individual executives' performance against our corporate objectives. We take a holistic approach to assessing Company performance, undertake a robust goal-setting process to determine corporate objectives that align with our short- and long-term strategic priorities, and build towards creation of shareholder value.</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continually endeavor to align our executive interests with those of our shareholders, and link pay to company performance. We have identified receipt of U.S. regulatory approval for our lead product candidate UGN-102 as a critical long-term strategic objective. In 2024, we have included PSUs as part of our officers’ long-term incentive compensation, with vesting of these PSUs upon the first commercial sale of UGN-102, directly tying a substantial component of our officers’ total compensation to performance against one of the primary drivers of long-term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next “say-on-pay” vote will be held at our 2024 annual meeting of shareholders.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Compensation Governance Structure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Role of our Compensation Committee, Management and the Board</w:t>
      </w:r>
    </w:p>
    <w:p>
      <w:pPr>
        <w:spacing w:after="0" w:line="19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Compensation Committee is appointed by the Board and has responsibilities related to the compensation of the Company’s directors, officers, and employees and the development and administration of the Company’s compensation plans. For details on the Compensation Committee’s oversight of the executive compensation program, see the section above titled “Compensation Committee”. Our Compensation Committee consists solely of independent members of the Board.</w:t>
      </w:r>
    </w:p>
    <w:p>
      <w:pPr>
        <w:spacing w:after="0" w:line="15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Compensation Committee reviews all compensation paid to our executive officers, including our named executive officers. The Chief Executive Officer evaluates and provides to the Compensation Committee performance assessments and compensation recommendations. While the Chief Executive Officer discusses her recommendations with the Compensation Committee, she does not participate in the deliberations concerning her own compensation. More specifically, the Compensation Committee discusses and makes final recommendations to the Board with respect to executive compensation matters without the Chief Executive Officer present during discussions of the Chief Executive Officer’s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w:t>
      </w:r>
    </w:p>
    <w:p>
      <w:pPr>
        <w:spacing w:after="0" w:line="13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The Compensation Committee meets periodically throughout the year to manage and evaluate our executive compensation program, and generally determines the principal components of compensation (base salary, performance bonus and equity awards) for our executive officers on an annual basis; however, decisions may occur at other times for new hires, promotions or other special circumstances as our Compensation Committee determines appropriate. The Compensation Committee does not delegate authority to approve executive officer compensation. The Compensation Committee does not maintain a formal policy regarding the timing of equity awards to our executive officers. The Compensation Committee will continue to monitor and evaluate our executive compensation program in light of our shareholders’ views, before making any adjustments, and continue to consider the outcome of our say-on-pay votes and our shareholders’ views when making future compensation decisions for our named executive officers.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Role of Compensation Consultant</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has retained Compensia, Inc. (“Compensia”), a management consulting firm that provides executive compensation and advisory services to compensation committees of life sciences companies, as its compensation consultant. A representative of Compensia attends meetings of the Compensation Committee at the invitation of the Committee. In addition, Compensia supported the selection of companies included in our compensation peer group, provided competitive market assessments of the compensation of our executive officers and non-employee director compensation programs, and provided support on other matters as requested by the Compensation Committee.</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Compensation Committee has analyzed whether the work of Compensia as compensation consultant raises any conflict of interest, taking into account relevant factors in accordance with SEC guidelines. Based on its analysis, our Compensation Committee determined that the work of Compensia and the individual compensation advisors employed by Compensia does not create any conflict of interest pursuant to the SEC rules and Nasdaq listing standards.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Competitive Market Compensation Data</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Compensation Committee believes that it is important when making its compensation decisions to be informed as to the current practices of comparable public companies with which we compete for top talent.</w:t>
      </w:r>
    </w:p>
    <w:p>
      <w:pPr>
        <w:spacing w:after="0" w:line="15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color w:val="auto"/>
        </w:rPr>
        <w:t>Working with Compensia, the Compensation Committee approved a group of companies that were identified as peers based on alignment with our Company’s industry, stage of drug development, headcount, and market capitalization. The peer group that was identified and used in research that informed executive compensation for 2023 included the following companies: Aquestive Therapeutics, AVEO Pharmaceuticals, Harpoon Therapeutics, MEI Pharma, Atara Biotherapeutics, Clovis Oncology, Corcept Therapeutics, Eiger BioPharmaceuticals, Epizyme, G1 Therapeutics, Karyopharm Therapeutics, MacroGenics, Progenics Pharmaceutical, Puma Biotechnology, Rigel Pharmaceuticals, TG Therapeutics, Verastem, Y-mAbs Theapeutics and Zogenix.</w:t>
      </w:r>
    </w:p>
    <w:p>
      <w:pPr>
        <w:spacing w:after="0" w:line="16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4"/>
          <w:szCs w:val="14"/>
          <w:color w:val="auto"/>
        </w:rPr>
        <w:t>Compensia completed a benchmarking assessment of our historical executive compensation at the end of 2022 to inform the Compensation Committee’s determinations regarding executive compensation for 2023 using data compiled from the aforementioned peer group. Identification of peers included consideration of comparable market capitalization, revenues, investigational and/or in-line portfolio, number of employees as well as stage and maturity of the peer company. Compensia prepared and the Compensation Committee reviewed, a range of market data reference points with respect to base salary, performance bonuses, target total cash compensation (base salary and the annual target performance bonus), equity compensation, and total direct compensation (target total cash compensation and equity compensation) with respect to each of the named executive officers.</w:t>
      </w:r>
    </w:p>
    <w:p>
      <w:pPr>
        <w:spacing w:after="0" w:line="13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color w:val="auto"/>
        </w:rPr>
        <w:t>Additionally, Compensia performed benchmarking analysis of actual 2023 executive compensation awarded as compared to the following peers: 2seventy bio, Arcus Biosciences, Day One Biopharmaceuticals, Deciphera Pharmaceuticals, Eagle Pharmaceuticals, Erasca, IDEAYA Biosciences, Inhibrx, iTeos Therapeutics, Karyopharm Therapeutics, Kura Oncology, RAPT Therapeutics, Rigel Pharmaceuticals, Syndax Pharmaceuticals, Tango Therapeutics, Verastem, Xencor and Y-mAbs Therapeutics. Changes in the peer group were driven by consideration of comparable market capitalization, as well the acquisition of several companies in the prior peer group. This benchmarking analysis found that overall target total direct compensation awarded in 2023 was at approximately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percentile for our executive officers excluding the CEO and the 35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percentile for the CEO. This analysis of 2023 compensation and other research performed by Compensia is then used to inform the Compensation Committee’s determinations regarding executive compensation for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Used in Determining Executive Compensation</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Compensation Committee sets the compensation of our executive officers at levels they determine to be competitive and appropriate for each named executive officer, using their professional experience and judgment. Pay decisions are not made by use of a formulaic approach or benchmark; the Compensation Committee believes that executive pay decisions require consideration of a multitude of relevant factors which may vary from year to year. In making executive compensation decisions, the Compensation Committee generally takes into consideration the factors listed below.</w:t>
      </w:r>
    </w:p>
    <w:p>
      <w:pPr>
        <w:sectPr>
          <w:pgSz w:w="11900" w:h="16838" w:orient="portrait"/>
          <w:cols w:equalWidth="0" w:num="1">
            <w:col w:w="11260"/>
          </w:cols>
          <w:pgMar w:left="320" w:top="123" w:right="319" w:bottom="0" w:gutter="0" w:footer="0" w:header="0"/>
        </w:sectPr>
      </w:pPr>
    </w:p>
    <w:bookmarkStart w:id="9" w:name="page10"/>
    <w:bookmarkEnd w:id="9"/>
    <w:p>
      <w:pPr>
        <w:ind w:left="1287" w:hanging="422"/>
        <w:spacing w:after="0"/>
        <w:tabs>
          <w:tab w:leader="none" w:pos="1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performance and existing business needs</w:t>
      </w:r>
    </w:p>
    <w:p>
      <w:pPr>
        <w:spacing w:after="0" w:line="18" w:lineRule="exact"/>
        <w:rPr>
          <w:rFonts w:ascii="Times New Roman" w:cs="Times New Roman" w:eastAsia="Times New Roman" w:hAnsi="Times New Roman"/>
          <w:sz w:val="16"/>
          <w:szCs w:val="16"/>
          <w:color w:val="auto"/>
        </w:rPr>
      </w:pPr>
    </w:p>
    <w:p>
      <w:pPr>
        <w:ind w:left="1287" w:hanging="422"/>
        <w:spacing w:after="0" w:line="243" w:lineRule="auto"/>
        <w:tabs>
          <w:tab w:leader="none" w:pos="1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named executive officer’s individual performance, scope of job function and the critical skill set of the named executive officer to the company’s future performance</w:t>
      </w:r>
    </w:p>
    <w:p>
      <w:pPr>
        <w:spacing w:after="0" w:line="1"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need to attract new talent to our executive team and retain existing talent in a highly competitive industry</w:t>
      </w:r>
    </w:p>
    <w:p>
      <w:pPr>
        <w:spacing w:after="0" w:line="2"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range of market data reference points, as described above under “Use of Competitive Market Compensation Data”</w:t>
      </w:r>
    </w:p>
    <w:p>
      <w:pPr>
        <w:spacing w:after="0" w:line="2"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Recommendations from consultants on compensation policy determinations for the executive officer group</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2023 Executive Compensation Summary</w:t>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Base Salary</w:t>
      </w:r>
    </w:p>
    <w:p>
      <w:pPr>
        <w:spacing w:after="0" w:line="192"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6"/>
          <w:szCs w:val="16"/>
          <w:color w:val="auto"/>
        </w:rPr>
        <w:t>The base salaries of our executive officers are designed to compensate them for day-to-day services rendered during the fiscal year. Appropriate base salaries are used to recognize the experience, skills, knowledge and responsibilities required of each executive officer and to allow us to attract and retain individuals capable of leading us to achieve our business goals in competitive market conditions.</w:t>
      </w:r>
    </w:p>
    <w:p>
      <w:pPr>
        <w:spacing w:after="0" w:line="159"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The base salaries of our executive officers are reviewed at least annually by our Compensation Committee and adjustments are made to reflect Company and individual performance, as well as competitive market practices. Our Compensation Committee also takes into account subjective performance criteria, such as an executive officer’s ability to lead, organize and motivate others, develop the skills necessary to mature with us, set realistic goals to be achieved in his or her respective area, and recognize and pursue new business opportunities that enhance our growth and success. Our Compensation Committee does not apply specific formulas to determine increases, but instead makes an evaluation of each executive officer’s contribution to our long-term success. Annual adjustments to base salaries are effective as of March 1 of each year, with mid-year adjustments to base salaries made under special circumstances, such as promotions or increased responsibilities, or to align certain base salaries with those of individuals in comparable positions at the companies in our compensation peer group.</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2023 base salaries for our named executive officers were as follows:</w:t>
      </w:r>
    </w:p>
    <w:p>
      <w:pPr>
        <w:spacing w:after="0" w:line="200" w:lineRule="exact"/>
        <w:rPr>
          <w:sz w:val="20"/>
          <w:szCs w:val="20"/>
          <w:color w:val="auto"/>
        </w:rPr>
      </w:pPr>
    </w:p>
    <w:p>
      <w:pPr>
        <w:spacing w:after="0" w:line="362"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Percentage</w:t>
            </w:r>
          </w:p>
        </w:tc>
      </w:tr>
      <w:tr>
        <w:trPr>
          <w:trHeight w:val="187"/>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Increase</w:t>
            </w:r>
          </w:p>
        </w:tc>
      </w:tr>
      <w:tr>
        <w:trPr>
          <w:trHeight w:val="187"/>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Base</w:t>
            </w:r>
          </w:p>
        </w:tc>
      </w:tr>
      <w:tr>
        <w:trPr>
          <w:trHeight w:val="187"/>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Base</w:t>
            </w: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Salary from</w:t>
            </w:r>
          </w:p>
        </w:tc>
      </w:tr>
      <w:tr>
        <w:trPr>
          <w:trHeight w:val="205"/>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100" w:type="dxa"/>
            <w:vAlign w:val="bottom"/>
          </w:tcPr>
          <w:p>
            <w:pPr>
              <w:spacing w:after="0"/>
              <w:rPr>
                <w:sz w:val="17"/>
                <w:szCs w:val="17"/>
                <w:color w:val="auto"/>
              </w:rPr>
            </w:pPr>
          </w:p>
        </w:tc>
        <w:tc>
          <w:tcPr>
            <w:tcW w:w="1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6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2022</w:t>
            </w:r>
          </w:p>
        </w:tc>
      </w:tr>
      <w:tr>
        <w:trPr>
          <w:trHeight w:val="163"/>
        </w:trPr>
        <w:tc>
          <w:tcPr>
            <w:tcW w:w="558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Elizabeth Barrett</w:t>
            </w:r>
          </w:p>
        </w:tc>
        <w:tc>
          <w:tcPr>
            <w:tcW w:w="100" w:type="dxa"/>
            <w:vAlign w:val="bottom"/>
          </w:tcPr>
          <w:p>
            <w:pPr>
              <w:spacing w:after="0"/>
              <w:rPr>
                <w:sz w:val="14"/>
                <w:szCs w:val="14"/>
                <w:color w:val="auto"/>
              </w:rPr>
            </w:pPr>
          </w:p>
        </w:tc>
        <w:tc>
          <w:tcPr>
            <w:tcW w:w="1520" w:type="dxa"/>
            <w:vAlign w:val="bottom"/>
          </w:tcPr>
          <w:p>
            <w:pPr>
              <w:ind w:left="520"/>
              <w:spacing w:after="0" w:line="163" w:lineRule="exact"/>
              <w:rPr>
                <w:sz w:val="20"/>
                <w:szCs w:val="20"/>
                <w:color w:val="auto"/>
              </w:rPr>
            </w:pPr>
            <w:r>
              <w:rPr>
                <w:rFonts w:ascii="Times New Roman" w:cs="Times New Roman" w:eastAsia="Times New Roman" w:hAnsi="Times New Roman"/>
                <w:sz w:val="16"/>
                <w:szCs w:val="16"/>
                <w:color w:val="auto"/>
              </w:rPr>
              <w:t>$799,367</w:t>
            </w:r>
          </w:p>
        </w:tc>
        <w:tc>
          <w:tcPr>
            <w:tcW w:w="160" w:type="dxa"/>
            <w:vAlign w:val="bottom"/>
          </w:tcPr>
          <w:p>
            <w:pPr>
              <w:spacing w:after="0"/>
              <w:rPr>
                <w:sz w:val="14"/>
                <w:szCs w:val="14"/>
                <w:color w:val="auto"/>
              </w:rPr>
            </w:pPr>
          </w:p>
        </w:tc>
        <w:tc>
          <w:tcPr>
            <w:tcW w:w="1560" w:type="dxa"/>
            <w:vAlign w:val="bottom"/>
          </w:tcPr>
          <w:p>
            <w:pPr>
              <w:jc w:val="right"/>
              <w:ind w:right="462"/>
              <w:spacing w:after="0" w:line="163" w:lineRule="exact"/>
              <w:rPr>
                <w:sz w:val="20"/>
                <w:szCs w:val="20"/>
                <w:color w:val="auto"/>
              </w:rPr>
            </w:pPr>
            <w:r>
              <w:rPr>
                <w:rFonts w:ascii="Times New Roman" w:cs="Times New Roman" w:eastAsia="Times New Roman" w:hAnsi="Times New Roman"/>
                <w:sz w:val="16"/>
                <w:szCs w:val="16"/>
                <w:color w:val="auto"/>
              </w:rPr>
              <w:t>4.00%</w:t>
            </w:r>
          </w:p>
        </w:tc>
      </w:tr>
      <w:tr>
        <w:trPr>
          <w:trHeight w:val="18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Mark P. Schoenberg, M.D.</w:t>
            </w: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$344,201</w:t>
            </w:r>
          </w:p>
        </w:tc>
        <w:tc>
          <w:tcPr>
            <w:tcW w:w="1720" w:type="dxa"/>
            <w:vAlign w:val="bottom"/>
            <w:gridSpan w:val="2"/>
          </w:tcPr>
          <w:p>
            <w:pPr>
              <w:jc w:val="right"/>
              <w:ind w:right="462"/>
              <w:spacing w:after="0"/>
              <w:rPr>
                <w:sz w:val="20"/>
                <w:szCs w:val="20"/>
                <w:color w:val="auto"/>
              </w:rPr>
            </w:pPr>
            <w:r>
              <w:rPr>
                <w:rFonts w:ascii="Times New Roman" w:cs="Times New Roman" w:eastAsia="Times New Roman" w:hAnsi="Times New Roman"/>
                <w:sz w:val="16"/>
                <w:szCs w:val="16"/>
                <w:color w:val="auto"/>
              </w:rPr>
              <w:t>5.00%</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Jason Smith</w:t>
            </w: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$459,680</w:t>
            </w:r>
          </w:p>
        </w:tc>
        <w:tc>
          <w:tcPr>
            <w:tcW w:w="1720" w:type="dxa"/>
            <w:vAlign w:val="bottom"/>
            <w:gridSpan w:val="2"/>
          </w:tcPr>
          <w:p>
            <w:pPr>
              <w:jc w:val="right"/>
              <w:ind w:right="462"/>
              <w:spacing w:after="0"/>
              <w:rPr>
                <w:sz w:val="20"/>
                <w:szCs w:val="20"/>
                <w:color w:val="auto"/>
              </w:rPr>
            </w:pPr>
            <w:r>
              <w:rPr>
                <w:rFonts w:ascii="Times New Roman" w:cs="Times New Roman" w:eastAsia="Times New Roman" w:hAnsi="Times New Roman"/>
                <w:sz w:val="16"/>
                <w:szCs w:val="16"/>
                <w:color w:val="auto"/>
              </w:rPr>
              <w:t>4.00%</w:t>
            </w:r>
          </w:p>
        </w:tc>
      </w:tr>
    </w:tbl>
    <w:p>
      <w:pPr>
        <w:spacing w:after="0" w:line="200" w:lineRule="exact"/>
        <w:rPr>
          <w:sz w:val="20"/>
          <w:szCs w:val="20"/>
          <w:color w:val="auto"/>
        </w:rPr>
      </w:pPr>
    </w:p>
    <w:p>
      <w:pPr>
        <w:spacing w:after="0" w:line="3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Annual Performance Bonus</w:t>
      </w:r>
    </w:p>
    <w:p>
      <w:pPr>
        <w:spacing w:after="0" w:line="192" w:lineRule="exact"/>
        <w:rPr>
          <w:sz w:val="20"/>
          <w:szCs w:val="20"/>
          <w:color w:val="auto"/>
        </w:rPr>
      </w:pPr>
    </w:p>
    <w:p>
      <w:pPr>
        <w:jc w:val="both"/>
        <w:ind w:left="7" w:right="20"/>
        <w:spacing w:after="0" w:line="248" w:lineRule="auto"/>
        <w:rPr>
          <w:sz w:val="20"/>
          <w:szCs w:val="20"/>
          <w:color w:val="auto"/>
        </w:rPr>
      </w:pPr>
      <w:r>
        <w:rPr>
          <w:rFonts w:ascii="Times New Roman" w:cs="Times New Roman" w:eastAsia="Times New Roman" w:hAnsi="Times New Roman"/>
          <w:sz w:val="16"/>
          <w:szCs w:val="16"/>
          <w:color w:val="auto"/>
        </w:rPr>
        <w:t>Our named executive officers are eligible to receive performance-based cash bonuses, which are designed to provide appropriate incentives to our executive officers to achieve defined annual corporate goals and to reward them for individual performance towards these goals. The annual performance-based bonus that each named executive officer is eligible to receive is generally based on the extent to which we achieve the corporate objectives that the Board establishes each year. At the end of the year, the Board and Compensation Committee review the Company’s performance and approve the extent to which we achieved each of these corporate goals. Generally, the Board and Compensation Committee will assess each named executive officer’s individual contributions towards reaching our annual corporate goals and objectives but does not typically establish specific individual goals for our named executive officers.</w:t>
      </w:r>
    </w:p>
    <w:p>
      <w:pPr>
        <w:spacing w:after="0" w:line="168"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6"/>
          <w:szCs w:val="16"/>
          <w:color w:val="auto"/>
        </w:rPr>
        <w:t>The table below sets forth the targets for our named executive officers for 2023, as provided for in their respective employment agreements. The target percentage is paid as a percentage of such executive officer’s base salary. For example, if 100% of the Company’s performance goals are achieved, this would yield our Chief Executive Officer, Elizabeth Barrett, a cash incentive award of 50% of her base salary.</w:t>
      </w:r>
    </w:p>
    <w:p>
      <w:pPr>
        <w:spacing w:after="0" w:line="200" w:lineRule="exact"/>
        <w:rPr>
          <w:sz w:val="20"/>
          <w:szCs w:val="20"/>
          <w:color w:val="auto"/>
        </w:rPr>
      </w:pPr>
    </w:p>
    <w:p>
      <w:pPr>
        <w:spacing w:after="0" w:line="331"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r>
      <w:tr>
        <w:trPr>
          <w:trHeight w:val="187"/>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r>
      <w:tr>
        <w:trPr>
          <w:trHeight w:val="205"/>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Executive Officer</w:t>
            </w:r>
          </w:p>
        </w:tc>
        <w:tc>
          <w:tcPr>
            <w:tcW w:w="8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Base Salary</w:t>
            </w:r>
          </w:p>
        </w:tc>
      </w:tr>
      <w:tr>
        <w:trPr>
          <w:trHeight w:val="163"/>
        </w:trPr>
        <w:tc>
          <w:tcPr>
            <w:tcW w:w="728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Elizabeth Barrett</w:t>
            </w:r>
          </w:p>
        </w:tc>
        <w:tc>
          <w:tcPr>
            <w:tcW w:w="80" w:type="dxa"/>
            <w:vAlign w:val="bottom"/>
          </w:tcPr>
          <w:p>
            <w:pPr>
              <w:spacing w:after="0"/>
              <w:rPr>
                <w:sz w:val="14"/>
                <w:szCs w:val="14"/>
                <w:color w:val="auto"/>
              </w:rPr>
            </w:pPr>
          </w:p>
        </w:tc>
        <w:tc>
          <w:tcPr>
            <w:tcW w:w="1540" w:type="dxa"/>
            <w:vAlign w:val="bottom"/>
          </w:tcPr>
          <w:p>
            <w:pPr>
              <w:jc w:val="center"/>
              <w:ind w:left="22"/>
              <w:spacing w:after="0" w:line="163" w:lineRule="exact"/>
              <w:rPr>
                <w:sz w:val="20"/>
                <w:szCs w:val="20"/>
                <w:color w:val="auto"/>
              </w:rPr>
            </w:pPr>
            <w:r>
              <w:rPr>
                <w:rFonts w:ascii="Times New Roman" w:cs="Times New Roman" w:eastAsia="Times New Roman" w:hAnsi="Times New Roman"/>
                <w:sz w:val="16"/>
                <w:szCs w:val="16"/>
                <w:color w:val="auto"/>
                <w:w w:val="95"/>
              </w:rPr>
              <w:t>50%</w:t>
            </w:r>
          </w:p>
        </w:tc>
      </w:tr>
      <w:tr>
        <w:trPr>
          <w:trHeight w:val="187"/>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Mark P. Schoenberg, M.D.</w:t>
            </w:r>
          </w:p>
        </w:tc>
        <w:tc>
          <w:tcPr>
            <w:tcW w:w="162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(1)</w:t>
            </w:r>
          </w:p>
        </w:tc>
      </w:tr>
      <w:tr>
        <w:trPr>
          <w:trHeight w:val="203"/>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Jason Smith</w:t>
            </w:r>
          </w:p>
        </w:tc>
        <w:tc>
          <w:tcPr>
            <w:tcW w:w="162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5"/>
              </w:rPr>
              <w:t>50%</w:t>
            </w:r>
          </w:p>
        </w:tc>
      </w:tr>
    </w:tbl>
    <w:p>
      <w:pPr>
        <w:spacing w:after="0" w:line="171" w:lineRule="exact"/>
        <w:rPr>
          <w:sz w:val="20"/>
          <w:szCs w:val="20"/>
          <w:color w:val="auto"/>
        </w:rPr>
      </w:pPr>
    </w:p>
    <w:p>
      <w:pPr>
        <w:ind w:left="427" w:right="20" w:hanging="427"/>
        <w:spacing w:after="0" w:line="268" w:lineRule="auto"/>
        <w:tabs>
          <w:tab w:leader="none" w:pos="42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Schoenberg’s annual target bonus is $225,000. Dr. Schoenberg is eligible to receive up to 150% of the annual target bonus based upon the achievement of the Company’s corporate objectives.</w:t>
      </w:r>
    </w:p>
    <w:p>
      <w:pPr>
        <w:spacing w:after="0" w:line="337"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In early 2023, the Compensation Committee finalized the corporate goals for the 2023 performance year as described below. Our objective corporate goals were designed to be challenging to achieve and are directly aligned with our specific strategic goals, including advancing our development programs, our research function, our clinical activities, commercialization activities and certain corporate and financial goals, which we believe will create value for shareholders. The maximum possible corporate achievement for 2023 was 170% of our 2023 corporate goals (up to 100% for the core goals and 70% for the stretch goal). In December 2023, the Compensation Committee and the Board evaluated the accomplishments and performance of the Company against such corporate goals, including progress towards the goal in making their recommendations for the ultimate funding levels, and the Board made the following determinations regarding corporate performance achieved against the pre-established performance goals.</w:t>
      </w:r>
    </w:p>
    <w:p>
      <w:pPr>
        <w:spacing w:after="0" w:line="166" w:lineRule="exact"/>
        <w:rPr>
          <w:sz w:val="20"/>
          <w:szCs w:val="20"/>
          <w:color w:val="auto"/>
        </w:rPr>
      </w:pPr>
    </w:p>
    <w:tbl>
      <w:tblPr>
        <w:tblLayout w:type="fixed"/>
        <w:tblInd w:w="287" w:type="dxa"/>
        <w:tblCellMar>
          <w:top w:w="0" w:type="dxa"/>
          <w:left w:w="0" w:type="dxa"/>
          <w:bottom w:w="0" w:type="dxa"/>
          <w:right w:w="0" w:type="dxa"/>
        </w:tblCellMar>
      </w:tblPr>
      <w:tr>
        <w:trPr>
          <w:trHeight w:val="187"/>
        </w:trPr>
        <w:tc>
          <w:tcPr>
            <w:tcW w:w="7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Corporate Goal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Core</w:t>
            </w:r>
          </w:p>
        </w:tc>
        <w:tc>
          <w:tcPr>
            <w:tcW w:w="80" w:type="dxa"/>
            <w:vAlign w:val="bottom"/>
          </w:tcPr>
          <w:p>
            <w:pPr>
              <w:spacing w:after="0"/>
              <w:rPr>
                <w:sz w:val="16"/>
                <w:szCs w:val="16"/>
                <w:color w:val="auto"/>
              </w:rPr>
            </w:pP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6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Corporate</w:t>
            </w:r>
          </w:p>
        </w:tc>
      </w:tr>
      <w:tr>
        <w:trPr>
          <w:trHeight w:val="205"/>
        </w:trPr>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Achievement</w:t>
            </w:r>
          </w:p>
        </w:tc>
      </w:tr>
      <w:tr>
        <w:trPr>
          <w:trHeight w:val="163"/>
        </w:trPr>
        <w:tc>
          <w:tcPr>
            <w:tcW w:w="20" w:type="dxa"/>
            <w:vAlign w:val="bottom"/>
          </w:tcPr>
          <w:p>
            <w:pPr>
              <w:spacing w:after="0"/>
              <w:rPr>
                <w:sz w:val="14"/>
                <w:szCs w:val="14"/>
                <w:color w:val="auto"/>
              </w:rPr>
            </w:pPr>
          </w:p>
        </w:tc>
        <w:tc>
          <w:tcPr>
            <w:tcW w:w="708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Achieve $80 million revenue target</w:t>
            </w:r>
          </w:p>
        </w:tc>
        <w:tc>
          <w:tcPr>
            <w:tcW w:w="80" w:type="dxa"/>
            <w:vAlign w:val="bottom"/>
          </w:tcPr>
          <w:p>
            <w:pPr>
              <w:spacing w:after="0"/>
              <w:rPr>
                <w:sz w:val="14"/>
                <w:szCs w:val="14"/>
                <w:color w:val="auto"/>
              </w:rPr>
            </w:pPr>
          </w:p>
        </w:tc>
        <w:tc>
          <w:tcPr>
            <w:tcW w:w="1120" w:type="dxa"/>
            <w:vAlign w:val="bottom"/>
          </w:tcPr>
          <w:p>
            <w:pPr>
              <w:jc w:val="right"/>
              <w:ind w:right="302"/>
              <w:spacing w:after="0" w:line="163" w:lineRule="exact"/>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14"/>
                <w:szCs w:val="14"/>
                <w:color w:val="auto"/>
              </w:rPr>
            </w:pPr>
          </w:p>
        </w:tc>
        <w:tc>
          <w:tcPr>
            <w:tcW w:w="234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7"/>
              </w:rPr>
              <w:t>Achieved</w:t>
            </w:r>
          </w:p>
        </w:tc>
      </w:tr>
      <w:tr>
        <w:trPr>
          <w:trHeight w:val="187"/>
        </w:trPr>
        <w:tc>
          <w:tcPr>
            <w:tcW w:w="7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On-track execution of Phase 3 UGN-102 pivotal study per regulatory plan, measured by:</w:t>
            </w:r>
          </w:p>
        </w:tc>
        <w:tc>
          <w:tcPr>
            <w:tcW w:w="120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Achieved</w:t>
            </w:r>
          </w:p>
        </w:tc>
      </w:tr>
      <w:tr>
        <w:trPr>
          <w:trHeight w:val="187"/>
        </w:trPr>
        <w:tc>
          <w:tcPr>
            <w:tcW w:w="5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w:t>
            </w:r>
          </w:p>
        </w:tc>
        <w:tc>
          <w:tcPr>
            <w:tcW w:w="6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Conduct Chemistry, Manufacturing and Controls meeting with FDA</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7"/>
        </w:trPr>
        <w:tc>
          <w:tcPr>
            <w:tcW w:w="5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6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Last patient, last visit complete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3"/>
        </w:trPr>
        <w:tc>
          <w:tcPr>
            <w:tcW w:w="5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3.</w:t>
            </w:r>
          </w:p>
        </w:tc>
        <w:tc>
          <w:tcPr>
            <w:tcW w:w="6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Finalize and release ATLAS data</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287" w:type="dxa"/>
        <w:tblCellMar>
          <w:top w:w="0" w:type="dxa"/>
          <w:left w:w="0" w:type="dxa"/>
          <w:bottom w:w="0" w:type="dxa"/>
          <w:right w:w="0" w:type="dxa"/>
        </w:tblCellMar>
      </w:tblPr>
      <w:tr>
        <w:trPr>
          <w:trHeight w:val="171"/>
        </w:trPr>
        <w:tc>
          <w:tcPr>
            <w:tcW w:w="61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Ensure cash runway to fund projected operations through December 2024</w:t>
            </w:r>
          </w:p>
        </w:tc>
        <w:tc>
          <w:tcPr>
            <w:tcW w:w="3040" w:type="dxa"/>
            <w:vAlign w:val="bottom"/>
            <w:gridSpan w:val="3"/>
          </w:tcPr>
          <w:p>
            <w:pPr>
              <w:jc w:val="right"/>
              <w:ind w:right="1162"/>
              <w:spacing w:after="0" w:line="171" w:lineRule="exact"/>
              <w:rPr>
                <w:sz w:val="20"/>
                <w:szCs w:val="20"/>
                <w:color w:val="auto"/>
              </w:rPr>
            </w:pPr>
            <w:r>
              <w:rPr>
                <w:rFonts w:ascii="Times New Roman" w:cs="Times New Roman" w:eastAsia="Times New Roman" w:hAnsi="Times New Roman"/>
                <w:sz w:val="16"/>
                <w:szCs w:val="16"/>
                <w:color w:val="auto"/>
              </w:rPr>
              <w:t>20%</w:t>
            </w:r>
          </w:p>
        </w:tc>
        <w:tc>
          <w:tcPr>
            <w:tcW w:w="154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rPr>
              <w:t>Achieved</w:t>
            </w:r>
          </w:p>
        </w:tc>
      </w:tr>
      <w:tr>
        <w:trPr>
          <w:trHeight w:val="34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Execute a strategic partnership or business development deal </w:t>
            </w:r>
            <w:r>
              <w:rPr>
                <w:rFonts w:ascii="Times New Roman" w:cs="Times New Roman" w:eastAsia="Times New Roman" w:hAnsi="Times New Roman"/>
                <w:sz w:val="25"/>
                <w:szCs w:val="25"/>
                <w:color w:val="auto"/>
                <w:vertAlign w:val="superscript"/>
              </w:rPr>
              <w:t>(1)</w:t>
            </w:r>
          </w:p>
        </w:tc>
        <w:tc>
          <w:tcPr>
            <w:tcW w:w="3040" w:type="dxa"/>
            <w:vAlign w:val="bottom"/>
            <w:gridSpan w:val="3"/>
          </w:tcPr>
          <w:p>
            <w:pPr>
              <w:jc w:val="right"/>
              <w:ind w:right="1162"/>
              <w:spacing w:after="0"/>
              <w:rPr>
                <w:sz w:val="20"/>
                <w:szCs w:val="20"/>
                <w:color w:val="auto"/>
              </w:rPr>
            </w:pPr>
            <w:r>
              <w:rPr>
                <w:rFonts w:ascii="Times New Roman" w:cs="Times New Roman" w:eastAsia="Times New Roman" w:hAnsi="Times New Roman"/>
                <w:sz w:val="16"/>
                <w:szCs w:val="16"/>
                <w:color w:val="auto"/>
              </w:rPr>
              <w:t>10%</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Achieved</w:t>
            </w:r>
          </w:p>
        </w:tc>
      </w:tr>
      <w:tr>
        <w:trPr>
          <w:trHeight w:val="214"/>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Corporate Goal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Stretch</w:t>
            </w: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Corporate</w:t>
            </w:r>
          </w:p>
        </w:tc>
      </w:tr>
      <w:tr>
        <w:trPr>
          <w:trHeight w:val="205"/>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Achievement</w:t>
            </w:r>
          </w:p>
        </w:tc>
      </w:tr>
      <w:tr>
        <w:trPr>
          <w:trHeight w:val="163"/>
        </w:trPr>
        <w:tc>
          <w:tcPr>
            <w:tcW w:w="20" w:type="dxa"/>
            <w:vAlign w:val="bottom"/>
          </w:tcPr>
          <w:p>
            <w:pPr>
              <w:spacing w:after="0"/>
              <w:rPr>
                <w:sz w:val="14"/>
                <w:szCs w:val="14"/>
                <w:color w:val="auto"/>
              </w:rPr>
            </w:pPr>
          </w:p>
        </w:tc>
        <w:tc>
          <w:tcPr>
            <w:tcW w:w="610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Exceed $80 million revenue target by 20%, 30%, 50%</w:t>
            </w: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8"/>
              </w:rPr>
              <w:t>10%, 10%, 10%</w:t>
            </w:r>
          </w:p>
        </w:tc>
        <w:tc>
          <w:tcPr>
            <w:tcW w:w="80" w:type="dxa"/>
            <w:vAlign w:val="bottom"/>
          </w:tcPr>
          <w:p>
            <w:pPr>
              <w:spacing w:after="0"/>
              <w:rPr>
                <w:sz w:val="14"/>
                <w:szCs w:val="14"/>
                <w:color w:val="auto"/>
              </w:rPr>
            </w:pPr>
          </w:p>
        </w:tc>
        <w:tc>
          <w:tcPr>
            <w:tcW w:w="146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8"/>
              </w:rPr>
              <w:t>Not Achieved</w:t>
            </w:r>
          </w:p>
        </w:tc>
      </w:tr>
      <w:tr>
        <w:trPr>
          <w:trHeight w:val="187"/>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(max 30%)</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7"/>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Dose two combinations in High-Grade NMIBC</w:t>
            </w:r>
          </w:p>
        </w:tc>
        <w:tc>
          <w:tcPr>
            <w:tcW w:w="3040" w:type="dxa"/>
            <w:vAlign w:val="bottom"/>
            <w:gridSpan w:val="3"/>
          </w:tcPr>
          <w:p>
            <w:pPr>
              <w:jc w:val="center"/>
              <w:ind w:left="1602"/>
              <w:spacing w:after="0"/>
              <w:rPr>
                <w:sz w:val="20"/>
                <w:szCs w:val="20"/>
                <w:color w:val="auto"/>
              </w:rPr>
            </w:pPr>
            <w:r>
              <w:rPr>
                <w:rFonts w:ascii="Times New Roman" w:cs="Times New Roman" w:eastAsia="Times New Roman" w:hAnsi="Times New Roman"/>
                <w:sz w:val="16"/>
                <w:szCs w:val="16"/>
                <w:color w:val="auto"/>
                <w:w w:val="95"/>
              </w:rPr>
              <w:t>20%</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Achieved</w:t>
            </w:r>
          </w:p>
        </w:tc>
      </w:tr>
      <w:tr>
        <w:trPr>
          <w:trHeight w:val="20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Execute business development deal over $100 million</w:t>
            </w:r>
          </w:p>
        </w:tc>
        <w:tc>
          <w:tcPr>
            <w:tcW w:w="3040" w:type="dxa"/>
            <w:vAlign w:val="bottom"/>
            <w:gridSpan w:val="3"/>
          </w:tcPr>
          <w:p>
            <w:pPr>
              <w:jc w:val="center"/>
              <w:ind w:left="1602"/>
              <w:spacing w:after="0"/>
              <w:rPr>
                <w:sz w:val="20"/>
                <w:szCs w:val="20"/>
                <w:color w:val="auto"/>
              </w:rPr>
            </w:pPr>
            <w:r>
              <w:rPr>
                <w:rFonts w:ascii="Times New Roman" w:cs="Times New Roman" w:eastAsia="Times New Roman" w:hAnsi="Times New Roman"/>
                <w:sz w:val="16"/>
                <w:szCs w:val="16"/>
                <w:color w:val="auto"/>
                <w:w w:val="95"/>
              </w:rPr>
              <w:t>20%</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Not Achieved</w:t>
            </w:r>
          </w:p>
        </w:tc>
      </w:tr>
    </w:tbl>
    <w:p>
      <w:pPr>
        <w:sectPr>
          <w:pgSz w:w="11900" w:h="16838" w:orient="portrait"/>
          <w:cols w:equalWidth="0" w:num="1">
            <w:col w:w="11267"/>
          </w:cols>
          <w:pgMar w:left="313" w:top="123" w:right="319" w:bottom="0" w:gutter="0" w:footer="0" w:header="0"/>
        </w:sectPr>
      </w:pPr>
    </w:p>
    <w:bookmarkStart w:id="10" w:name="page11"/>
    <w:bookmarkEnd w:id="10"/>
    <w:p>
      <w:pPr>
        <w:spacing w:after="0" w:line="22" w:lineRule="exact"/>
        <w:rPr>
          <w:sz w:val="20"/>
          <w:szCs w:val="20"/>
          <w:color w:val="auto"/>
        </w:rPr>
      </w:pPr>
    </w:p>
    <w:p>
      <w:pPr>
        <w:ind w:left="427" w:right="500" w:hanging="427"/>
        <w:spacing w:after="0" w:line="268" w:lineRule="auto"/>
        <w:tabs>
          <w:tab w:leader="none" w:pos="42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strategic partnership with medac GmbH was negotiated and considered finalized and complete by the end of December 2023, even though the agreement was not formally executed until January 2024.</w:t>
      </w:r>
    </w:p>
    <w:p>
      <w:pPr>
        <w:spacing w:after="0" w:line="150" w:lineRule="exact"/>
        <w:rPr>
          <w:sz w:val="20"/>
          <w:szCs w:val="20"/>
          <w:color w:val="auto"/>
        </w:rPr>
      </w:pPr>
    </w:p>
    <w:p>
      <w:pPr>
        <w:ind w:left="7"/>
        <w:spacing w:after="0" w:line="268" w:lineRule="auto"/>
        <w:rPr>
          <w:sz w:val="20"/>
          <w:szCs w:val="20"/>
          <w:color w:val="auto"/>
        </w:rPr>
      </w:pPr>
      <w:r>
        <w:rPr>
          <w:rFonts w:ascii="Times New Roman" w:cs="Times New Roman" w:eastAsia="Times New Roman" w:hAnsi="Times New Roman"/>
          <w:sz w:val="16"/>
          <w:szCs w:val="16"/>
          <w:color w:val="auto"/>
        </w:rPr>
        <w:t>In January 2024, the Board reviewed and approved corporate cash incentives as set forth in the table below. The Compensation Committee or Board may, in its sole discretion, eliminate any individual cash incentive or reduce or increase the amount of compensation payable with respect to any individual cash incentive.</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2023 Target Annual Cash</w:t>
            </w:r>
          </w:p>
        </w:tc>
        <w:tc>
          <w:tcPr>
            <w:tcW w:w="254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 Actual Annual Cash</w:t>
            </w:r>
          </w:p>
        </w:tc>
      </w:tr>
      <w:tr>
        <w:trPr>
          <w:trHeight w:val="205"/>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5"/>
              </w:rPr>
              <w:t>Incentive</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Incentive Paid</w:t>
            </w: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0"/>
        </w:trPr>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5"/>
              </w:rPr>
              <w:t>% of Target</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8"/>
              </w:rPr>
              <w:t>% of Base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Annual Cash</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92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r>
      <w:tr>
        <w:trPr>
          <w:trHeight w:val="163"/>
        </w:trPr>
        <w:tc>
          <w:tcPr>
            <w:tcW w:w="586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6"/>
                <w:szCs w:val="16"/>
                <w:color w:val="auto"/>
              </w:rPr>
              <w:t>Elizabeth Barrett</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center"/>
              <w:ind w:left="202"/>
              <w:spacing w:after="0" w:line="163" w:lineRule="exact"/>
              <w:rPr>
                <w:sz w:val="20"/>
                <w:szCs w:val="20"/>
                <w:color w:val="auto"/>
              </w:rPr>
            </w:pPr>
            <w:r>
              <w:rPr>
                <w:rFonts w:ascii="Times New Roman" w:cs="Times New Roman" w:eastAsia="Times New Roman" w:hAnsi="Times New Roman"/>
                <w:sz w:val="16"/>
                <w:szCs w:val="16"/>
                <w:color w:val="auto"/>
                <w:w w:val="95"/>
              </w:rPr>
              <w:t>50%</w:t>
            </w:r>
          </w:p>
        </w:tc>
        <w:tc>
          <w:tcPr>
            <w:tcW w:w="2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top w:val="single" w:sz="8" w:color="auto"/>
            </w:tcBorders>
          </w:tcPr>
          <w:p>
            <w:pPr>
              <w:jc w:val="right"/>
              <w:ind w:right="242"/>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ind w:left="260"/>
              <w:spacing w:after="0" w:line="163" w:lineRule="exact"/>
              <w:rPr>
                <w:sz w:val="20"/>
                <w:szCs w:val="20"/>
                <w:color w:val="auto"/>
              </w:rPr>
            </w:pPr>
            <w:r>
              <w:rPr>
                <w:rFonts w:ascii="Times New Roman" w:cs="Times New Roman" w:eastAsia="Times New Roman" w:hAnsi="Times New Roman"/>
                <w:sz w:val="16"/>
                <w:szCs w:val="16"/>
                <w:color w:val="auto"/>
                <w:w w:val="92"/>
              </w:rPr>
              <w:t>399,684</w:t>
            </w:r>
          </w:p>
        </w:tc>
        <w:tc>
          <w:tcPr>
            <w:tcW w:w="200" w:type="dxa"/>
            <w:vAlign w:val="bottom"/>
          </w:tcPr>
          <w:p>
            <w:pPr>
              <w:spacing w:after="0"/>
              <w:rPr>
                <w:sz w:val="14"/>
                <w:szCs w:val="14"/>
                <w:color w:val="auto"/>
              </w:rPr>
            </w:pPr>
          </w:p>
        </w:tc>
        <w:tc>
          <w:tcPr>
            <w:tcW w:w="1160" w:type="dxa"/>
            <w:vAlign w:val="bottom"/>
            <w:tcBorders>
              <w:top w:val="single" w:sz="8" w:color="auto"/>
            </w:tcBorders>
          </w:tcPr>
          <w:p>
            <w:pPr>
              <w:jc w:val="right"/>
              <w:ind w:right="282"/>
              <w:spacing w:after="0" w:line="163" w:lineRule="exact"/>
              <w:rPr>
                <w:sz w:val="20"/>
                <w:szCs w:val="20"/>
                <w:color w:val="auto"/>
              </w:rPr>
            </w:pPr>
            <w:r>
              <w:rPr>
                <w:rFonts w:ascii="Times New Roman" w:cs="Times New Roman" w:eastAsia="Times New Roman" w:hAnsi="Times New Roman"/>
                <w:sz w:val="16"/>
                <w:szCs w:val="16"/>
                <w:color w:val="auto"/>
              </w:rPr>
              <w:t>120%</w:t>
            </w:r>
          </w:p>
        </w:tc>
        <w:tc>
          <w:tcPr>
            <w:tcW w:w="180" w:type="dxa"/>
            <w:vAlign w:val="bottom"/>
          </w:tcPr>
          <w:p>
            <w:pPr>
              <w:spacing w:after="0"/>
              <w:rPr>
                <w:sz w:val="14"/>
                <w:szCs w:val="14"/>
                <w:color w:val="auto"/>
              </w:rPr>
            </w:pPr>
          </w:p>
        </w:tc>
        <w:tc>
          <w:tcPr>
            <w:tcW w:w="480" w:type="dxa"/>
            <w:vAlign w:val="bottom"/>
            <w:tcBorders>
              <w:top w:val="single" w:sz="8" w:color="auto"/>
            </w:tcBorders>
          </w:tcPr>
          <w:p>
            <w:pPr>
              <w:jc w:val="right"/>
              <w:ind w:right="322"/>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497,620</w:t>
            </w:r>
          </w:p>
        </w:tc>
        <w:tc>
          <w:tcPr>
            <w:tcW w:w="20" w:type="dxa"/>
            <w:vAlign w:val="bottom"/>
          </w:tcPr>
          <w:p>
            <w:pPr>
              <w:spacing w:after="0"/>
              <w:rPr>
                <w:sz w:val="14"/>
                <w:szCs w:val="14"/>
                <w:color w:val="auto"/>
              </w:rPr>
            </w:pPr>
          </w:p>
        </w:tc>
      </w:tr>
      <w:tr>
        <w:trPr>
          <w:trHeight w:val="18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 P. Schoenberg, M.D.</w:t>
            </w:r>
          </w:p>
        </w:tc>
        <w:tc>
          <w:tcPr>
            <w:tcW w:w="92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(1)</w:t>
            </w:r>
          </w:p>
        </w:tc>
        <w:tc>
          <w:tcPr>
            <w:tcW w:w="780" w:type="dxa"/>
            <w:vAlign w:val="bottom"/>
            <w:gridSpan w:val="3"/>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225,000</w:t>
            </w:r>
          </w:p>
        </w:tc>
        <w:tc>
          <w:tcPr>
            <w:tcW w:w="11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120%</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270,000</w:t>
            </w: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Jason Smith</w:t>
            </w:r>
          </w:p>
        </w:tc>
        <w:tc>
          <w:tcPr>
            <w:tcW w:w="92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5"/>
              </w:rPr>
              <w:t>50%</w:t>
            </w:r>
          </w:p>
        </w:tc>
        <w:tc>
          <w:tcPr>
            <w:tcW w:w="780" w:type="dxa"/>
            <w:vAlign w:val="bottom"/>
            <w:gridSpan w:val="3"/>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229,840</w:t>
            </w:r>
          </w:p>
        </w:tc>
        <w:tc>
          <w:tcPr>
            <w:tcW w:w="11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120%</w:t>
            </w:r>
          </w:p>
        </w:tc>
        <w:tc>
          <w:tcPr>
            <w:tcW w:w="6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275,808</w:t>
            </w:r>
          </w:p>
        </w:tc>
      </w:tr>
    </w:tbl>
    <w:p>
      <w:pPr>
        <w:spacing w:after="0" w:line="171" w:lineRule="exact"/>
        <w:rPr>
          <w:sz w:val="20"/>
          <w:szCs w:val="20"/>
          <w:color w:val="auto"/>
        </w:rPr>
      </w:pPr>
    </w:p>
    <w:p>
      <w:pPr>
        <w:ind w:left="427" w:right="20" w:hanging="427"/>
        <w:spacing w:after="0" w:line="268" w:lineRule="auto"/>
        <w:tabs>
          <w:tab w:leader="none" w:pos="42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Schoenberg’s annual target bonus is $225,000. Dr. Schoenberg is eligible to receive up to 150% of the annual target bonus based upon the achievement of the Company’s corporate objectives.</w:t>
      </w:r>
    </w:p>
    <w:p>
      <w:pPr>
        <w:spacing w:after="0" w:line="3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Equity Awards</w:t>
      </w:r>
    </w:p>
    <w:p>
      <w:pPr>
        <w:spacing w:after="0" w:line="19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In 2023, the Compensation Committee approved the following grants of options to purchase our ordinary shares and restricted stock units to our named executive officers.</w:t>
      </w:r>
    </w:p>
    <w:p>
      <w:pPr>
        <w:spacing w:after="0" w:line="200" w:lineRule="exact"/>
        <w:rPr>
          <w:sz w:val="20"/>
          <w:szCs w:val="20"/>
          <w:color w:val="auto"/>
        </w:rPr>
      </w:pPr>
    </w:p>
    <w:p>
      <w:pPr>
        <w:spacing w:after="0" w:line="362" w:lineRule="exact"/>
        <w:rPr>
          <w:sz w:val="20"/>
          <w:szCs w:val="20"/>
          <w:color w:val="auto"/>
        </w:rPr>
      </w:pPr>
    </w:p>
    <w:tbl>
      <w:tblPr>
        <w:tblLayout w:type="fixed"/>
        <w:tblInd w:w="787"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 Option</w:t>
            </w:r>
          </w:p>
        </w:tc>
        <w:tc>
          <w:tcPr>
            <w:tcW w:w="1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Restricted</w:t>
            </w: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Performance Stock</w:t>
            </w:r>
          </w:p>
        </w:tc>
      </w:tr>
      <w:tr>
        <w:trPr>
          <w:trHeight w:val="187"/>
        </w:trPr>
        <w:tc>
          <w:tcPr>
            <w:tcW w:w="5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stock units</w:t>
            </w: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r>
      <w:tr>
        <w:trPr>
          <w:trHeight w:val="20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shares)</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shares)</w:t>
            </w:r>
          </w:p>
        </w:tc>
        <w:tc>
          <w:tcPr>
            <w:tcW w:w="14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shares)</w:t>
            </w:r>
          </w:p>
        </w:tc>
      </w:tr>
      <w:tr>
        <w:trPr>
          <w:trHeight w:val="163"/>
        </w:trPr>
        <w:tc>
          <w:tcPr>
            <w:tcW w:w="544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Elizabeth Barrett</w:t>
            </w:r>
          </w:p>
        </w:tc>
        <w:tc>
          <w:tcPr>
            <w:tcW w:w="60" w:type="dxa"/>
            <w:vAlign w:val="bottom"/>
          </w:tcPr>
          <w:p>
            <w:pPr>
              <w:spacing w:after="0"/>
              <w:rPr>
                <w:sz w:val="14"/>
                <w:szCs w:val="14"/>
                <w:color w:val="auto"/>
              </w:rPr>
            </w:pPr>
          </w:p>
        </w:tc>
        <w:tc>
          <w:tcPr>
            <w:tcW w:w="1300" w:type="dxa"/>
            <w:vAlign w:val="bottom"/>
          </w:tcPr>
          <w:p>
            <w:pPr>
              <w:jc w:val="center"/>
              <w:ind w:left="2"/>
              <w:spacing w:after="0" w:line="163" w:lineRule="exact"/>
              <w:rPr>
                <w:sz w:val="20"/>
                <w:szCs w:val="20"/>
                <w:color w:val="auto"/>
              </w:rPr>
            </w:pPr>
            <w:r>
              <w:rPr>
                <w:rFonts w:ascii="Times New Roman" w:cs="Times New Roman" w:eastAsia="Times New Roman" w:hAnsi="Times New Roman"/>
                <w:sz w:val="16"/>
                <w:szCs w:val="16"/>
                <w:color w:val="auto"/>
                <w:w w:val="96"/>
              </w:rPr>
              <w:t>125,000</w:t>
            </w:r>
          </w:p>
        </w:tc>
        <w:tc>
          <w:tcPr>
            <w:tcW w:w="140" w:type="dxa"/>
            <w:vAlign w:val="bottom"/>
          </w:tcPr>
          <w:p>
            <w:pPr>
              <w:spacing w:after="0"/>
              <w:rPr>
                <w:sz w:val="14"/>
                <w:szCs w:val="14"/>
                <w:color w:val="auto"/>
              </w:rPr>
            </w:pPr>
          </w:p>
        </w:tc>
        <w:tc>
          <w:tcPr>
            <w:tcW w:w="1260" w:type="dxa"/>
            <w:vAlign w:val="bottom"/>
          </w:tcPr>
          <w:p>
            <w:pPr>
              <w:jc w:val="right"/>
              <w:ind w:right="302"/>
              <w:spacing w:after="0" w:line="163" w:lineRule="exact"/>
              <w:rPr>
                <w:sz w:val="20"/>
                <w:szCs w:val="20"/>
                <w:color w:val="auto"/>
              </w:rPr>
            </w:pPr>
            <w:r>
              <w:rPr>
                <w:rFonts w:ascii="Times New Roman" w:cs="Times New Roman" w:eastAsia="Times New Roman" w:hAnsi="Times New Roman"/>
                <w:sz w:val="16"/>
                <w:szCs w:val="16"/>
                <w:color w:val="auto"/>
              </w:rPr>
              <w:t>75,000</w:t>
            </w:r>
          </w:p>
        </w:tc>
        <w:tc>
          <w:tcPr>
            <w:tcW w:w="140" w:type="dxa"/>
            <w:vAlign w:val="bottom"/>
          </w:tcPr>
          <w:p>
            <w:pPr>
              <w:spacing w:after="0"/>
              <w:rPr>
                <w:sz w:val="14"/>
                <w:szCs w:val="14"/>
                <w:color w:val="auto"/>
              </w:rPr>
            </w:pPr>
          </w:p>
        </w:tc>
        <w:tc>
          <w:tcPr>
            <w:tcW w:w="136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6"/>
              </w:rPr>
              <w:t>100,000</w:t>
            </w:r>
          </w:p>
        </w:tc>
      </w:tr>
      <w:tr>
        <w:trPr>
          <w:trHeight w:val="18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Mark P. Schoenberg</w:t>
            </w:r>
          </w:p>
        </w:tc>
        <w:tc>
          <w:tcPr>
            <w:tcW w:w="136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30,000</w:t>
            </w:r>
          </w:p>
        </w:tc>
        <w:tc>
          <w:tcPr>
            <w:tcW w:w="140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auto"/>
              </w:rPr>
              <w:t>45,000</w:t>
            </w:r>
          </w:p>
        </w:tc>
        <w:tc>
          <w:tcPr>
            <w:tcW w:w="150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Jason Smith</w:t>
            </w:r>
          </w:p>
        </w:tc>
        <w:tc>
          <w:tcPr>
            <w:tcW w:w="136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40,000</w:t>
            </w:r>
          </w:p>
        </w:tc>
        <w:tc>
          <w:tcPr>
            <w:tcW w:w="140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auto"/>
              </w:rPr>
              <w:t>30,000</w:t>
            </w:r>
          </w:p>
        </w:tc>
        <w:tc>
          <w:tcPr>
            <w:tcW w:w="150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rPr>
              <w:t>-</w:t>
            </w:r>
          </w:p>
        </w:tc>
      </w:tr>
    </w:tbl>
    <w:p>
      <w:pPr>
        <w:spacing w:after="0" w:line="358"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6"/>
          <w:szCs w:val="16"/>
          <w:color w:val="auto"/>
        </w:rPr>
        <w:t>All options and restricted stock units granted to our named executive officers above vest in equal annual installments over three years from the vesting commencement date. Performance stock units vest based on receipt of U.S. regulatory approval for our lead product candidate UGN-102. The annual equity grants to our named executive officers are evaluated and approved by the Compensation Committee in the context of each named executive officer’s total compensation and take into account the market data provided by compensation consultants in addition to the individual officer’s responsibilities and performance. The Compensation Committee also takes into account the recommendations of the Chief Executive Officer with respect to appropriate grants and any particular individual circumstances.</w:t>
      </w:r>
    </w:p>
    <w:p>
      <w:pPr>
        <w:spacing w:after="0" w:line="1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Other Features of Our Executive Compensation Program</w:t>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Agreements with Our Named Executive Officers</w:t>
      </w:r>
    </w:p>
    <w:p>
      <w:pPr>
        <w:spacing w:after="0" w:line="192" w:lineRule="exact"/>
        <w:rPr>
          <w:sz w:val="20"/>
          <w:szCs w:val="20"/>
          <w:color w:val="auto"/>
        </w:rPr>
      </w:pPr>
    </w:p>
    <w:p>
      <w:pPr>
        <w:jc w:val="both"/>
        <w:ind w:left="7" w:right="20"/>
        <w:spacing w:after="0" w:line="249" w:lineRule="auto"/>
        <w:rPr>
          <w:sz w:val="20"/>
          <w:szCs w:val="20"/>
          <w:color w:val="auto"/>
        </w:rPr>
      </w:pPr>
      <w:r>
        <w:rPr>
          <w:rFonts w:ascii="Times New Roman" w:cs="Times New Roman" w:eastAsia="Times New Roman" w:hAnsi="Times New Roman"/>
          <w:sz w:val="16"/>
          <w:szCs w:val="16"/>
          <w:color w:val="auto"/>
        </w:rPr>
        <w:t>We have entered into written employment agreements with each of our executive officers. Each of these employment agreements provides for “at will” employment and set forth the initial compensation arrangements for the executive officer, including an initial base salary, an annual cash opportunity, and an equity award recommendation. These agreements and the proprietary information and invention assignment agreements each executive officer executes upon commencing employment at the Company also set forth the rights and responsibilities of each party and include, among other rights and responsibilities, the prohibition on the executive officer from engaging directly or indirectly in competition with us, soliciting any of our employees, or disclosing our confidential information.</w:t>
      </w:r>
    </w:p>
    <w:p>
      <w:pPr>
        <w:spacing w:after="0" w:line="167" w:lineRule="exact"/>
        <w:rPr>
          <w:sz w:val="20"/>
          <w:szCs w:val="20"/>
          <w:color w:val="auto"/>
        </w:rPr>
      </w:pPr>
    </w:p>
    <w:p>
      <w:pPr>
        <w:jc w:val="both"/>
        <w:ind w:left="7" w:right="20"/>
        <w:spacing w:after="0" w:line="256" w:lineRule="auto"/>
        <w:rPr>
          <w:sz w:val="20"/>
          <w:szCs w:val="20"/>
          <w:color w:val="auto"/>
        </w:rPr>
      </w:pPr>
      <w:r>
        <w:rPr>
          <w:rFonts w:ascii="Times New Roman" w:cs="Times New Roman" w:eastAsia="Times New Roman" w:hAnsi="Times New Roman"/>
          <w:sz w:val="16"/>
          <w:szCs w:val="16"/>
          <w:color w:val="auto"/>
        </w:rPr>
        <w:t>Below are descriptions of our employment agreements with our named executive officers. For a discussion of the severance payments and other benefits to be provided in connection with an involuntary termination of employment, including in connection with a change in control of the Company under the arrangements with our executive officers, please see “Severance and Change in Control Benefits” below.</w:t>
      </w:r>
    </w:p>
    <w:p>
      <w:pPr>
        <w:spacing w:after="0" w:line="157" w:lineRule="exact"/>
        <w:rPr>
          <w:sz w:val="20"/>
          <w:szCs w:val="20"/>
          <w:color w:val="auto"/>
        </w:rPr>
      </w:pPr>
    </w:p>
    <w:p>
      <w:pPr>
        <w:jc w:val="both"/>
        <w:ind w:left="7"/>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Elizabeth Barrett. </w:t>
      </w:r>
      <w:r>
        <w:rPr>
          <w:rFonts w:ascii="Times New Roman" w:cs="Times New Roman" w:eastAsia="Times New Roman" w:hAnsi="Times New Roman"/>
          <w:sz w:val="16"/>
          <w:szCs w:val="16"/>
          <w:color w:val="auto"/>
        </w:rPr>
        <w:t>On January 3, 2019, we entered into an employment agreement with Ms. Barrett, which was amended in January 2021 to provide certain change in control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benefits, as described in more detail below under “Severance and Change in Control Benefits”. Pursuant to her employment agreement, Ms. Barrett (i) received a signing bonus of $300,000 (subject to full repayment if she resigned without good reason, or the Company terminated her employment for cause, before January 3, 2020); (ii) received an initial annual base salary of $700,000; (iii) was eligible to receive an annual discretionary bonus for 2019 of up to 100% of her base salary, with 50% guaranteed; and (iv) is eligible to receive annual discretionary bonuses for years following 2020, with an annual target bonus of 50% of her base salary.</w:t>
      </w:r>
    </w:p>
    <w:p>
      <w:pPr>
        <w:spacing w:after="0" w:line="165"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6"/>
          <w:szCs w:val="16"/>
          <w:color w:val="auto"/>
        </w:rPr>
        <w:t>Pursuant to her employment agreement, Ms. Barrett was also initially granted a restricted stock unit covering 317,065 of our ordinary shares and an option to purchase 277,432 ordinary shares. Under the terms of an omnibus amendment of Ms. Barrett’s prior equity award agreements, executed in January 2021, the remainder of the unvested shares underlying both of these equity awards vested in full in January 2022, in lieu of the prior monthly vesting.</w:t>
      </w:r>
    </w:p>
    <w:p>
      <w:pPr>
        <w:spacing w:after="0" w:line="157"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6"/>
          <w:szCs w:val="16"/>
          <w:i w:val="1"/>
          <w:iCs w:val="1"/>
          <w:color w:val="auto"/>
        </w:rPr>
        <w:t>Mark Schoenberg</w:t>
      </w:r>
      <w:r>
        <w:rPr>
          <w:rFonts w:ascii="Times New Roman" w:cs="Times New Roman" w:eastAsia="Times New Roman" w:hAnsi="Times New Roman"/>
          <w:sz w:val="16"/>
          <w:szCs w:val="16"/>
          <w:color w:val="auto"/>
        </w:rPr>
        <w:t>. On January 23, 2020, we entered into a new employment agreement with Dr. Schoenberg, which was amended in January 2021 to provide certain change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control benefits, as described in more detail below under “Severance and Change in Control Benefits”. Pursuant to the terms of the agreement and Dr. Schoenberg’s reduced-time status, Dr. Schoenberg received an annual base salary of $205,000 for a 50% full-time equivalent role and is eligible to receive an annual target cash bonus of $225,000 with a maximum of 150% of such target bonus, subject to achievement of Company goals and objectives.</w:t>
      </w:r>
    </w:p>
    <w:p>
      <w:pPr>
        <w:spacing w:after="0" w:line="164"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On March 15, 2021, the Compensation Committee approved an increase in the reduced-time capacity under the employment agreement from a 50% full-time equivalent role to a 75% full-time equivalent role as of January 1, 2021 and on March 17, 2021 our Board endorsed and approved the increase to 75% full-time equivalent. Dr. Schoenberg’s employment agreement was further amended in April 2021 to reflect the changes approved by the Board, pursuant to which he is entitled to an annual base salary of $307,500 effective January 1, 2021 through February 28, 2021 and beginning on March 1, 2021 and thereafter an annual base salary of $316,725 for a 75% full-time equivalent role.</w:t>
      </w:r>
    </w:p>
    <w:p>
      <w:pPr>
        <w:spacing w:after="0" w:line="163" w:lineRule="exact"/>
        <w:rPr>
          <w:sz w:val="20"/>
          <w:szCs w:val="20"/>
          <w:color w:val="auto"/>
        </w:rPr>
      </w:pPr>
    </w:p>
    <w:p>
      <w:pPr>
        <w:jc w:val="both"/>
        <w:ind w:left="7"/>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Jason Smith. </w:t>
      </w:r>
      <w:r>
        <w:rPr>
          <w:rFonts w:ascii="Times New Roman" w:cs="Times New Roman" w:eastAsia="Times New Roman" w:hAnsi="Times New Roman"/>
          <w:sz w:val="16"/>
          <w:szCs w:val="16"/>
          <w:color w:val="auto"/>
        </w:rPr>
        <w:t>On August 12, 2020 we entered into an employment agreement with Mr. Smith, which was amended in January 2021 to provide certain change in control benefits,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described in more detail below under “Severance and Change in Control Benefits”. Pursuant to the terms of the agreement, Mr. Smith (i) received a signing bonus of $100,000 (subject to full repayment if his employment with the Company terminates for any reason before August 31, 2021), (ii) receives an annual base salary of $425,000 and (iii) is eligible for a target annual cash bonus equal to 50% of his base salary. Mr. Smith was granted an initial new hire option to purchase 60,000 ordinary shares and 25,000 restricted stock units.</w:t>
      </w:r>
    </w:p>
    <w:p>
      <w:pPr>
        <w:spacing w:after="0" w:line="16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Severance and Change in Control Benefits</w:t>
      </w:r>
    </w:p>
    <w:p>
      <w:pPr>
        <w:spacing w:after="0" w:line="192" w:lineRule="exact"/>
        <w:rPr>
          <w:sz w:val="20"/>
          <w:szCs w:val="20"/>
          <w:color w:val="auto"/>
        </w:rPr>
      </w:pPr>
    </w:p>
    <w:p>
      <w:pPr>
        <w:jc w:val="both"/>
        <w:ind w:left="7"/>
        <w:spacing w:after="0" w:line="268" w:lineRule="auto"/>
        <w:rPr>
          <w:sz w:val="20"/>
          <w:szCs w:val="20"/>
          <w:color w:val="auto"/>
        </w:rPr>
      </w:pPr>
      <w:r>
        <w:rPr>
          <w:rFonts w:ascii="Times New Roman" w:cs="Times New Roman" w:eastAsia="Times New Roman" w:hAnsi="Times New Roman"/>
          <w:sz w:val="16"/>
          <w:szCs w:val="16"/>
          <w:color w:val="auto"/>
        </w:rPr>
        <w:t>Our employment agreements with Ms. Barrett, Dr. Schoenberg and Mr. Smith provide that they are eligible for severance benefits upon certain involuntary terminations of employment, including in connection with a change in control, as described below.</w:t>
      </w:r>
    </w:p>
    <w:p>
      <w:pPr>
        <w:spacing w:after="0" w:line="150" w:lineRule="exact"/>
        <w:rPr>
          <w:sz w:val="20"/>
          <w:szCs w:val="20"/>
          <w:color w:val="auto"/>
        </w:rPr>
      </w:pPr>
    </w:p>
    <w:p>
      <w:pPr>
        <w:jc w:val="both"/>
        <w:ind w:left="7"/>
        <w:spacing w:after="0" w:line="299" w:lineRule="auto"/>
        <w:rPr>
          <w:sz w:val="20"/>
          <w:szCs w:val="20"/>
          <w:color w:val="auto"/>
        </w:rPr>
      </w:pPr>
      <w:r>
        <w:rPr>
          <w:rFonts w:ascii="Times New Roman" w:cs="Times New Roman" w:eastAsia="Times New Roman" w:hAnsi="Times New Roman"/>
          <w:sz w:val="14"/>
          <w:szCs w:val="14"/>
          <w:color w:val="auto"/>
        </w:rPr>
        <w:t>Pursuant to their respective amended employment agreements, if the named executive officer is terminated by the Company without cause, by the named executive officer for good reason, or due to the named executive officer’s death or disability (in the case of Ms. Barrett and Mr. Smith), then the named executive officer will be entitled to the following severance benefits: (i) continuing base salary payments for 6 months (or 12 months in the case of Ms. Barrett and up to 12 months in the case of Dr. Schoenberg); (ii) a prorated target annual bonus for the year of termination (to the extent earned based on company performance and with any individual performance component deemed achieved); (iii) any</w:t>
      </w:r>
    </w:p>
    <w:p>
      <w:pPr>
        <w:sectPr>
          <w:pgSz w:w="11900" w:h="16861" w:orient="portrait"/>
          <w:cols w:equalWidth="0" w:num="1">
            <w:col w:w="11267"/>
          </w:cols>
          <w:pgMar w:left="313" w:top="123" w:right="319" w:bottom="0" w:gutter="0" w:footer="0" w:header="0"/>
        </w:sectPr>
      </w:pPr>
    </w:p>
    <w:bookmarkStart w:id="11" w:name="page12"/>
    <w:bookmarkEnd w:id="11"/>
    <w:p>
      <w:pPr>
        <w:jc w:val="both"/>
        <w:spacing w:after="0" w:line="249" w:lineRule="auto"/>
        <w:rPr>
          <w:sz w:val="20"/>
          <w:szCs w:val="20"/>
          <w:color w:val="auto"/>
        </w:rPr>
      </w:pPr>
      <w:r>
        <w:rPr>
          <w:rFonts w:ascii="Times New Roman" w:cs="Times New Roman" w:eastAsia="Times New Roman" w:hAnsi="Times New Roman"/>
          <w:sz w:val="16"/>
          <w:szCs w:val="16"/>
          <w:color w:val="auto"/>
        </w:rPr>
        <w:t>unpaid annual bonus earned with respect to the year preceding termination; (iv) the accelerated vesting of restricted shares and options held by the named executive officer at the time of such termination (in the case of Ms. Barrett, the portion of the award otherwise scheduled to vest within the 12 month period following termination; in the case of Dr. Schoenberg, 50% of the then-unvested award shall be deemed immediately vested and exercisable as of the termination date; and in the case of Mr. Smith, vesting will be accelerated by one quarter, such that 8.33% of the then-unvested restricted shares and options will be deemed immediately vested and exercisable); and (v) COBRA payment reimbursement for up to 6 months for Mr. Smith, and 12 months in the case of Ms. Barrett following such termination.</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If there is a change in control and the named executive officer is terminated without cause or resigns for good reason, in either case within three months prior to, or 24 months following the effective date of the change in control, all three named executive officers will be entitled to 100% vesting and exercisability of all of his or her Company equity awards or other equity interests that are outstanding and unvested as of the termination date, and Ms. Barrett and Mr. Smith will be entitled to the following severance benefits, in lieu of the corresponding severance benefits described above: (i) a lump sum payment equal to the sum of (1) 12 months (18 months in the case of Ms. Barrett) of his or her then-current annual base salary and (2) 100% of his or her current target annual bonus; and (ii) the amount of any COBRA premium payments made by the named executive officer during the 12 months (or 18 months in the case of Ms. Barrett) following such termination.</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Payment of the severance benefits described in the preceding paragraphs is subject to the named executive officer signing and not revoking a separation agreement and release of claims in a form satisfactory to us.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Benefits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We provided a 401(k) plan to all of our U.S. employees, including our named executive officers. We do not generally provide perquisites or personal benefits to our named executive officers. We do, however, pay the premiums for term life insurance and disability insurance for all of our employees, including our named executive officers.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and Accounting Implications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Under Financial Accounting Standard Board ASC Topic 718 (“ASC Topic 718”), we are required to estimate and record an expense for each award of equity compensation over the vesting period of the award. We record share-based compensation expense on an ongoing basis according to ASC Topic 718.</w:t>
      </w:r>
    </w:p>
    <w:p>
      <w:pPr>
        <w:spacing w:after="0" w:line="150"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Under Section 162(m) of the Code, compensation paid to each of our “covered employees” that exceeds $1 million per taxable year is generally non-deductible. Although the Compensation Committee will continue to consider tax implications as one factor in determining executive compensation, it also looks at other factors in making its decisions and retains the flexibility to provide compensation for our named executive officers in a manner consistent with the goals of our executive compensation program and our best interests, and the best interests of our shareholders, which may include providing for compensation that is not deductible by us due to the deduction limit under Section 162(m) of the Code.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As a public company, if we are required to restate our financial results due to our material noncompliance with any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certain covered officers, including the Chief Executive Officer and Chief Financial Officer, may be legally required to reimburse our Company for any cash bonus or other incentive-based or equity-based compensation they receive in accordance with the provisions of section 304 of the Sarbanes-Oxley Act of 2002. We have adopted an incentive compensation recoupment policy to comply with Section 10D of the Exchange Act, Rule 10D-1 promulgated thereunder and Nasdaq Listing Rule 5608.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Analysis of Our Compensation Policies and Practices</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Compensation Committee has reviewed the Company’s compensation policies and practices, in consultation with Compensia and outside Company counsel, to assess whether they encourage employees to take inappropriate risks. After reviewing and assessing the Company’s compensation philosophy, terms and practices, including the mix of fixed and variable, short and long-term incentives and overall pay, incentive plan structures, and the checks and balances built into, and oversight of, each plan and practice, the Compensation Committee determined that any risks arising from our compensation policies and practices for our employees are not reasonably likely to have a material adverse effect on our Company as a whole. The Compensation Committee believes that the mix and design of the elements of executive compensation do not encourage management to assume excessive risks; the mix of short-term compensation (in the form of salary and annual bonus, if any, which is based on a variety of performance factors), and long-term compensation (in the form of options to purchase our ordinary shares and restricted stock units) prevents undue focus on short-term results and helps align the interests of the Company’s executive officers with the interests of our shareholders.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The following table sets forth all of the compensation awarded to, earned by or paid to our named executive officers during the fiscal years ended December 31, 2023 and 2022 with respect to Ms. Barrett, Dr. Schoenberg, and Mr. Smith.</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40" w:type="dxa"/>
            <w:vAlign w:val="bottom"/>
          </w:tcPr>
          <w:p>
            <w:pPr>
              <w:spacing w:after="0"/>
              <w:rPr>
                <w:sz w:val="16"/>
                <w:szCs w:val="16"/>
                <w:color w:val="auto"/>
              </w:rPr>
            </w:pPr>
          </w:p>
        </w:tc>
        <w:tc>
          <w:tcPr>
            <w:tcW w:w="15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5"/>
              </w:rPr>
              <w:t>Name and Principal Position</w:t>
            </w:r>
          </w:p>
        </w:tc>
        <w:tc>
          <w:tcPr>
            <w:tcW w:w="8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96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(1)</w:t>
            </w:r>
          </w:p>
        </w:tc>
        <w:tc>
          <w:tcPr>
            <w:tcW w:w="116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(2)</w:t>
            </w:r>
          </w:p>
        </w:tc>
        <w:tc>
          <w:tcPr>
            <w:tcW w:w="110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(3)</w:t>
            </w:r>
          </w:p>
        </w:tc>
        <w:tc>
          <w:tcPr>
            <w:tcW w:w="164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(4)</w:t>
            </w:r>
          </w:p>
        </w:tc>
        <w:tc>
          <w:tcPr>
            <w:tcW w:w="16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(5)</w:t>
            </w:r>
          </w:p>
        </w:tc>
        <w:tc>
          <w:tcPr>
            <w:tcW w:w="140" w:type="dxa"/>
            <w:vAlign w:val="bottom"/>
          </w:tcPr>
          <w:p>
            <w:pPr>
              <w:spacing w:after="0"/>
              <w:rPr>
                <w:sz w:val="17"/>
                <w:szCs w:val="17"/>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161"/>
        </w:trPr>
        <w:tc>
          <w:tcPr>
            <w:tcW w:w="19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Elizabeth Barrett</w:t>
            </w:r>
          </w:p>
        </w:tc>
        <w:tc>
          <w:tcPr>
            <w:tcW w:w="80" w:type="dxa"/>
            <w:vAlign w:val="bottom"/>
          </w:tcPr>
          <w:p>
            <w:pPr>
              <w:spacing w:after="0"/>
              <w:rPr>
                <w:sz w:val="13"/>
                <w:szCs w:val="13"/>
                <w:color w:val="auto"/>
              </w:rPr>
            </w:pPr>
          </w:p>
        </w:tc>
        <w:tc>
          <w:tcPr>
            <w:tcW w:w="500" w:type="dxa"/>
            <w:vAlign w:val="bottom"/>
            <w:tcBorders>
              <w:top w:val="single" w:sz="8" w:color="auto"/>
            </w:tcBorders>
          </w:tcPr>
          <w:p>
            <w:pPr>
              <w:ind w:left="100"/>
              <w:spacing w:after="0" w:line="161" w:lineRule="exact"/>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3"/>
                <w:szCs w:val="13"/>
                <w:color w:val="auto"/>
              </w:rPr>
            </w:pPr>
          </w:p>
        </w:tc>
        <w:tc>
          <w:tcPr>
            <w:tcW w:w="880" w:type="dxa"/>
            <w:vAlign w:val="bottom"/>
            <w:tcBorders>
              <w:top w:val="single" w:sz="8" w:color="auto"/>
            </w:tcBorders>
          </w:tcPr>
          <w:p>
            <w:pPr>
              <w:ind w:left="220"/>
              <w:spacing w:after="0" w:line="161" w:lineRule="exact"/>
              <w:rPr>
                <w:sz w:val="20"/>
                <w:szCs w:val="20"/>
                <w:color w:val="auto"/>
              </w:rPr>
            </w:pPr>
            <w:r>
              <w:rPr>
                <w:rFonts w:ascii="Times New Roman" w:cs="Times New Roman" w:eastAsia="Times New Roman" w:hAnsi="Times New Roman"/>
                <w:sz w:val="16"/>
                <w:szCs w:val="16"/>
                <w:color w:val="auto"/>
              </w:rPr>
              <w:t>794,243</w:t>
            </w:r>
          </w:p>
        </w:tc>
        <w:tc>
          <w:tcPr>
            <w:tcW w:w="140" w:type="dxa"/>
            <w:vAlign w:val="bottom"/>
          </w:tcPr>
          <w:p>
            <w:pPr>
              <w:spacing w:after="0"/>
              <w:rPr>
                <w:sz w:val="13"/>
                <w:szCs w:val="13"/>
                <w:color w:val="auto"/>
              </w:rPr>
            </w:pPr>
          </w:p>
        </w:tc>
        <w:tc>
          <w:tcPr>
            <w:tcW w:w="800" w:type="dxa"/>
            <w:vAlign w:val="bottom"/>
            <w:tcBorders>
              <w:top w:val="single" w:sz="8" w:color="auto"/>
            </w:tcBorders>
          </w:tcPr>
          <w:p>
            <w:pPr>
              <w:jc w:val="center"/>
              <w:ind w:left="2"/>
              <w:spacing w:after="0" w:line="161" w:lineRule="exact"/>
              <w:rPr>
                <w:sz w:val="20"/>
                <w:szCs w:val="20"/>
                <w:color w:val="auto"/>
              </w:rPr>
            </w:pPr>
            <w:r>
              <w:rPr>
                <w:rFonts w:ascii="Times New Roman" w:cs="Times New Roman" w:eastAsia="Times New Roman" w:hAnsi="Times New Roman"/>
                <w:sz w:val="16"/>
                <w:szCs w:val="16"/>
                <w:color w:val="auto"/>
                <w:w w:val="99"/>
              </w:rPr>
              <w:t>19,984</w:t>
            </w:r>
          </w:p>
        </w:tc>
        <w:tc>
          <w:tcPr>
            <w:tcW w:w="140" w:type="dxa"/>
            <w:vAlign w:val="bottom"/>
          </w:tcPr>
          <w:p>
            <w:pPr>
              <w:spacing w:after="0"/>
              <w:rPr>
                <w:sz w:val="13"/>
                <w:szCs w:val="13"/>
                <w:color w:val="auto"/>
              </w:rPr>
            </w:pPr>
          </w:p>
        </w:tc>
        <w:tc>
          <w:tcPr>
            <w:tcW w:w="1020" w:type="dxa"/>
            <w:vAlign w:val="bottom"/>
            <w:tcBorders>
              <w:top w:val="single" w:sz="8" w:color="auto"/>
            </w:tcBorders>
          </w:tcPr>
          <w:p>
            <w:pPr>
              <w:jc w:val="center"/>
              <w:ind w:left="2"/>
              <w:spacing w:after="0" w:line="161" w:lineRule="exact"/>
              <w:rPr>
                <w:sz w:val="20"/>
                <w:szCs w:val="20"/>
                <w:color w:val="auto"/>
              </w:rPr>
            </w:pPr>
            <w:r>
              <w:rPr>
                <w:rFonts w:ascii="Times New Roman" w:cs="Times New Roman" w:eastAsia="Times New Roman" w:hAnsi="Times New Roman"/>
                <w:sz w:val="16"/>
                <w:szCs w:val="16"/>
                <w:color w:val="auto"/>
                <w:w w:val="96"/>
              </w:rPr>
              <w:t>2,464,250</w:t>
            </w:r>
          </w:p>
        </w:tc>
        <w:tc>
          <w:tcPr>
            <w:tcW w:w="140" w:type="dxa"/>
            <w:vAlign w:val="bottom"/>
          </w:tcPr>
          <w:p>
            <w:pPr>
              <w:spacing w:after="0"/>
              <w:rPr>
                <w:sz w:val="13"/>
                <w:szCs w:val="13"/>
                <w:color w:val="auto"/>
              </w:rPr>
            </w:pPr>
          </w:p>
        </w:tc>
        <w:tc>
          <w:tcPr>
            <w:tcW w:w="9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6"/>
              </w:rPr>
              <w:t>836,533</w:t>
            </w:r>
          </w:p>
        </w:tc>
        <w:tc>
          <w:tcPr>
            <w:tcW w:w="140" w:type="dxa"/>
            <w:vAlign w:val="bottom"/>
          </w:tcPr>
          <w:p>
            <w:pPr>
              <w:spacing w:after="0"/>
              <w:rPr>
                <w:sz w:val="13"/>
                <w:szCs w:val="13"/>
                <w:color w:val="auto"/>
              </w:rPr>
            </w:pPr>
          </w:p>
        </w:tc>
        <w:tc>
          <w:tcPr>
            <w:tcW w:w="1500" w:type="dxa"/>
            <w:vAlign w:val="bottom"/>
            <w:tcBorders>
              <w:top w:val="single" w:sz="8" w:color="auto"/>
            </w:tcBorders>
          </w:tcPr>
          <w:p>
            <w:pPr>
              <w:ind w:left="600"/>
              <w:spacing w:after="0" w:line="161" w:lineRule="exact"/>
              <w:rPr>
                <w:sz w:val="20"/>
                <w:szCs w:val="20"/>
                <w:color w:val="auto"/>
              </w:rPr>
            </w:pPr>
            <w:r>
              <w:rPr>
                <w:rFonts w:ascii="Times New Roman" w:cs="Times New Roman" w:eastAsia="Times New Roman" w:hAnsi="Times New Roman"/>
                <w:sz w:val="16"/>
                <w:szCs w:val="16"/>
                <w:color w:val="auto"/>
              </w:rPr>
              <w:t>479,620</w:t>
            </w:r>
          </w:p>
        </w:tc>
        <w:tc>
          <w:tcPr>
            <w:tcW w:w="140" w:type="dxa"/>
            <w:vAlign w:val="bottom"/>
          </w:tcPr>
          <w:p>
            <w:pPr>
              <w:spacing w:after="0"/>
              <w:rPr>
                <w:sz w:val="13"/>
                <w:szCs w:val="13"/>
                <w:color w:val="auto"/>
              </w:rPr>
            </w:pPr>
          </w:p>
        </w:tc>
        <w:tc>
          <w:tcPr>
            <w:tcW w:w="1520" w:type="dxa"/>
            <w:vAlign w:val="bottom"/>
            <w:tcBorders>
              <w:top w:val="single" w:sz="8" w:color="auto"/>
            </w:tcBorders>
          </w:tcPr>
          <w:p>
            <w:pPr>
              <w:jc w:val="center"/>
              <w:ind w:left="122"/>
              <w:spacing w:after="0" w:line="161" w:lineRule="exact"/>
              <w:rPr>
                <w:sz w:val="20"/>
                <w:szCs w:val="20"/>
                <w:color w:val="auto"/>
              </w:rPr>
            </w:pPr>
            <w:r>
              <w:rPr>
                <w:rFonts w:ascii="Times New Roman" w:cs="Times New Roman" w:eastAsia="Times New Roman" w:hAnsi="Times New Roman"/>
                <w:sz w:val="16"/>
                <w:szCs w:val="16"/>
                <w:color w:val="auto"/>
                <w:w w:val="99"/>
              </w:rPr>
              <w:t>44,959</w:t>
            </w:r>
          </w:p>
        </w:tc>
        <w:tc>
          <w:tcPr>
            <w:tcW w:w="140" w:type="dxa"/>
            <w:vAlign w:val="bottom"/>
          </w:tcPr>
          <w:p>
            <w:pPr>
              <w:spacing w:after="0"/>
              <w:rPr>
                <w:sz w:val="13"/>
                <w:szCs w:val="13"/>
                <w:color w:val="auto"/>
              </w:rPr>
            </w:pPr>
          </w:p>
        </w:tc>
        <w:tc>
          <w:tcPr>
            <w:tcW w:w="1100" w:type="dxa"/>
            <w:vAlign w:val="bottom"/>
            <w:tcBorders>
              <w:top w:val="single" w:sz="8" w:color="auto"/>
            </w:tcBorders>
          </w:tcPr>
          <w:p>
            <w:pPr>
              <w:jc w:val="center"/>
              <w:ind w:left="2"/>
              <w:spacing w:after="0" w:line="161" w:lineRule="exact"/>
              <w:rPr>
                <w:sz w:val="20"/>
                <w:szCs w:val="20"/>
                <w:color w:val="auto"/>
              </w:rPr>
            </w:pPr>
            <w:r>
              <w:rPr>
                <w:rFonts w:ascii="Times New Roman" w:cs="Times New Roman" w:eastAsia="Times New Roman" w:hAnsi="Times New Roman"/>
                <w:sz w:val="16"/>
                <w:szCs w:val="16"/>
                <w:color w:val="auto"/>
                <w:w w:val="96"/>
              </w:rPr>
              <w:t>4,639,589</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764,290</w:t>
            </w:r>
          </w:p>
        </w:tc>
        <w:tc>
          <w:tcPr>
            <w:tcW w:w="140" w:type="dxa"/>
            <w:vAlign w:val="bottom"/>
          </w:tcPr>
          <w:p>
            <w:pPr>
              <w:spacing w:after="0"/>
              <w:rPr>
                <w:sz w:val="16"/>
                <w:szCs w:val="16"/>
                <w:color w:val="auto"/>
              </w:rPr>
            </w:pPr>
          </w:p>
        </w:tc>
        <w:tc>
          <w:tcPr>
            <w:tcW w:w="8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6"/>
              </w:rPr>
              <w:t>753,195</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307,449</w:t>
            </w:r>
          </w:p>
        </w:tc>
        <w:tc>
          <w:tcPr>
            <w:tcW w:w="166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45,626</w:t>
            </w:r>
          </w:p>
        </w:tc>
        <w:tc>
          <w:tcPr>
            <w:tcW w:w="124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6"/>
              </w:rPr>
              <w:t>1,870,560</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Mark P. Schoenberg, M.D.</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341,469</w:t>
            </w:r>
          </w:p>
        </w:tc>
        <w:tc>
          <w:tcPr>
            <w:tcW w:w="94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9"/>
              </w:rPr>
              <w:t>26,250</w:t>
            </w:r>
          </w:p>
        </w:tc>
        <w:tc>
          <w:tcPr>
            <w:tcW w:w="116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6"/>
              </w:rPr>
              <w:t>519,950</w:t>
            </w:r>
          </w:p>
        </w:tc>
        <w:tc>
          <w:tcPr>
            <w:tcW w:w="11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6"/>
              </w:rPr>
              <w:t>200,768</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270,000</w:t>
            </w:r>
          </w:p>
        </w:tc>
        <w:tc>
          <w:tcPr>
            <w:tcW w:w="166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2,113</w:t>
            </w:r>
          </w:p>
        </w:tc>
        <w:tc>
          <w:tcPr>
            <w:tcW w:w="124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6"/>
              </w:rPr>
              <w:t>1,360,550</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325,963</w:t>
            </w:r>
          </w:p>
        </w:tc>
        <w:tc>
          <w:tcPr>
            <w:tcW w:w="140" w:type="dxa"/>
            <w:vAlign w:val="bottom"/>
          </w:tcPr>
          <w:p>
            <w:pPr>
              <w:spacing w:after="0"/>
              <w:rPr>
                <w:sz w:val="16"/>
                <w:szCs w:val="16"/>
                <w:color w:val="auto"/>
              </w:rPr>
            </w:pPr>
          </w:p>
        </w:tc>
        <w:tc>
          <w:tcPr>
            <w:tcW w:w="8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30,880</w:t>
            </w:r>
          </w:p>
        </w:tc>
        <w:tc>
          <w:tcPr>
            <w:tcW w:w="11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5"/>
              </w:rPr>
              <w:t>60,577</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180,000</w:t>
            </w:r>
          </w:p>
        </w:tc>
        <w:tc>
          <w:tcPr>
            <w:tcW w:w="166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2,191</w:t>
            </w:r>
          </w:p>
        </w:tc>
        <w:tc>
          <w:tcPr>
            <w:tcW w:w="124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6"/>
              </w:rPr>
              <w:t>599,610</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Jason Smith</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456,733</w:t>
            </w:r>
          </w:p>
        </w:tc>
        <w:tc>
          <w:tcPr>
            <w:tcW w:w="94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9"/>
              </w:rPr>
              <w:t>47,984</w:t>
            </w:r>
          </w:p>
        </w:tc>
        <w:tc>
          <w:tcPr>
            <w:tcW w:w="116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6"/>
              </w:rPr>
              <w:t>376,300</w:t>
            </w:r>
          </w:p>
        </w:tc>
        <w:tc>
          <w:tcPr>
            <w:tcW w:w="110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6"/>
              </w:rPr>
              <w:t>267,691</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275,808</w:t>
            </w:r>
          </w:p>
        </w:tc>
        <w:tc>
          <w:tcPr>
            <w:tcW w:w="166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83,663</w:t>
            </w:r>
          </w:p>
        </w:tc>
        <w:tc>
          <w:tcPr>
            <w:tcW w:w="1240" w:type="dxa"/>
            <w:vAlign w:val="bottom"/>
            <w:gridSpan w:val="2"/>
          </w:tcPr>
          <w:p>
            <w:pPr>
              <w:jc w:val="center"/>
              <w:ind w:left="142"/>
              <w:spacing w:after="0"/>
              <w:rPr>
                <w:sz w:val="20"/>
                <w:szCs w:val="20"/>
                <w:color w:val="auto"/>
              </w:rPr>
            </w:pPr>
            <w:r>
              <w:rPr>
                <w:rFonts w:ascii="Times New Roman" w:cs="Times New Roman" w:eastAsia="Times New Roman" w:hAnsi="Times New Roman"/>
                <w:sz w:val="16"/>
                <w:szCs w:val="16"/>
                <w:color w:val="auto"/>
                <w:w w:val="96"/>
              </w:rPr>
              <w:t>1,508,179</w:t>
            </w:r>
          </w:p>
        </w:tc>
        <w:tc>
          <w:tcPr>
            <w:tcW w:w="0" w:type="dxa"/>
            <w:vAlign w:val="bottom"/>
          </w:tcPr>
          <w:p>
            <w:pPr>
              <w:spacing w:after="0"/>
              <w:rPr>
                <w:sz w:val="1"/>
                <w:szCs w:val="1"/>
                <w:color w:val="auto"/>
              </w:rPr>
            </w:pPr>
          </w:p>
        </w:tc>
      </w:tr>
      <w:tr>
        <w:trPr>
          <w:trHeight w:val="187"/>
        </w:trPr>
        <w:tc>
          <w:tcPr>
            <w:tcW w:w="1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General Counsel and Chief</w:t>
            </w:r>
          </w:p>
        </w:tc>
        <w:tc>
          <w:tcPr>
            <w:tcW w:w="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9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rPr>
              <w:t>440,019</w:t>
            </w:r>
          </w:p>
        </w:tc>
        <w:tc>
          <w:tcPr>
            <w:tcW w:w="940" w:type="dxa"/>
            <w:vAlign w:val="bottom"/>
            <w:gridSpan w:val="2"/>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w w:val="99"/>
              </w:rPr>
              <w:t>10,000</w:t>
            </w:r>
          </w:p>
        </w:tc>
        <w:tc>
          <w:tcPr>
            <w:tcW w:w="1160" w:type="dxa"/>
            <w:vAlign w:val="bottom"/>
            <w:gridSpan w:val="2"/>
            <w:vMerge w:val="restart"/>
          </w:tcPr>
          <w:p>
            <w:pPr>
              <w:jc w:val="center"/>
              <w:ind w:left="122"/>
              <w:spacing w:after="0"/>
              <w:rPr>
                <w:sz w:val="20"/>
                <w:szCs w:val="20"/>
                <w:color w:val="auto"/>
              </w:rPr>
            </w:pPr>
            <w:r>
              <w:rPr>
                <w:rFonts w:ascii="Times New Roman" w:cs="Times New Roman" w:eastAsia="Times New Roman" w:hAnsi="Times New Roman"/>
                <w:sz w:val="16"/>
                <w:szCs w:val="16"/>
                <w:color w:val="auto"/>
                <w:w w:val="99"/>
              </w:rPr>
              <w:t>57,900</w:t>
            </w:r>
          </w:p>
        </w:tc>
        <w:tc>
          <w:tcPr>
            <w:tcW w:w="1100" w:type="dxa"/>
            <w:vAlign w:val="bottom"/>
            <w:gridSpan w:val="2"/>
            <w:vMerge w:val="restart"/>
          </w:tcPr>
          <w:p>
            <w:pPr>
              <w:jc w:val="center"/>
              <w:ind w:left="122"/>
              <w:spacing w:after="0"/>
              <w:rPr>
                <w:sz w:val="20"/>
                <w:szCs w:val="20"/>
                <w:color w:val="auto"/>
              </w:rPr>
            </w:pPr>
            <w:r>
              <w:rPr>
                <w:rFonts w:ascii="Times New Roman" w:cs="Times New Roman" w:eastAsia="Times New Roman" w:hAnsi="Times New Roman"/>
                <w:sz w:val="16"/>
                <w:szCs w:val="16"/>
                <w:color w:val="auto"/>
                <w:w w:val="96"/>
              </w:rPr>
              <w:t>150,639</w:t>
            </w:r>
          </w:p>
        </w:tc>
        <w:tc>
          <w:tcPr>
            <w:tcW w:w="16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198,900</w:t>
            </w:r>
          </w:p>
        </w:tc>
        <w:tc>
          <w:tcPr>
            <w:tcW w:w="1660" w:type="dxa"/>
            <w:vAlign w:val="bottom"/>
            <w:gridSpan w:val="2"/>
            <w:vMerge w:val="restart"/>
          </w:tcPr>
          <w:p>
            <w:pPr>
              <w:jc w:val="center"/>
              <w:ind w:left="262"/>
              <w:spacing w:after="0"/>
              <w:rPr>
                <w:sz w:val="20"/>
                <w:szCs w:val="20"/>
                <w:color w:val="auto"/>
              </w:rPr>
            </w:pPr>
            <w:r>
              <w:rPr>
                <w:rFonts w:ascii="Times New Roman" w:cs="Times New Roman" w:eastAsia="Times New Roman" w:hAnsi="Times New Roman"/>
                <w:sz w:val="16"/>
                <w:szCs w:val="16"/>
                <w:color w:val="auto"/>
                <w:w w:val="99"/>
              </w:rPr>
              <w:t>68,663</w:t>
            </w:r>
          </w:p>
        </w:tc>
        <w:tc>
          <w:tcPr>
            <w:tcW w:w="1240" w:type="dxa"/>
            <w:vAlign w:val="bottom"/>
            <w:gridSpan w:val="2"/>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w w:val="96"/>
              </w:rPr>
              <w:t>926,121</w:t>
            </w:r>
          </w:p>
        </w:tc>
        <w:tc>
          <w:tcPr>
            <w:tcW w:w="0" w:type="dxa"/>
            <w:vAlign w:val="bottom"/>
          </w:tcPr>
          <w:p>
            <w:pPr>
              <w:spacing w:after="0"/>
              <w:rPr>
                <w:sz w:val="1"/>
                <w:szCs w:val="1"/>
                <w:color w:val="auto"/>
              </w:rPr>
            </w:pPr>
          </w:p>
        </w:tc>
      </w:tr>
      <w:tr>
        <w:trPr>
          <w:trHeight w:val="111"/>
        </w:trPr>
        <w:tc>
          <w:tcPr>
            <w:tcW w:w="19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Compliance Officer</w:t>
            </w:r>
          </w:p>
        </w:tc>
        <w:tc>
          <w:tcPr>
            <w:tcW w:w="58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560" w:right="20" w:hanging="286"/>
        <w:spacing w:after="0" w:line="340" w:lineRule="auto"/>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discretionary bonuses paid to the named executive officer for the applicable year. Discretionary bonuses earned in 2023 were approved by the Board based on assessment of overall achievements in the business and individual performance, including the accomplishments noted in our 2023 corporate performance highlights, above.</w:t>
      </w:r>
    </w:p>
    <w:p>
      <w:pPr>
        <w:spacing w:after="0" w:line="104" w:lineRule="exact"/>
        <w:rPr>
          <w:rFonts w:ascii="Times New Roman" w:cs="Times New Roman" w:eastAsia="Times New Roman" w:hAnsi="Times New Roman"/>
          <w:sz w:val="14"/>
          <w:szCs w:val="14"/>
          <w:color w:val="auto"/>
        </w:rPr>
      </w:pPr>
    </w:p>
    <w:p>
      <w:pPr>
        <w:ind w:left="560" w:right="20" w:hanging="286"/>
        <w:spacing w:after="0" w:line="249"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grant-date fair value of the restricted stock units and performance stock units awarded to the Named Executive Officer for the applicable year, calculated in accordance with ASC Topic 718 and does not take into account estimated forfeitures, which value is based on the closing market price of our ordinary shares on the date of grant. The grant date fair value of the restricted stock units is based on the closing market price of the Company’s ordinary shares on the date of the grant and does not take into account estimated forfeitures. The grant date fair value and the maximum potential value of the performance stock units is based on the closing market price of our ordinary shares on the date of grant.</w:t>
      </w:r>
    </w:p>
    <w:p>
      <w:pPr>
        <w:spacing w:after="0" w:line="167" w:lineRule="exact"/>
        <w:rPr>
          <w:rFonts w:ascii="Times New Roman" w:cs="Times New Roman" w:eastAsia="Times New Roman" w:hAnsi="Times New Roman"/>
          <w:sz w:val="16"/>
          <w:szCs w:val="16"/>
          <w:color w:val="auto"/>
        </w:rPr>
      </w:pPr>
    </w:p>
    <w:p>
      <w:pPr>
        <w:ind w:left="560" w:right="140" w:hanging="286"/>
        <w:spacing w:after="0" w:line="256"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grant-date fair value of the stock options awarded to the named executive officer for the applicable year, calculated in accordance with ASC Topic 718, and does not take into account estimated forfeitures related to service-based conditions. The assumptions used in the calculation of these amounts are included in Note 16 of our Annual Report on Form 10-K for the year ended December 31, 2023, filed with the SEC on March 14, 2024.</w:t>
      </w:r>
    </w:p>
    <w:p>
      <w:pPr>
        <w:spacing w:after="0" w:line="158"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“Annual Performance Bonus” above.</w:t>
      </w:r>
    </w:p>
    <w:p>
      <w:pPr>
        <w:sectPr>
          <w:pgSz w:w="11900" w:h="16838" w:orient="portrait"/>
          <w:cols w:equalWidth="0" w:num="1">
            <w:col w:w="11260"/>
          </w:cols>
          <w:pgMar w:left="320" w:top="123" w:right="319" w:bottom="0" w:gutter="0" w:footer="0" w:header="0"/>
        </w:sectPr>
      </w:pPr>
    </w:p>
    <w:bookmarkStart w:id="12" w:name="page13"/>
    <w:bookmarkEnd w:id="12"/>
    <w:p>
      <w:pPr>
        <w:ind w:left="560" w:right="120" w:hanging="286"/>
        <w:spacing w:after="0" w:line="268"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value of company paid life insurance, company contribution to 401(k) plans and other company paid health, dental and disability insurance premiums.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2023 Outstanding Equity Awards at Fiscal Year End Table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for the fiscal year ended December 31, 2023, certain information regarding outstanding equity awards at fiscal year-end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457200</wp:posOffset>
            </wp:positionV>
            <wp:extent cx="715073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7"/>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of 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 of</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Incentive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0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Unexercised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Unexercised</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w w:val="94"/>
              </w:rPr>
              <w:t>Expiration</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that have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Stock that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Awards: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Awards: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Options (#)</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Options (#)</w:t>
            </w:r>
          </w:p>
        </w:tc>
        <w:tc>
          <w:tcPr>
            <w:tcW w:w="10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not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 or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Exercisable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Unexercisable</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Vested (#)</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Vested ($)</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Unearned</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Payout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 or</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Unearned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other rights Shares, Units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that have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or Other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not Vested</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Rights that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0"/>
              <w:spacing w:after="0" w:line="205" w:lineRule="exact"/>
              <w:rPr>
                <w:sz w:val="20"/>
                <w:szCs w:val="20"/>
                <w:color w:val="auto"/>
              </w:rPr>
            </w:pPr>
            <w:r>
              <w:rPr>
                <w:rFonts w:ascii="Times New Roman" w:cs="Times New Roman" w:eastAsia="Times New Roman" w:hAnsi="Times New Roman"/>
                <w:sz w:val="15"/>
                <w:szCs w:val="15"/>
                <w:b w:val="1"/>
                <w:bCs w:val="1"/>
                <w:color w:val="auto"/>
              </w:rPr>
              <w:t>Vested ($)</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Elizabeth Barrett</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4"/>
              </w:rPr>
              <w:t>1/3/2019</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277,432</w:t>
            </w:r>
          </w:p>
        </w:tc>
        <w:tc>
          <w:tcPr>
            <w:tcW w:w="1220" w:type="dxa"/>
            <w:vAlign w:val="bottom"/>
          </w:tcPr>
          <w:p>
            <w:pPr>
              <w:ind w:left="5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ind w:left="123"/>
              <w:spacing w:after="0" w:line="162" w:lineRule="exact"/>
              <w:rPr>
                <w:sz w:val="20"/>
                <w:szCs w:val="20"/>
                <w:color w:val="auto"/>
              </w:rPr>
            </w:pPr>
            <w:r>
              <w:rPr>
                <w:rFonts w:ascii="Times New Roman" w:cs="Times New Roman" w:eastAsia="Times New Roman" w:hAnsi="Times New Roman"/>
                <w:sz w:val="16"/>
                <w:szCs w:val="16"/>
                <w:color w:val="auto"/>
                <w:w w:val="94"/>
              </w:rPr>
              <w:t>47.57</w:t>
            </w:r>
          </w:p>
        </w:tc>
        <w:tc>
          <w:tcPr>
            <w:tcW w:w="860" w:type="dxa"/>
            <w:vAlign w:val="bottom"/>
          </w:tcPr>
          <w:p>
            <w:pPr>
              <w:jc w:val="center"/>
              <w:ind w:left="2"/>
              <w:spacing w:after="0" w:line="162" w:lineRule="exact"/>
              <w:rPr>
                <w:sz w:val="20"/>
                <w:szCs w:val="20"/>
                <w:color w:val="auto"/>
              </w:rPr>
            </w:pPr>
            <w:r>
              <w:rPr>
                <w:rFonts w:ascii="Times New Roman" w:cs="Times New Roman" w:eastAsia="Times New Roman" w:hAnsi="Times New Roman"/>
                <w:sz w:val="16"/>
                <w:szCs w:val="16"/>
                <w:color w:val="auto"/>
                <w:w w:val="94"/>
              </w:rPr>
              <w:t>1/3/2029</w:t>
            </w:r>
          </w:p>
        </w:tc>
        <w:tc>
          <w:tcPr>
            <w:tcW w:w="58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23"/>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45,000</w:t>
            </w:r>
          </w:p>
        </w:tc>
        <w:tc>
          <w:tcPr>
            <w:tcW w:w="12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29.41</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1/31/2030</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1/31/2021</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82"/>
              <w:spacing w:after="0"/>
              <w:rPr>
                <w:sz w:val="20"/>
                <w:szCs w:val="20"/>
                <w:color w:val="auto"/>
              </w:rPr>
            </w:pPr>
            <w:r>
              <w:rPr>
                <w:rFonts w:ascii="Times New Roman" w:cs="Times New Roman" w:eastAsia="Times New Roman" w:hAnsi="Times New Roman"/>
                <w:sz w:val="16"/>
                <w:szCs w:val="16"/>
                <w:color w:val="auto"/>
                <w:w w:val="99"/>
              </w:rPr>
              <w:t>13,334</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6"/>
              </w:rPr>
              <w:t>200,010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100,000</w:t>
            </w:r>
          </w:p>
        </w:tc>
        <w:tc>
          <w:tcPr>
            <w:tcW w:w="12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50,000</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22.07</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1/31/2031</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6"/>
              </w:rPr>
              <w:t>750,000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50,000</w:t>
            </w:r>
          </w:p>
        </w:tc>
        <w:tc>
          <w:tcPr>
            <w:tcW w:w="12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100,000</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2"/>
              </w:rPr>
              <w:t>7.72</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1/31/2032</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1/31/2023</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75,000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1,125,000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125,000</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10.39</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1/31/2033</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1,875,000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Mark P. Schoenberg, M.D.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9/7/2023</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1,500,000</w:t>
            </w:r>
          </w:p>
        </w:tc>
        <w:tc>
          <w:tcPr>
            <w:tcW w:w="0" w:type="dxa"/>
            <w:vAlign w:val="bottom"/>
          </w:tcPr>
          <w:p>
            <w:pPr>
              <w:spacing w:after="0"/>
              <w:rPr>
                <w:sz w:val="1"/>
                <w:szCs w:val="1"/>
                <w:color w:val="auto"/>
              </w:rPr>
            </w:pPr>
          </w:p>
        </w:tc>
      </w:tr>
      <w:tr>
        <w:trPr>
          <w:trHeight w:val="187"/>
        </w:trPr>
        <w:tc>
          <w:tcPr>
            <w:tcW w:w="188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12/7/2017</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39.26</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12/7/2027</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1/26/2019</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42.50</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1/26/2029</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29.41</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1/31/2030</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14,000</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7,000</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22.07</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1/31/2031</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105,000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1/31/2021</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2,000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4,021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8,043</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2"/>
              </w:rPr>
              <w:t>7.72</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1/31/2032</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120,645</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1/31/2022</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2,667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40,005</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1/31/2023</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10,000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30,000</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10.39</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1/31/2033</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450,000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6/8/2023</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30,000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450,000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Jason Smith</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9/7/2023</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5,000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75,000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80" w:type="dxa"/>
            <w:vAlign w:val="bottom"/>
            <w:gridSpan w:val="2"/>
            <w:vMerge w:val="continue"/>
          </w:tcPr>
          <w:p>
            <w:pPr>
              <w:spacing w:after="0"/>
              <w:rPr>
                <w:sz w:val="16"/>
                <w:szCs w:val="16"/>
                <w:color w:val="auto"/>
              </w:rPr>
            </w:pPr>
          </w:p>
        </w:tc>
        <w:tc>
          <w:tcPr>
            <w:tcW w:w="1000" w:type="dxa"/>
            <w:vAlign w:val="bottom"/>
          </w:tcPr>
          <w:p>
            <w:pPr>
              <w:jc w:val="center"/>
              <w:spacing w:after="0" w:line="187" w:lineRule="exact"/>
              <w:rPr>
                <w:sz w:val="20"/>
                <w:szCs w:val="20"/>
                <w:color w:val="auto"/>
              </w:rPr>
            </w:pPr>
            <w:r>
              <w:rPr>
                <w:rFonts w:ascii="Times New Roman" w:cs="Times New Roman" w:eastAsia="Times New Roman" w:hAnsi="Times New Roman"/>
                <w:sz w:val="14"/>
                <w:szCs w:val="14"/>
                <w:color w:val="auto"/>
              </w:rPr>
              <w:t xml:space="preserve">10/1/2020 </w:t>
            </w:r>
            <w:r>
              <w:rPr>
                <w:rFonts w:ascii="Times New Roman" w:cs="Times New Roman" w:eastAsia="Times New Roman" w:hAnsi="Times New Roman"/>
                <w:sz w:val="21"/>
                <w:szCs w:val="21"/>
                <w:color w:val="auto"/>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60,000</w:t>
            </w:r>
          </w:p>
        </w:tc>
        <w:tc>
          <w:tcPr>
            <w:tcW w:w="12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4"/>
              </w:rPr>
              <w:t>19.66</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10/1/2030</w:t>
            </w:r>
          </w:p>
        </w:tc>
        <w:tc>
          <w:tcPr>
            <w:tcW w:w="580" w:type="dxa"/>
            <w:vAlign w:val="bottom"/>
          </w:tcPr>
          <w:p>
            <w:pPr>
              <w:spacing w:after="0"/>
              <w:rPr>
                <w:sz w:val="16"/>
                <w:szCs w:val="16"/>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ind w:lef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1/31/2021</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82"/>
              <w:spacing w:after="0"/>
              <w:rPr>
                <w:sz w:val="20"/>
                <w:szCs w:val="20"/>
                <w:color w:val="auto"/>
              </w:rPr>
            </w:pPr>
            <w:r>
              <w:rPr>
                <w:rFonts w:ascii="Times New Roman" w:cs="Times New Roman" w:eastAsia="Times New Roman" w:hAnsi="Times New Roman"/>
                <w:sz w:val="16"/>
                <w:szCs w:val="16"/>
                <w:color w:val="auto"/>
                <w:w w:val="99"/>
              </w:rPr>
              <w:t>834</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5"/>
              </w:rPr>
              <w:t>12,510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5,333</w:t>
            </w:r>
          </w:p>
        </w:tc>
        <w:tc>
          <w:tcPr>
            <w:tcW w:w="12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2,667</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22.07</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1/31/2031</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5"/>
              </w:rPr>
              <w:t>40,005</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6/5/2021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10,000</w:t>
            </w:r>
          </w:p>
        </w:tc>
        <w:tc>
          <w:tcPr>
            <w:tcW w:w="12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5,000</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17.98</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4"/>
              </w:rPr>
              <w:t>6/5/2031</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5"/>
              </w:rPr>
              <w:t>75,000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1/31/2022</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82"/>
              <w:spacing w:after="0"/>
              <w:rPr>
                <w:sz w:val="20"/>
                <w:szCs w:val="20"/>
                <w:color w:val="auto"/>
              </w:rPr>
            </w:pPr>
            <w:r>
              <w:rPr>
                <w:rFonts w:ascii="Times New Roman" w:cs="Times New Roman" w:eastAsia="Times New Roman" w:hAnsi="Times New Roman"/>
                <w:sz w:val="16"/>
                <w:szCs w:val="16"/>
                <w:color w:val="auto"/>
                <w:w w:val="99"/>
              </w:rPr>
              <w:t>5,000</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5"/>
              </w:rPr>
              <w:t>75,000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10,000</w:t>
            </w:r>
          </w:p>
        </w:tc>
        <w:tc>
          <w:tcPr>
            <w:tcW w:w="122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20,000</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7.72</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1/31/2032</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6"/>
              </w:rPr>
              <w:t>300,000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1/31/2023</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20,000</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6"/>
              </w:rPr>
              <w:t>300,000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1/31/2023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40,000</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10.39</w:t>
            </w: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5"/>
              </w:rPr>
              <w:t>1/31/2033</w:t>
            </w:r>
          </w:p>
        </w:tc>
        <w:tc>
          <w:tcPr>
            <w:tcW w:w="5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600,000</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9/7/2023</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10,000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w:t>
            </w: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60" w:hanging="286"/>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to Ms. Barrett, Dr. Schoenberg, and Mr. Smith vest in equal annual installments over three years from the vesting commencement date.</w:t>
      </w:r>
    </w:p>
    <w:p>
      <w:pPr>
        <w:spacing w:after="0" w:line="189" w:lineRule="exact"/>
        <w:rPr>
          <w:rFonts w:ascii="Times New Roman" w:cs="Times New Roman" w:eastAsia="Times New Roman" w:hAnsi="Times New Roman"/>
          <w:sz w:val="16"/>
          <w:szCs w:val="16"/>
          <w:color w:val="auto"/>
        </w:rPr>
      </w:pPr>
    </w:p>
    <w:p>
      <w:pPr>
        <w:ind w:left="560" w:right="100" w:hanging="286"/>
        <w:spacing w:after="0" w:line="268"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to purchase our ordinary shares were granted with a per share exercise price equal to the fair market value of one ordinary share on the date of grant, as determined in good faith by our Board.</w:t>
      </w:r>
    </w:p>
    <w:p>
      <w:pPr>
        <w:spacing w:after="0" w:line="149" w:lineRule="exact"/>
        <w:rPr>
          <w:rFonts w:ascii="Times New Roman" w:cs="Times New Roman" w:eastAsia="Times New Roman" w:hAnsi="Times New Roman"/>
          <w:sz w:val="16"/>
          <w:szCs w:val="16"/>
          <w:color w:val="auto"/>
        </w:rPr>
      </w:pPr>
    </w:p>
    <w:p>
      <w:pPr>
        <w:ind w:left="560" w:right="380" w:hanging="286"/>
        <w:spacing w:after="0" w:line="268"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 grants with amounts that have not yet vested vest in equal annual installments over three years from the grant date. Market value is based on the Company's share price as of December 31, 2023.</w:t>
      </w:r>
    </w:p>
    <w:p>
      <w:pPr>
        <w:spacing w:after="0" w:line="149" w:lineRule="exact"/>
        <w:rPr>
          <w:rFonts w:ascii="Times New Roman" w:cs="Times New Roman" w:eastAsia="Times New Roman" w:hAnsi="Times New Roman"/>
          <w:sz w:val="16"/>
          <w:szCs w:val="16"/>
          <w:color w:val="auto"/>
        </w:rPr>
      </w:pPr>
    </w:p>
    <w:p>
      <w:pPr>
        <w:ind w:left="560" w:right="300" w:hanging="286"/>
        <w:spacing w:after="0" w:line="268"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PSUs which vest upon the earlier of the receipt of U.S. regulatory approval for our lead product candidate UGN-102 in the three years following the grant or the occurrence of a change in control. Market value is based on the Company's share price as of December 31, 2023.</w:t>
      </w:r>
    </w:p>
    <w:p>
      <w:pPr>
        <w:spacing w:after="0" w:line="149" w:lineRule="exact"/>
        <w:rPr>
          <w:rFonts w:ascii="Times New Roman" w:cs="Times New Roman" w:eastAsia="Times New Roman" w:hAnsi="Times New Roman"/>
          <w:sz w:val="16"/>
          <w:szCs w:val="16"/>
          <w:color w:val="auto"/>
        </w:rPr>
      </w:pPr>
    </w:p>
    <w:p>
      <w:pPr>
        <w:ind w:left="560" w:right="160" w:hanging="286"/>
        <w:spacing w:after="0" w:line="268"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granted to Mr. Smith in 2020 were granted as inducement awards under equity compensation plans not approved by security holders. All other equity awards were granted under our 2017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9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6"/>
          <w:szCs w:val="16"/>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or Compensation Committee.</w:t>
      </w: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Non-Employee Director Compensation</w:t>
      </w:r>
    </w:p>
    <w:p>
      <w:pPr>
        <w:spacing w:after="0" w:line="19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6"/>
          <w:szCs w:val="16"/>
          <w:color w:val="auto"/>
        </w:rPr>
        <w:t>The following table sets forth in summary form information concerning the compensation that we paid or was earned or awarded during the year ended December 31, 2023 to each of our non-employee directors: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2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7"/>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2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80" w:type="dxa"/>
            <w:vAlign w:val="bottom"/>
          </w:tcPr>
          <w:p>
            <w:pPr>
              <w:spacing w:after="0"/>
              <w:rPr>
                <w:sz w:val="16"/>
                <w:szCs w:val="16"/>
                <w:color w:val="auto"/>
              </w:rPr>
            </w:pPr>
          </w:p>
        </w:tc>
        <w:tc>
          <w:tcPr>
            <w:tcW w:w="14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6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 xml:space="preserve">($) </w:t>
            </w:r>
            <w:r>
              <w:rPr>
                <w:rFonts w:ascii="Times New Roman" w:cs="Times New Roman" w:eastAsia="Times New Roman" w:hAnsi="Times New Roman"/>
                <w:sz w:val="12"/>
                <w:szCs w:val="12"/>
                <w:b w:val="1"/>
                <w:bCs w:val="1"/>
                <w:color w:val="auto"/>
                <w:w w:val="98"/>
              </w:rPr>
              <w:t>(1)</w:t>
            </w:r>
          </w:p>
        </w:tc>
        <w:tc>
          <w:tcPr>
            <w:tcW w:w="1660" w:type="dxa"/>
            <w:vAlign w:val="bottom"/>
            <w:gridSpan w:val="2"/>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63"/>
        </w:trPr>
        <w:tc>
          <w:tcPr>
            <w:tcW w:w="628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2"/>
                <w:szCs w:val="12"/>
                <w:color w:val="auto"/>
              </w:rPr>
              <w:t xml:space="preserve">Arie Belldegrun, M.D., FACS </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center"/>
              <w:ind w:left="22"/>
              <w:spacing w:after="0" w:line="163" w:lineRule="exact"/>
              <w:rPr>
                <w:sz w:val="20"/>
                <w:szCs w:val="20"/>
                <w:color w:val="auto"/>
              </w:rPr>
            </w:pPr>
            <w:r>
              <w:rPr>
                <w:rFonts w:ascii="Times New Roman" w:cs="Times New Roman" w:eastAsia="Times New Roman" w:hAnsi="Times New Roman"/>
                <w:sz w:val="16"/>
                <w:szCs w:val="16"/>
                <w:color w:val="auto"/>
                <w:w w:val="99"/>
              </w:rPr>
              <w:t>200,000</w:t>
            </w:r>
          </w:p>
        </w:tc>
        <w:tc>
          <w:tcPr>
            <w:tcW w:w="200" w:type="dxa"/>
            <w:vAlign w:val="bottom"/>
          </w:tcPr>
          <w:p>
            <w:pPr>
              <w:spacing w:after="0"/>
              <w:rPr>
                <w:sz w:val="14"/>
                <w:szCs w:val="14"/>
                <w:color w:val="auto"/>
              </w:rPr>
            </w:pPr>
          </w:p>
        </w:tc>
        <w:tc>
          <w:tcPr>
            <w:tcW w:w="1460" w:type="dxa"/>
            <w:vAlign w:val="bottom"/>
            <w:tcBorders>
              <w:top w:val="single" w:sz="8" w:color="auto"/>
            </w:tcBorders>
          </w:tcPr>
          <w:p>
            <w:pPr>
              <w:jc w:val="right"/>
              <w:ind w:right="362"/>
              <w:spacing w:after="0" w:line="163" w:lineRule="exact"/>
              <w:rPr>
                <w:sz w:val="20"/>
                <w:szCs w:val="20"/>
                <w:color w:val="auto"/>
              </w:rPr>
            </w:pPr>
            <w:r>
              <w:rPr>
                <w:rFonts w:ascii="Times New Roman" w:cs="Times New Roman" w:eastAsia="Times New Roman" w:hAnsi="Times New Roman"/>
                <w:sz w:val="16"/>
                <w:szCs w:val="16"/>
                <w:color w:val="auto"/>
              </w:rPr>
              <w:t>142,184</w:t>
            </w:r>
          </w:p>
        </w:tc>
        <w:tc>
          <w:tcPr>
            <w:tcW w:w="180" w:type="dxa"/>
            <w:vAlign w:val="bottom"/>
          </w:tcPr>
          <w:p>
            <w:pPr>
              <w:spacing w:after="0"/>
              <w:rPr>
                <w:sz w:val="14"/>
                <w:szCs w:val="14"/>
                <w:color w:val="auto"/>
              </w:rPr>
            </w:pPr>
          </w:p>
        </w:tc>
        <w:tc>
          <w:tcPr>
            <w:tcW w:w="1480" w:type="dxa"/>
            <w:vAlign w:val="bottom"/>
            <w:tcBorders>
              <w:top w:val="single" w:sz="8" w:color="auto"/>
            </w:tcBorders>
          </w:tcPr>
          <w:p>
            <w:pPr>
              <w:jc w:val="right"/>
              <w:ind w:right="362"/>
              <w:spacing w:after="0" w:line="163" w:lineRule="exact"/>
              <w:rPr>
                <w:sz w:val="20"/>
                <w:szCs w:val="20"/>
                <w:color w:val="auto"/>
              </w:rPr>
            </w:pPr>
            <w:r>
              <w:rPr>
                <w:rFonts w:ascii="Times New Roman" w:cs="Times New Roman" w:eastAsia="Times New Roman" w:hAnsi="Times New Roman"/>
                <w:sz w:val="16"/>
                <w:szCs w:val="16"/>
                <w:color w:val="auto"/>
              </w:rPr>
              <w:t>342,184</w:t>
            </w:r>
          </w:p>
        </w:tc>
      </w:tr>
      <w:tr>
        <w:trPr>
          <w:trHeight w:val="187"/>
        </w:trPr>
        <w:tc>
          <w:tcPr>
            <w:tcW w:w="628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Cynthia M. Butitta </w:t>
            </w:r>
            <w:r>
              <w:rPr>
                <w:rFonts w:ascii="Times New Roman" w:cs="Times New Roman" w:eastAsia="Times New Roman" w:hAnsi="Times New Roman"/>
                <w:sz w:val="21"/>
                <w:szCs w:val="21"/>
                <w:color w:val="auto"/>
                <w:vertAlign w:val="superscript"/>
              </w:rPr>
              <w:t>(3)</w:t>
            </w:r>
          </w:p>
        </w:tc>
        <w:tc>
          <w:tcPr>
            <w:tcW w:w="15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61,875</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142,184</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204,059</w:t>
            </w:r>
          </w:p>
        </w:tc>
      </w:tr>
      <w:tr>
        <w:trPr>
          <w:trHeight w:val="187"/>
        </w:trPr>
        <w:tc>
          <w:tcPr>
            <w:tcW w:w="628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Fred E. Cohen, M.D. D.Phil </w:t>
            </w:r>
            <w:r>
              <w:rPr>
                <w:rFonts w:ascii="Times New Roman" w:cs="Times New Roman" w:eastAsia="Times New Roman" w:hAnsi="Times New Roman"/>
                <w:sz w:val="21"/>
                <w:szCs w:val="21"/>
                <w:color w:val="auto"/>
                <w:vertAlign w:val="superscript"/>
              </w:rPr>
              <w:t>(4)</w:t>
            </w:r>
          </w:p>
        </w:tc>
        <w:tc>
          <w:tcPr>
            <w:tcW w:w="15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51,576</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142,184</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193,760</w:t>
            </w:r>
          </w:p>
        </w:tc>
      </w:tr>
      <w:tr>
        <w:trPr>
          <w:trHeight w:val="187"/>
        </w:trPr>
        <w:tc>
          <w:tcPr>
            <w:tcW w:w="628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Stuart Holden, M.D. </w:t>
            </w:r>
            <w:r>
              <w:rPr>
                <w:rFonts w:ascii="Times New Roman" w:cs="Times New Roman" w:eastAsia="Times New Roman" w:hAnsi="Times New Roman"/>
                <w:sz w:val="21"/>
                <w:szCs w:val="21"/>
                <w:color w:val="auto"/>
                <w:vertAlign w:val="superscript"/>
              </w:rPr>
              <w:t>(5)</w:t>
            </w:r>
          </w:p>
        </w:tc>
        <w:tc>
          <w:tcPr>
            <w:tcW w:w="15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59,348</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142,184</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201,532</w:t>
            </w:r>
          </w:p>
        </w:tc>
      </w:tr>
      <w:tr>
        <w:trPr>
          <w:trHeight w:val="187"/>
        </w:trPr>
        <w:tc>
          <w:tcPr>
            <w:tcW w:w="628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Leana Wen, M.D., M.SC. </w:t>
            </w:r>
            <w:r>
              <w:rPr>
                <w:rFonts w:ascii="Times New Roman" w:cs="Times New Roman" w:eastAsia="Times New Roman" w:hAnsi="Times New Roman"/>
                <w:sz w:val="21"/>
                <w:szCs w:val="21"/>
                <w:color w:val="auto"/>
                <w:vertAlign w:val="superscript"/>
              </w:rPr>
              <w:t>(6)</w:t>
            </w:r>
          </w:p>
        </w:tc>
        <w:tc>
          <w:tcPr>
            <w:tcW w:w="15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52,228</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142,184</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194,412</w:t>
            </w:r>
          </w:p>
        </w:tc>
      </w:tr>
      <w:tr>
        <w:trPr>
          <w:trHeight w:val="187"/>
        </w:trPr>
        <w:tc>
          <w:tcPr>
            <w:tcW w:w="628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Daniel G. Wildman (Wildman Ventures LLC) </w:t>
            </w:r>
            <w:r>
              <w:rPr>
                <w:rFonts w:ascii="Times New Roman" w:cs="Times New Roman" w:eastAsia="Times New Roman" w:hAnsi="Times New Roman"/>
                <w:sz w:val="21"/>
                <w:szCs w:val="21"/>
                <w:color w:val="auto"/>
                <w:vertAlign w:val="superscript"/>
              </w:rPr>
              <w:t>(7)</w:t>
            </w:r>
          </w:p>
        </w:tc>
        <w:tc>
          <w:tcPr>
            <w:tcW w:w="15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50,533</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142,184</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192,717</w:t>
            </w:r>
          </w:p>
        </w:tc>
      </w:tr>
      <w:tr>
        <w:trPr>
          <w:trHeight w:val="345"/>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James A. Robinson, Jr. </w:t>
            </w:r>
            <w:r>
              <w:rPr>
                <w:rFonts w:ascii="Times New Roman" w:cs="Times New Roman" w:eastAsia="Times New Roman" w:hAnsi="Times New Roman"/>
                <w:sz w:val="25"/>
                <w:szCs w:val="25"/>
                <w:color w:val="auto"/>
                <w:vertAlign w:val="superscript"/>
              </w:rPr>
              <w:t>(8)</w:t>
            </w:r>
          </w:p>
        </w:tc>
        <w:tc>
          <w:tcPr>
            <w:tcW w:w="156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w w:val="99"/>
              </w:rPr>
              <w:t>22,118</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291,176</w:t>
            </w:r>
          </w:p>
        </w:tc>
        <w:tc>
          <w:tcPr>
            <w:tcW w:w="166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color w:val="auto"/>
              </w:rPr>
              <w:t>313,294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58420</wp:posOffset>
            </wp:positionV>
            <wp:extent cx="71507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340"/>
          </w:cols>
          <w:pgMar w:left="320" w:top="1266" w:right="239" w:bottom="0" w:gutter="0" w:footer="0" w:header="0"/>
        </w:sectPr>
      </w:pPr>
    </w:p>
    <w:bookmarkStart w:id="14" w:name="page15"/>
    <w:bookmarkEnd w:id="14"/>
    <w:p>
      <w:pPr>
        <w:jc w:val="both"/>
        <w:ind w:left="427" w:hanging="427"/>
        <w:spacing w:after="0" w:line="248" w:lineRule="auto"/>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do not reflect the amounts that may actually be received by our non-employee directors. Instead, these amounts reflect the aggregate grant date fair value of options to purchase our ordinary shares granted to our non-employee Directors during the fiscal year ended December 31, 2023, as computed in accordance with ASC Topic 718. Assumptions used in the calculation of these amounts are included in Note 16 in our Annual Report on Form 10-K for the year ended December 31, 2023, filed with the SEC on March 14, 2024. As required by SEC rules, the amounts reported exclude the impact of estimated forfeitures related to service-based vesting conditions. Our non-employee directors who have received shares will only realize compensation with regard to these options to the extent the market price of our ordinary shares is greater than the exercise price of such options.</w:t>
      </w:r>
    </w:p>
    <w:p>
      <w:pPr>
        <w:spacing w:after="0" w:line="167"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option awards outstanding held by Dr. Belldegrun at December 31, 2023 was 72,500.</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option awards outstanding held by Ms. Butitta at December 31, 2023 was 102,500.</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option awards outstanding held by Dr. Cohen at December 31, 2023 was 77,500.</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option awards outstanding held by Dr. Holden at December 31, 2023 was 62,500.</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option awards outstanding held by Dr. Wen at December 31, 2023 was 10,833.</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option awards outstanding beneficially owned by Mr. Wildman at December 31, 2023 was 9,166.</w:t>
      </w:r>
    </w:p>
    <w:p>
      <w:pPr>
        <w:spacing w:after="0" w:line="189"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option awards outstanding held by Mr. Robinson at December 31, 2023 was 4,166.</w:t>
      </w:r>
    </w:p>
    <w:p>
      <w:pPr>
        <w:spacing w:after="0" w:line="377"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6"/>
          <w:szCs w:val="16"/>
          <w:color w:val="auto"/>
        </w:rPr>
        <w:t>The cash fees paid to or earned by our directors in 2023, as reflected in the table above, were paid pursuant to our director compensation policy in effect in 2023. Pursuant to this policy, directors received $40,000 for their service on the Board, except for our Chair, Dr. Belldegrun, who received $195,000 for his service as Chair of our Board. Members of the Compensation Committee, Nominating and Corporate Governance Committee, and the Compliance Committee, received an additional $5,000 per year, or $15,000 in the case of the committee Chair. Members of the Audit Committee received an additional $7,500 per year, or $20,000 in the case of the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664210</wp:posOffset>
            </wp:positionV>
            <wp:extent cx="715073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497" w:right="319" w:bottom="1440" w:gutter="0" w:footer="0" w:header="0"/>
        </w:sectPr>
      </w:pPr>
    </w:p>
    <w:bookmarkStart w:id="15" w:name="page16"/>
    <w:bookmarkEnd w:id="15"/>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Non-Employee Director Compensation Policy</w:t>
      </w:r>
    </w:p>
    <w:p>
      <w:pPr>
        <w:spacing w:after="0" w:line="192" w:lineRule="exact"/>
        <w:rPr>
          <w:sz w:val="20"/>
          <w:szCs w:val="20"/>
          <w:color w:val="auto"/>
        </w:rPr>
      </w:pPr>
    </w:p>
    <w:p>
      <w:pPr>
        <w:jc w:val="both"/>
        <w:ind w:left="7" w:right="20"/>
        <w:spacing w:after="0" w:line="256" w:lineRule="auto"/>
        <w:rPr>
          <w:sz w:val="20"/>
          <w:szCs w:val="20"/>
          <w:color w:val="auto"/>
        </w:rPr>
      </w:pPr>
      <w:r>
        <w:rPr>
          <w:rFonts w:ascii="Times New Roman" w:cs="Times New Roman" w:eastAsia="Times New Roman" w:hAnsi="Times New Roman"/>
          <w:sz w:val="16"/>
          <w:szCs w:val="16"/>
          <w:color w:val="auto"/>
        </w:rPr>
        <w:t>Our Board adopted a Director Compensation Policy pursuant to which each of our directors who is not an employee of our company, which is currently all directors other than Ms. Barrett, is eligible to receive compensation for service on our Board and committees of our Board. Under the Director Compensation Policy, each non-employee member of our Board is entitled to receive a cash retainer in the following amounts for service in each specified role:</w:t>
      </w:r>
    </w:p>
    <w:p>
      <w:pPr>
        <w:spacing w:after="0" w:line="15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Annual Board Service Retainer</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left="1287" w:hanging="422"/>
        <w:spacing w:after="0"/>
        <w:tabs>
          <w:tab w:leader="none" w:pos="1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Board: $195,000</w:t>
      </w:r>
    </w:p>
    <w:p>
      <w:pPr>
        <w:spacing w:after="0" w:line="18"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eligible directors: $40,000</w:t>
      </w:r>
    </w:p>
    <w:p>
      <w:pPr>
        <w:spacing w:after="0" w:line="174" w:lineRule="exact"/>
        <w:rPr>
          <w:sz w:val="20"/>
          <w:szCs w:val="20"/>
          <w:color w:val="auto"/>
        </w:rPr>
      </w:pPr>
    </w:p>
    <w:p>
      <w:pPr>
        <w:ind w:left="1287" w:hanging="422"/>
        <w:spacing w:after="0"/>
        <w:tabs>
          <w:tab w:leader="none" w:pos="1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 $7,500</w:t>
      </w:r>
    </w:p>
    <w:p>
      <w:pPr>
        <w:spacing w:after="0" w:line="18"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 $5,000</w:t>
      </w:r>
    </w:p>
    <w:p>
      <w:pPr>
        <w:spacing w:after="0" w:line="2"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 $5,000</w:t>
      </w:r>
    </w:p>
    <w:p>
      <w:pPr>
        <w:spacing w:after="0" w:line="2"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Compliance Committee: $5,000</w:t>
      </w:r>
    </w:p>
    <w:p>
      <w:pPr>
        <w:spacing w:after="0" w:line="174" w:lineRule="exact"/>
        <w:rPr>
          <w:sz w:val="20"/>
          <w:szCs w:val="20"/>
          <w:color w:val="auto"/>
        </w:rPr>
      </w:pPr>
    </w:p>
    <w:p>
      <w:pPr>
        <w:ind w:left="1287" w:hanging="422"/>
        <w:spacing w:after="0"/>
        <w:tabs>
          <w:tab w:leader="none" w:pos="12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Audit Committee: $20,000</w:t>
      </w:r>
    </w:p>
    <w:p>
      <w:pPr>
        <w:spacing w:after="0" w:line="18"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Compensation Committee: $15,000</w:t>
      </w:r>
    </w:p>
    <w:p>
      <w:pPr>
        <w:spacing w:after="0" w:line="2"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Nominating and Corporate Governance Committee: $15,000</w:t>
      </w:r>
    </w:p>
    <w:p>
      <w:pPr>
        <w:spacing w:after="0" w:line="2" w:lineRule="exact"/>
        <w:rPr>
          <w:rFonts w:ascii="Times New Roman" w:cs="Times New Roman" w:eastAsia="Times New Roman" w:hAnsi="Times New Roman"/>
          <w:sz w:val="16"/>
          <w:szCs w:val="16"/>
          <w:color w:val="auto"/>
        </w:rPr>
      </w:pPr>
    </w:p>
    <w:p>
      <w:pPr>
        <w:ind w:left="1287" w:hanging="422"/>
        <w:spacing w:after="0"/>
        <w:tabs>
          <w:tab w:leader="none" w:pos="12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Compliance Committee: $15,000</w:t>
      </w:r>
    </w:p>
    <w:p>
      <w:pPr>
        <w:spacing w:after="0" w:line="174" w:lineRule="exact"/>
        <w:rPr>
          <w:sz w:val="20"/>
          <w:szCs w:val="20"/>
          <w:color w:val="auto"/>
        </w:rPr>
      </w:pPr>
    </w:p>
    <w:p>
      <w:pPr>
        <w:jc w:val="both"/>
        <w:ind w:left="7"/>
        <w:spacing w:after="0" w:line="286" w:lineRule="auto"/>
        <w:rPr>
          <w:sz w:val="20"/>
          <w:szCs w:val="20"/>
          <w:color w:val="auto"/>
        </w:rPr>
      </w:pPr>
      <w:r>
        <w:rPr>
          <w:rFonts w:ascii="Times New Roman" w:cs="Times New Roman" w:eastAsia="Times New Roman" w:hAnsi="Times New Roman"/>
          <w:sz w:val="14"/>
          <w:szCs w:val="14"/>
          <w:color w:val="auto"/>
        </w:rPr>
        <w:t>Each non-employee director is also entitled to receive an initial option grant to purchase 20,000 of our ordinary shares, and an annual option grant to purchase 10,000 of our ordinary shares on the date of each annual shareholders meeting of the Company, contingent upon their continued service as a non-employee member of the Board. If a director joins the Board between annual meetings, the annual grant awarded at his/her first annual meeting will be pro-rated based on the duration of service leading up to the meeting date:</w:t>
      </w:r>
    </w:p>
    <w:p>
      <w:pPr>
        <w:spacing w:after="0" w:line="1" w:lineRule="exact"/>
        <w:rPr>
          <w:sz w:val="20"/>
          <w:szCs w:val="20"/>
          <w:color w:val="auto"/>
        </w:rPr>
      </w:pPr>
    </w:p>
    <w:p>
      <w:pPr>
        <w:ind w:left="187" w:hanging="187"/>
        <w:spacing w:after="0"/>
        <w:tabs>
          <w:tab w:leader="none" w:pos="1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service between 0 (zero) and 90 (ninety) days – no grant; (ii) for service between 91 (ninety-one) and 180 (one hundred eighty) days – 5,000 (five thousand) options; and</w:t>
      </w:r>
    </w:p>
    <w:p>
      <w:pPr>
        <w:spacing w:after="0" w:line="2" w:lineRule="exact"/>
        <w:rPr>
          <w:rFonts w:ascii="Times New Roman" w:cs="Times New Roman" w:eastAsia="Times New Roman" w:hAnsi="Times New Roman"/>
          <w:sz w:val="16"/>
          <w:szCs w:val="16"/>
          <w:color w:val="auto"/>
        </w:rPr>
      </w:pPr>
    </w:p>
    <w:p>
      <w:pPr>
        <w:jc w:val="both"/>
        <w:ind w:left="7" w:hanging="7"/>
        <w:spacing w:after="0" w:line="245" w:lineRule="auto"/>
        <w:tabs>
          <w:tab w:leader="none" w:pos="28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service of at least 181 (one hundred eighty-one) days – 10,000 (ten thousand) options. The exercise price per share of each stock option granted under the non-employee director compensation policy will be equal to 100% of the fair market value of the underlying ordinary share on the date of grant. The initial option grants vest in equal quarterly installments over a period of two years. The annual option grants vest in equal quarterly installments over a period of one year.</w:t>
      </w:r>
    </w:p>
    <w:p>
      <w:pPr>
        <w:spacing w:after="0" w:line="1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Additionally, a grant in excess of the 20,000 ordinary share initial option grant may be applied as an inducement for eligible or prospective non-employee directors.</w:t>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Our non-employee directors also received reimbursement of their actual out-of-pocket costs and expenses incurred in connection with attending Board meetings.</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9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following table summarizes our compensation plans under which our equity securities are authorized for issuance at December 31, 2023:</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80" w:type="dxa"/>
            <w:vAlign w:val="bottom"/>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available for</w:t>
            </w:r>
          </w:p>
        </w:tc>
        <w:tc>
          <w:tcPr>
            <w:tcW w:w="80" w:type="dxa"/>
            <w:vAlign w:val="bottom"/>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future issuance under</w:t>
            </w:r>
          </w:p>
        </w:tc>
        <w:tc>
          <w:tcPr>
            <w:tcW w:w="80" w:type="dxa"/>
            <w:vAlign w:val="bottom"/>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 be issued upon</w:t>
            </w:r>
          </w:p>
        </w:tc>
        <w:tc>
          <w:tcPr>
            <w:tcW w:w="1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Weighted-average exercise</w:t>
            </w:r>
          </w:p>
        </w:tc>
        <w:tc>
          <w:tcPr>
            <w:tcW w:w="1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80" w:type="dxa"/>
            <w:vAlign w:val="bottom"/>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exercise of</w:t>
            </w:r>
          </w:p>
        </w:tc>
        <w:tc>
          <w:tcPr>
            <w:tcW w:w="1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 of outstanding</w:t>
            </w:r>
          </w:p>
        </w:tc>
        <w:tc>
          <w:tcPr>
            <w:tcW w:w="1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 plans</w:t>
            </w:r>
          </w:p>
        </w:tc>
        <w:tc>
          <w:tcPr>
            <w:tcW w:w="80" w:type="dxa"/>
            <w:vAlign w:val="bottom"/>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outstanding options,</w:t>
            </w:r>
          </w:p>
        </w:tc>
        <w:tc>
          <w:tcPr>
            <w:tcW w:w="1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(excluding securities</w:t>
            </w:r>
          </w:p>
        </w:tc>
        <w:tc>
          <w:tcPr>
            <w:tcW w:w="80" w:type="dxa"/>
            <w:vAlign w:val="bottom"/>
          </w:tcPr>
          <w:p>
            <w:pPr>
              <w:spacing w:after="0"/>
              <w:rPr>
                <w:sz w:val="16"/>
                <w:szCs w:val="16"/>
                <w:color w:val="auto"/>
              </w:rPr>
            </w:pPr>
          </w:p>
        </w:tc>
      </w:tr>
      <w:tr>
        <w:trPr>
          <w:trHeight w:val="205"/>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 and rights</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5"/>
                <w:szCs w:val="15"/>
                <w:b w:val="1"/>
                <w:bCs w:val="1"/>
                <w:color w:val="auto"/>
              </w:rPr>
              <w:t>warrants and rights</w:t>
            </w:r>
            <w:r>
              <w:rPr>
                <w:rFonts w:ascii="Times New Roman" w:cs="Times New Roman" w:eastAsia="Times New Roman" w:hAnsi="Times New Roman"/>
                <w:sz w:val="23"/>
                <w:szCs w:val="23"/>
                <w:b w:val="1"/>
                <w:bCs w:val="1"/>
                <w:color w:val="auto"/>
                <w:vertAlign w:val="superscript"/>
              </w:rPr>
              <w:t>(3)</w:t>
            </w:r>
          </w:p>
        </w:tc>
        <w:tc>
          <w:tcPr>
            <w:tcW w:w="1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reflected in column (a))</w:t>
            </w:r>
          </w:p>
        </w:tc>
        <w:tc>
          <w:tcPr>
            <w:tcW w:w="80" w:type="dxa"/>
            <w:vAlign w:val="bottom"/>
          </w:tcPr>
          <w:p>
            <w:pPr>
              <w:spacing w:after="0"/>
              <w:rPr>
                <w:sz w:val="17"/>
                <w:szCs w:val="17"/>
                <w:color w:val="auto"/>
              </w:rPr>
            </w:pPr>
          </w:p>
        </w:tc>
      </w:tr>
      <w:tr>
        <w:trPr>
          <w:trHeight w:val="162"/>
        </w:trPr>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18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1"/>
              </w:rPr>
              <w:t>(b)</w:t>
            </w:r>
          </w:p>
        </w:tc>
        <w:tc>
          <w:tcPr>
            <w:tcW w:w="18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w:t>
            </w:r>
          </w:p>
        </w:tc>
        <w:tc>
          <w:tcPr>
            <w:tcW w:w="80" w:type="dxa"/>
            <w:vAlign w:val="bottom"/>
          </w:tcPr>
          <w:p>
            <w:pPr>
              <w:spacing w:after="0"/>
              <w:rPr>
                <w:sz w:val="14"/>
                <w:szCs w:val="14"/>
                <w:color w:val="auto"/>
              </w:rPr>
            </w:pPr>
          </w:p>
        </w:tc>
      </w:tr>
      <w:tr>
        <w:trPr>
          <w:trHeight w:val="187"/>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900" w:type="dxa"/>
            <w:vAlign w:val="bottom"/>
            <w:gridSpan w:val="2"/>
          </w:tcPr>
          <w:p>
            <w:pPr>
              <w:jc w:val="center"/>
              <w:ind w:left="86"/>
              <w:spacing w:after="0"/>
              <w:rPr>
                <w:sz w:val="20"/>
                <w:szCs w:val="20"/>
                <w:color w:val="auto"/>
              </w:rPr>
            </w:pPr>
            <w:r>
              <w:rPr>
                <w:rFonts w:ascii="Times New Roman" w:cs="Times New Roman" w:eastAsia="Times New Roman" w:hAnsi="Times New Roman"/>
                <w:sz w:val="16"/>
                <w:szCs w:val="16"/>
                <w:color w:val="auto"/>
                <w:w w:val="96"/>
              </w:rPr>
              <w:t>2,493,796</w:t>
            </w:r>
          </w:p>
        </w:tc>
        <w:tc>
          <w:tcPr>
            <w:tcW w:w="2000" w:type="dxa"/>
            <w:vAlign w:val="bottom"/>
            <w:gridSpan w:val="2"/>
          </w:tcPr>
          <w:p>
            <w:pPr>
              <w:jc w:val="right"/>
              <w:ind w:right="583"/>
              <w:spacing w:after="0"/>
              <w:rPr>
                <w:sz w:val="20"/>
                <w:szCs w:val="20"/>
                <w:color w:val="auto"/>
              </w:rPr>
            </w:pPr>
            <w:r>
              <w:rPr>
                <w:rFonts w:ascii="Times New Roman" w:cs="Times New Roman" w:eastAsia="Times New Roman" w:hAnsi="Times New Roman"/>
                <w:sz w:val="16"/>
                <w:szCs w:val="16"/>
                <w:color w:val="auto"/>
              </w:rPr>
              <w:t>$25.98</w:t>
            </w:r>
          </w:p>
        </w:tc>
        <w:tc>
          <w:tcPr>
            <w:tcW w:w="2020" w:type="dxa"/>
            <w:vAlign w:val="bottom"/>
            <w:gridSpan w:val="2"/>
          </w:tcPr>
          <w:p>
            <w:pPr>
              <w:jc w:val="center"/>
              <w:ind w:left="182"/>
              <w:spacing w:after="0"/>
              <w:rPr>
                <w:sz w:val="20"/>
                <w:szCs w:val="20"/>
                <w:color w:val="auto"/>
              </w:rPr>
            </w:pPr>
            <w:r>
              <w:rPr>
                <w:rFonts w:ascii="Times New Roman" w:cs="Times New Roman" w:eastAsia="Times New Roman" w:hAnsi="Times New Roman"/>
                <w:sz w:val="16"/>
                <w:szCs w:val="16"/>
                <w:color w:val="auto"/>
                <w:w w:val="99"/>
              </w:rPr>
              <w:t>819,351</w:t>
            </w:r>
          </w:p>
        </w:tc>
        <w:tc>
          <w:tcPr>
            <w:tcW w:w="80" w:type="dxa"/>
            <w:vAlign w:val="bottom"/>
          </w:tcPr>
          <w:p>
            <w:pPr>
              <w:spacing w:after="0"/>
              <w:rPr>
                <w:sz w:val="16"/>
                <w:szCs w:val="16"/>
                <w:color w:val="auto"/>
              </w:rPr>
            </w:pPr>
          </w:p>
        </w:tc>
      </w:tr>
      <w:tr>
        <w:trPr>
          <w:trHeight w:val="187"/>
        </w:trPr>
        <w:tc>
          <w:tcPr>
            <w:tcW w:w="526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Equity compensation plans not approved by security holders</w:t>
            </w:r>
            <w:r>
              <w:rPr>
                <w:rFonts w:ascii="Times New Roman" w:cs="Times New Roman" w:eastAsia="Times New Roman" w:hAnsi="Times New Roman"/>
                <w:sz w:val="21"/>
                <w:szCs w:val="21"/>
                <w:color w:val="auto"/>
                <w:vertAlign w:val="superscript"/>
              </w:rPr>
              <w:t>(1)</w:t>
            </w:r>
          </w:p>
        </w:tc>
        <w:tc>
          <w:tcPr>
            <w:tcW w:w="1900" w:type="dxa"/>
            <w:vAlign w:val="bottom"/>
            <w:gridSpan w:val="2"/>
          </w:tcPr>
          <w:p>
            <w:pPr>
              <w:jc w:val="center"/>
              <w:ind w:left="86"/>
              <w:spacing w:after="0" w:line="187" w:lineRule="exact"/>
              <w:rPr>
                <w:sz w:val="20"/>
                <w:szCs w:val="20"/>
                <w:color w:val="auto"/>
              </w:rPr>
            </w:pPr>
            <w:r>
              <w:rPr>
                <w:rFonts w:ascii="Times New Roman" w:cs="Times New Roman" w:eastAsia="Times New Roman" w:hAnsi="Times New Roman"/>
                <w:sz w:val="14"/>
                <w:szCs w:val="14"/>
                <w:color w:val="auto"/>
              </w:rPr>
              <w:t>192,000</w:t>
            </w:r>
            <w:r>
              <w:rPr>
                <w:rFonts w:ascii="Times New Roman" w:cs="Times New Roman" w:eastAsia="Times New Roman" w:hAnsi="Times New Roman"/>
                <w:sz w:val="21"/>
                <w:szCs w:val="21"/>
                <w:color w:val="auto"/>
                <w:vertAlign w:val="superscript"/>
              </w:rPr>
              <w:t>(2)</w:t>
            </w:r>
          </w:p>
        </w:tc>
        <w:tc>
          <w:tcPr>
            <w:tcW w:w="2000" w:type="dxa"/>
            <w:vAlign w:val="bottom"/>
            <w:gridSpan w:val="2"/>
          </w:tcPr>
          <w:p>
            <w:pPr>
              <w:jc w:val="right"/>
              <w:ind w:right="583"/>
              <w:spacing w:after="0"/>
              <w:rPr>
                <w:sz w:val="20"/>
                <w:szCs w:val="20"/>
                <w:color w:val="auto"/>
              </w:rPr>
            </w:pPr>
            <w:r>
              <w:rPr>
                <w:rFonts w:ascii="Times New Roman" w:cs="Times New Roman" w:eastAsia="Times New Roman" w:hAnsi="Times New Roman"/>
                <w:sz w:val="16"/>
                <w:szCs w:val="16"/>
                <w:color w:val="auto"/>
              </w:rPr>
              <w:t>$13.43</w:t>
            </w:r>
          </w:p>
        </w:tc>
        <w:tc>
          <w:tcPr>
            <w:tcW w:w="2020" w:type="dxa"/>
            <w:vAlign w:val="bottom"/>
            <w:gridSpan w:val="2"/>
          </w:tcPr>
          <w:p>
            <w:pPr>
              <w:jc w:val="center"/>
              <w:ind w:left="182"/>
              <w:spacing w:after="0"/>
              <w:rPr>
                <w:sz w:val="20"/>
                <w:szCs w:val="20"/>
                <w:color w:val="auto"/>
              </w:rPr>
            </w:pPr>
            <w:r>
              <w:rPr>
                <w:rFonts w:ascii="Times New Roman" w:cs="Times New Roman" w:eastAsia="Times New Roman" w:hAnsi="Times New Roman"/>
                <w:sz w:val="16"/>
                <w:szCs w:val="16"/>
                <w:color w:val="auto"/>
                <w:w w:val="99"/>
              </w:rPr>
              <w:t>190,263</w:t>
            </w:r>
          </w:p>
        </w:tc>
        <w:tc>
          <w:tcPr>
            <w:tcW w:w="80" w:type="dxa"/>
            <w:vAlign w:val="bottom"/>
          </w:tcPr>
          <w:p>
            <w:pPr>
              <w:spacing w:after="0"/>
              <w:rPr>
                <w:sz w:val="16"/>
                <w:szCs w:val="16"/>
                <w:color w:val="auto"/>
              </w:rPr>
            </w:pP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gridSpan w:val="2"/>
          </w:tcPr>
          <w:p>
            <w:pPr>
              <w:jc w:val="center"/>
              <w:ind w:left="86"/>
              <w:spacing w:after="0"/>
              <w:rPr>
                <w:sz w:val="20"/>
                <w:szCs w:val="20"/>
                <w:color w:val="auto"/>
              </w:rPr>
            </w:pPr>
            <w:r>
              <w:rPr>
                <w:rFonts w:ascii="Times New Roman" w:cs="Times New Roman" w:eastAsia="Times New Roman" w:hAnsi="Times New Roman"/>
                <w:sz w:val="16"/>
                <w:szCs w:val="16"/>
                <w:color w:val="auto"/>
                <w:w w:val="96"/>
              </w:rPr>
              <w:t>2,685,796</w:t>
            </w:r>
          </w:p>
        </w:tc>
        <w:tc>
          <w:tcPr>
            <w:tcW w:w="2000" w:type="dxa"/>
            <w:vAlign w:val="bottom"/>
            <w:gridSpan w:val="2"/>
          </w:tcPr>
          <w:p>
            <w:pPr>
              <w:jc w:val="right"/>
              <w:ind w:right="583"/>
              <w:spacing w:after="0"/>
              <w:rPr>
                <w:sz w:val="20"/>
                <w:szCs w:val="20"/>
                <w:color w:val="auto"/>
              </w:rPr>
            </w:pPr>
            <w:r>
              <w:rPr>
                <w:rFonts w:ascii="Times New Roman" w:cs="Times New Roman" w:eastAsia="Times New Roman" w:hAnsi="Times New Roman"/>
                <w:sz w:val="16"/>
                <w:szCs w:val="16"/>
                <w:color w:val="auto"/>
              </w:rPr>
              <w:t>$25.09</w:t>
            </w:r>
          </w:p>
        </w:tc>
        <w:tc>
          <w:tcPr>
            <w:tcW w:w="202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color w:val="auto"/>
                <w:w w:val="96"/>
              </w:rPr>
              <w:t>1,009,614</w:t>
            </w:r>
          </w:p>
        </w:tc>
        <w:tc>
          <w:tcPr>
            <w:tcW w:w="8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67" w:right="20" w:hanging="286"/>
        <w:spacing w:after="0" w:line="246" w:lineRule="auto"/>
        <w:tabs>
          <w:tab w:leader="none" w:pos="56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2019, we adopted the UroGen Pharma Ltd. 2019 Inducement Plan (the “Inducement Plan”) without the approval of our security holders. Under the Inducement Plan, the Company is authorized to issue up to 900,000 ordinary shares pursuant to awards issued under the Inducement Plan. In December 2021, the Board approved a 300,000 increase in the share reserve of the Inducement plan. Our Inducement Plan provides for the grant of nonstatutory stock options, restricted stock unit awards, and other awards. The only persons eligible to receive awards under our Inducement Plan are individuals who satisfy the standards for inducement grants under Nasdaq Marketplace Rule 5635(c)(4) or 5635(c)(3) and the related guidance under Nasdaq IM 5635-1, including individuals who were not previously an employee or director of the Company or are following a bona fide period of non-employment, in each case as an inducement material to such individual’s agreement to enter into employment with the Company. In addition, awards granted under our Inducement Plan must be approved by either a majority of the Company’s “independent directors” (as such term is defined in Nasdaq Marketplace Rule 5605(a)(2)) or the Compensation Committee, provided such committee comprises solely independent directors. The terms of our Inducement Plan are otherwise substantially similar to our Amended 2017 Plan (including with respect to the treatment of awards upon corporate transactions involving us or certain changes in our capitalization).</w:t>
      </w:r>
    </w:p>
    <w:p>
      <w:pPr>
        <w:spacing w:after="0" w:line="170" w:lineRule="exact"/>
        <w:rPr>
          <w:rFonts w:ascii="Times New Roman" w:cs="Times New Roman" w:eastAsia="Times New Roman" w:hAnsi="Times New Roman"/>
          <w:sz w:val="16"/>
          <w:szCs w:val="16"/>
          <w:color w:val="auto"/>
        </w:rPr>
      </w:pPr>
    </w:p>
    <w:p>
      <w:pPr>
        <w:jc w:val="both"/>
        <w:ind w:left="567" w:right="40" w:hanging="286"/>
        <w:spacing w:after="0" w:line="256" w:lineRule="auto"/>
        <w:tabs>
          <w:tab w:leader="none" w:pos="56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options to purchase 192,000 ordinary shares and restricted stock units covering 265,254 shares were outstanding under the Inducement Plan. All options granted under the Inducement Plan have a maximum term of ten years. The Inducement Plan, and awards thereunder, may be amended by the Board at any time or from time to time in accordance with the terms of the Inducement Plan and applicable law.</w:t>
      </w:r>
    </w:p>
    <w:p>
      <w:pPr>
        <w:spacing w:after="0" w:line="158"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exercise price does not take into account the shares subject to outstanding restricted stock units which have no exercise price.</w:t>
      </w:r>
    </w:p>
    <w:p>
      <w:pPr>
        <w:spacing w:after="0" w:line="200" w:lineRule="exact"/>
        <w:rPr>
          <w:sz w:val="20"/>
          <w:szCs w:val="20"/>
          <w:color w:val="auto"/>
        </w:rPr>
      </w:pPr>
    </w:p>
    <w:p>
      <w:pPr>
        <w:spacing w:after="0" w:line="3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SECURITY OWNERSHIP OF</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CERTAIN BENEFICIAL OWNERS AND MANAGEMENT</w:t>
      </w: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following table sets forth certain information relating to the beneficial ownership of our ordinary shares as of March 31, 2024, by:</w:t>
      </w:r>
    </w:p>
    <w:p>
      <w:pPr>
        <w:spacing w:after="0" w:line="190" w:lineRule="exact"/>
        <w:rPr>
          <w:sz w:val="20"/>
          <w:szCs w:val="20"/>
          <w:color w:val="auto"/>
        </w:rPr>
      </w:pPr>
    </w:p>
    <w:p>
      <w:pPr>
        <w:ind w:left="567" w:hanging="286"/>
        <w:spacing w:after="0"/>
        <w:tabs>
          <w:tab w:leader="none" w:pos="5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known by us to beneficially own more than 5% of our outstanding ordinary shares;</w:t>
      </w:r>
    </w:p>
    <w:p>
      <w:pPr>
        <w:spacing w:after="0" w:line="18"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each nominee for director;</w:t>
      </w:r>
    </w:p>
    <w:p>
      <w:pPr>
        <w:spacing w:after="0" w:line="2"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 and</w:t>
      </w:r>
    </w:p>
    <w:p>
      <w:pPr>
        <w:sectPr>
          <w:pgSz w:w="11900" w:h="16838" w:orient="portrait"/>
          <w:cols w:equalWidth="0" w:num="1">
            <w:col w:w="11267"/>
          </w:cols>
          <w:pgMar w:left="313" w:top="1440" w:right="319" w:bottom="0" w:gutter="0" w:footer="0" w:header="0"/>
        </w:sectPr>
      </w:pPr>
    </w:p>
    <w:bookmarkStart w:id="16" w:name="page17"/>
    <w:bookmarkEnd w:id="16"/>
    <w:p>
      <w:pPr>
        <w:spacing w:after="0" w:line="69" w:lineRule="exact"/>
        <w:rPr>
          <w:sz w:val="20"/>
          <w:szCs w:val="20"/>
          <w:color w:val="auto"/>
        </w:rPr>
      </w:pPr>
    </w:p>
    <w:p>
      <w:pPr>
        <w:ind w:left="567" w:hanging="286"/>
        <w:spacing w:after="0"/>
        <w:tabs>
          <w:tab w:leader="none" w:pos="56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current directors and executive officers as a group.</w:t>
      </w:r>
    </w:p>
    <w:p>
      <w:pPr>
        <w:spacing w:after="0" w:line="190" w:lineRule="exact"/>
        <w:rPr>
          <w:sz w:val="20"/>
          <w:szCs w:val="20"/>
          <w:color w:val="auto"/>
        </w:rPr>
      </w:pPr>
    </w:p>
    <w:p>
      <w:pPr>
        <w:jc w:val="both"/>
        <w:ind w:left="7"/>
        <w:spacing w:after="0" w:line="247" w:lineRule="auto"/>
        <w:rPr>
          <w:sz w:val="20"/>
          <w:szCs w:val="20"/>
          <w:color w:val="auto"/>
        </w:rPr>
      </w:pPr>
      <w:r>
        <w:rPr>
          <w:rFonts w:ascii="Times New Roman" w:cs="Times New Roman" w:eastAsia="Times New Roman" w:hAnsi="Times New Roman"/>
          <w:sz w:val="16"/>
          <w:szCs w:val="16"/>
          <w:color w:val="auto"/>
        </w:rPr>
        <w:t>Beneficial ownership is based upon 36,127,687 ordinary shares issued and outstanding as of March 31, 2024 and determined in accordance with the rules of the SEC and generally includes any shares over which a person exercises sole or shared voting or investment power. Unless otherwise indicated, we believe that the persons or entities identified in this table have sole voting and investment power with respect to all shares shown beneficially owned by them, subject to applicable community property laws. Ordinary shares issuable upon vesting of outstanding equity awards that are exercisable or subject to vesting within 60 days after March 31, 2024 are deemed beneficially owned and such shares are used in computing the percentage ownership of the person holding the awards but are not deemed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w:t>
      </w:r>
    </w:p>
    <w:p>
      <w:pPr>
        <w:spacing w:after="0" w:line="170" w:lineRule="exact"/>
        <w:rPr>
          <w:sz w:val="20"/>
          <w:szCs w:val="20"/>
          <w:color w:val="auto"/>
        </w:rPr>
      </w:pPr>
    </w:p>
    <w:p>
      <w:pPr>
        <w:jc w:val="both"/>
        <w:ind w:left="7"/>
        <w:spacing w:after="0" w:line="198" w:lineRule="auto"/>
        <w:rPr>
          <w:sz w:val="20"/>
          <w:szCs w:val="20"/>
          <w:color w:val="auto"/>
        </w:rPr>
      </w:pPr>
      <w:r>
        <w:rPr>
          <w:rFonts w:ascii="Times New Roman" w:cs="Times New Roman" w:eastAsia="Times New Roman" w:hAnsi="Times New Roman"/>
          <w:sz w:val="16"/>
          <w:szCs w:val="16"/>
          <w:color w:val="auto"/>
        </w:rPr>
        <w:t>Unless otherwise noted below, the address of each shareholder, director and executive officer is c/o UroGen Pharma Ltd., 400 Alexander Park Drive,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 Princeton, New Jersey 08540.</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6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460" w:type="dxa"/>
            <w:vAlign w:val="bottom"/>
          </w:tcPr>
          <w:p>
            <w:pPr>
              <w:spacing w:after="0"/>
              <w:rPr>
                <w:sz w:val="16"/>
                <w:szCs w:val="16"/>
                <w:color w:val="auto"/>
              </w:rPr>
            </w:pPr>
          </w:p>
        </w:tc>
      </w:tr>
      <w:tr>
        <w:trPr>
          <w:trHeight w:val="179"/>
        </w:trPr>
        <w:tc>
          <w:tcPr>
            <w:tcW w:w="440" w:type="dxa"/>
            <w:vAlign w:val="bottom"/>
          </w:tcPr>
          <w:p>
            <w:pPr>
              <w:spacing w:after="0"/>
              <w:rPr>
                <w:sz w:val="15"/>
                <w:szCs w:val="15"/>
                <w:color w:val="auto"/>
              </w:rPr>
            </w:pPr>
          </w:p>
        </w:tc>
        <w:tc>
          <w:tcPr>
            <w:tcW w:w="66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Greater than 5% Shareholders</w:t>
            </w:r>
          </w:p>
        </w:tc>
        <w:tc>
          <w:tcPr>
            <w:tcW w:w="60" w:type="dxa"/>
            <w:vAlign w:val="bottom"/>
            <w:tcBorders>
              <w:top w:val="single" w:sz="8" w:color="CCEEFF"/>
            </w:tcBorders>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60" w:type="dxa"/>
            <w:vAlign w:val="bottom"/>
          </w:tcPr>
          <w:p>
            <w:pPr>
              <w:spacing w:after="0"/>
              <w:rPr>
                <w:sz w:val="15"/>
                <w:szCs w:val="15"/>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RA Capital Management, L.P.</w:t>
            </w:r>
            <w:r>
              <w:rPr>
                <w:rFonts w:ascii="Times New Roman" w:cs="Times New Roman" w:eastAsia="Times New Roman" w:hAnsi="Times New Roman"/>
                <w:sz w:val="21"/>
                <w:szCs w:val="21"/>
                <w:color w:val="auto"/>
                <w:vertAlign w:val="superscript"/>
              </w:rPr>
              <w:t>. (1)</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3,083,558</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Great Point Partners, LLC </w:t>
            </w:r>
            <w:r>
              <w:rPr>
                <w:rFonts w:ascii="Times New Roman" w:cs="Times New Roman" w:eastAsia="Times New Roman" w:hAnsi="Times New Roman"/>
                <w:sz w:val="21"/>
                <w:szCs w:val="21"/>
                <w:color w:val="auto"/>
                <w:vertAlign w:val="superscript"/>
              </w:rPr>
              <w:t>(2)</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2,620,545</w:t>
            </w:r>
          </w:p>
        </w:tc>
        <w:tc>
          <w:tcPr>
            <w:tcW w:w="14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Menora Mivtachim Holdings Ltd. </w:t>
            </w:r>
            <w:r>
              <w:rPr>
                <w:rFonts w:ascii="Times New Roman" w:cs="Times New Roman" w:eastAsia="Times New Roman" w:hAnsi="Times New Roman"/>
                <w:sz w:val="21"/>
                <w:szCs w:val="21"/>
                <w:color w:val="auto"/>
                <w:vertAlign w:val="superscript"/>
              </w:rPr>
              <w:t>(3)</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2,303,031</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p>
        </w:tc>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Elizabeth Barrett </w:t>
            </w:r>
            <w:r>
              <w:rPr>
                <w:rFonts w:ascii="Times New Roman" w:cs="Times New Roman" w:eastAsia="Times New Roman" w:hAnsi="Times New Roman"/>
                <w:sz w:val="21"/>
                <w:szCs w:val="21"/>
                <w:color w:val="auto"/>
                <w:vertAlign w:val="superscript"/>
              </w:rPr>
              <w:t>(4)</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941,040</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Mark P. Schoenberg, M.D. </w:t>
            </w:r>
            <w:r>
              <w:rPr>
                <w:rFonts w:ascii="Times New Roman" w:cs="Times New Roman" w:eastAsia="Times New Roman" w:hAnsi="Times New Roman"/>
                <w:sz w:val="21"/>
                <w:szCs w:val="21"/>
                <w:color w:val="auto"/>
                <w:vertAlign w:val="superscript"/>
              </w:rPr>
              <w:t>(5)</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215,979</w:t>
            </w:r>
          </w:p>
        </w:tc>
        <w:tc>
          <w:tcPr>
            <w:tcW w:w="14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Jason Smith </w:t>
            </w:r>
            <w:r>
              <w:rPr>
                <w:rFonts w:ascii="Times New Roman" w:cs="Times New Roman" w:eastAsia="Times New Roman" w:hAnsi="Times New Roman"/>
                <w:sz w:val="21"/>
                <w:szCs w:val="21"/>
                <w:color w:val="auto"/>
                <w:vertAlign w:val="superscript"/>
              </w:rPr>
              <w:t>(6)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134,747</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Arie Belldegrun M.D., FACS </w:t>
            </w:r>
            <w:r>
              <w:rPr>
                <w:rFonts w:ascii="Times New Roman" w:cs="Times New Roman" w:eastAsia="Times New Roman" w:hAnsi="Times New Roman"/>
                <w:sz w:val="21"/>
                <w:szCs w:val="21"/>
                <w:color w:val="auto"/>
                <w:vertAlign w:val="superscript"/>
              </w:rPr>
              <w:t>(7)</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483,693</w:t>
            </w:r>
          </w:p>
        </w:tc>
        <w:tc>
          <w:tcPr>
            <w:tcW w:w="14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Cynthia M. Butitta </w:t>
            </w:r>
            <w:r>
              <w:rPr>
                <w:rFonts w:ascii="Times New Roman" w:cs="Times New Roman" w:eastAsia="Times New Roman" w:hAnsi="Times New Roman"/>
                <w:sz w:val="21"/>
                <w:szCs w:val="21"/>
                <w:color w:val="auto"/>
                <w:vertAlign w:val="superscript"/>
              </w:rPr>
              <w:t>(8)</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Fred E. Cohen, M.D. D.Phil. </w:t>
            </w:r>
            <w:r>
              <w:rPr>
                <w:rFonts w:ascii="Times New Roman" w:cs="Times New Roman" w:eastAsia="Times New Roman" w:hAnsi="Times New Roman"/>
                <w:sz w:val="21"/>
                <w:szCs w:val="21"/>
                <w:color w:val="auto"/>
                <w:vertAlign w:val="superscript"/>
              </w:rPr>
              <w:t>(9)</w:t>
            </w:r>
          </w:p>
        </w:tc>
        <w:tc>
          <w:tcPr>
            <w:tcW w:w="2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95,000</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Stuart Holden, M.D. </w:t>
            </w:r>
            <w:r>
              <w:rPr>
                <w:rFonts w:ascii="Times New Roman" w:cs="Times New Roman" w:eastAsia="Times New Roman" w:hAnsi="Times New Roman"/>
                <w:sz w:val="21"/>
                <w:szCs w:val="21"/>
                <w:color w:val="auto"/>
                <w:vertAlign w:val="superscript"/>
              </w:rPr>
              <w:t>(10)</w:t>
            </w:r>
          </w:p>
        </w:tc>
        <w:tc>
          <w:tcPr>
            <w:tcW w:w="2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65,000</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Leana Wen, M.D., M.SC. </w:t>
            </w:r>
            <w:r>
              <w:rPr>
                <w:rFonts w:ascii="Times New Roman" w:cs="Times New Roman" w:eastAsia="Times New Roman" w:hAnsi="Times New Roman"/>
                <w:sz w:val="21"/>
                <w:szCs w:val="21"/>
                <w:color w:val="auto"/>
                <w:vertAlign w:val="superscript"/>
              </w:rPr>
              <w:t>(11)</w:t>
            </w:r>
          </w:p>
        </w:tc>
        <w:tc>
          <w:tcPr>
            <w:tcW w:w="2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15,000</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Daniel G. Wildman </w:t>
            </w:r>
            <w:r>
              <w:rPr>
                <w:rFonts w:ascii="Times New Roman" w:cs="Times New Roman" w:eastAsia="Times New Roman" w:hAnsi="Times New Roman"/>
                <w:sz w:val="21"/>
                <w:szCs w:val="21"/>
                <w:color w:val="auto"/>
                <w:vertAlign w:val="superscript"/>
              </w:rPr>
              <w:t>(12)</w:t>
            </w:r>
          </w:p>
        </w:tc>
        <w:tc>
          <w:tcPr>
            <w:tcW w:w="2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 xml:space="preserve">James A. Robinson Jr. </w:t>
            </w:r>
            <w:r>
              <w:rPr>
                <w:rFonts w:ascii="Times New Roman" w:cs="Times New Roman" w:eastAsia="Times New Roman" w:hAnsi="Times New Roman"/>
                <w:sz w:val="21"/>
                <w:szCs w:val="21"/>
                <w:color w:val="auto"/>
                <w:vertAlign w:val="superscript"/>
              </w:rPr>
              <w:t>(13)</w:t>
            </w:r>
          </w:p>
        </w:tc>
        <w:tc>
          <w:tcPr>
            <w:tcW w:w="2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10,000</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r>
      <w:tr>
        <w:trPr>
          <w:trHeight w:val="187"/>
        </w:trPr>
        <w:tc>
          <w:tcPr>
            <w:tcW w:w="440" w:type="dxa"/>
            <w:vAlign w:val="bottom"/>
          </w:tcPr>
          <w:p>
            <w:pPr>
              <w:spacing w:after="0"/>
              <w:rPr>
                <w:sz w:val="16"/>
                <w:szCs w:val="16"/>
                <w:color w:val="auto"/>
              </w:rPr>
            </w:pPr>
          </w:p>
        </w:tc>
        <w:tc>
          <w:tcPr>
            <w:tcW w:w="66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color w:val="auto"/>
              </w:rPr>
              <w:t xml:space="preserve">All current directors and executive officers as a group (10 persons) </w:t>
            </w:r>
            <w:r>
              <w:rPr>
                <w:rFonts w:ascii="Times New Roman" w:cs="Times New Roman" w:eastAsia="Times New Roman" w:hAnsi="Times New Roman"/>
                <w:sz w:val="21"/>
                <w:szCs w:val="21"/>
                <w:color w:val="auto"/>
                <w:vertAlign w:val="superscript"/>
              </w:rPr>
              <w:t>(14)</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2,139,710</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460" w:type="dxa"/>
            <w:vAlign w:val="bottom"/>
          </w:tcPr>
          <w:p>
            <w:pPr>
              <w:spacing w:after="0"/>
              <w:rPr>
                <w:sz w:val="16"/>
                <w:szCs w:val="16"/>
                <w:color w:val="auto"/>
              </w:rPr>
            </w:pPr>
          </w:p>
        </w:tc>
      </w:tr>
      <w:tr>
        <w:trPr>
          <w:trHeight w:val="47"/>
        </w:trPr>
        <w:tc>
          <w:tcPr>
            <w:tcW w:w="440" w:type="dxa"/>
            <w:vAlign w:val="bottom"/>
            <w:tcBorders>
              <w:bottom w:val="single" w:sz="8" w:color="auto"/>
            </w:tcBorders>
          </w:tcPr>
          <w:p>
            <w:pPr>
              <w:spacing w:after="0"/>
              <w:rPr>
                <w:sz w:val="4"/>
                <w:szCs w:val="4"/>
                <w:color w:val="auto"/>
              </w:rPr>
            </w:pPr>
          </w:p>
        </w:tc>
        <w:tc>
          <w:tcPr>
            <w:tcW w:w="6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bl>
    <w:p>
      <w:pPr>
        <w:spacing w:after="0" w:line="30" w:lineRule="exact"/>
        <w:rPr>
          <w:sz w:val="20"/>
          <w:szCs w:val="20"/>
          <w:color w:val="auto"/>
        </w:rPr>
      </w:pPr>
    </w:p>
    <w:p>
      <w:pPr>
        <w:ind w:left="427" w:hanging="427"/>
        <w:spacing w:after="0"/>
        <w:tabs>
          <w:tab w:leader="none" w:pos="4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 of the total ordinary shares outstanding.</w:t>
      </w:r>
    </w:p>
    <w:p>
      <w:pPr>
        <w:spacing w:after="0" w:line="189" w:lineRule="exact"/>
        <w:rPr>
          <w:rFonts w:ascii="Times New Roman" w:cs="Times New Roman" w:eastAsia="Times New Roman" w:hAnsi="Times New Roman"/>
          <w:sz w:val="16"/>
          <w:szCs w:val="16"/>
          <w:color w:val="auto"/>
        </w:rPr>
      </w:pPr>
    </w:p>
    <w:p>
      <w:pPr>
        <w:jc w:val="both"/>
        <w:ind w:left="567" w:right="40" w:hanging="286"/>
        <w:spacing w:after="0" w:line="256"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ordinary shares beneficially owned as of December 31, 2023, based on a Schedule 13G/A filed on February 14, 2024, by RA Capital Management, L.P. In such filing, RA Capital Management, L.P. lists its address as RA Capital Management, L.P., 200 Berkeley Street, 18th Floor, Boston MA 02116, and indicates that it has shared voting power with respect to 3,083,558 ordinary shares and shared dispositive power with respect to 3,083,558 ordinary shares.</w:t>
      </w:r>
    </w:p>
    <w:p>
      <w:pPr>
        <w:spacing w:after="0" w:line="158" w:lineRule="exact"/>
        <w:rPr>
          <w:rFonts w:ascii="Times New Roman" w:cs="Times New Roman" w:eastAsia="Times New Roman" w:hAnsi="Times New Roman"/>
          <w:sz w:val="16"/>
          <w:szCs w:val="16"/>
          <w:color w:val="auto"/>
        </w:rPr>
      </w:pPr>
    </w:p>
    <w:p>
      <w:pPr>
        <w:ind w:left="567" w:right="260" w:hanging="286"/>
        <w:spacing w:after="0" w:line="256"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ordinary shares beneficially owned as of December 31, 2023, based on a Schedule 13G/A filed on February 14, 2024, by Great Point Partners, LLC. In such filing, Great Point Partners, LLC lists its address as 165 Mason Street, 3rd Floor, Greenwich, CT 06830, and indicates that it has shared voting power with respect to 2,620,545 ordinary shares and shared dispositive power with respect to 2,620,545 ordinary shares.</w:t>
      </w:r>
    </w:p>
    <w:p>
      <w:pPr>
        <w:spacing w:after="0" w:line="158" w:lineRule="exact"/>
        <w:rPr>
          <w:rFonts w:ascii="Times New Roman" w:cs="Times New Roman" w:eastAsia="Times New Roman" w:hAnsi="Times New Roman"/>
          <w:sz w:val="16"/>
          <w:szCs w:val="16"/>
          <w:color w:val="auto"/>
        </w:rPr>
      </w:pPr>
    </w:p>
    <w:p>
      <w:pPr>
        <w:ind w:left="567" w:right="140" w:hanging="286"/>
        <w:spacing w:after="0" w:line="256"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ordinary shares beneficially owned as of December 31, 2023, based on a Schedule 13G/A filed on February 14, 2024, by Menora Mivtachim Holdings Ltd. In such filing, Menora Mivtachim Holdings Ltd. lists its address as Menora House, 23 Jabotinsky St., Ramat Gan 5251102, Israel, and indicates that it has shared voting power with respect to 2,303,031 ordinary shares and shared dispositive power with respect to 2,303,031 ordinary shares.</w:t>
      </w:r>
    </w:p>
    <w:p>
      <w:pPr>
        <w:spacing w:after="0" w:line="158" w:lineRule="exact"/>
        <w:rPr>
          <w:rFonts w:ascii="Times New Roman" w:cs="Times New Roman" w:eastAsia="Times New Roman" w:hAnsi="Times New Roman"/>
          <w:sz w:val="16"/>
          <w:szCs w:val="16"/>
          <w:color w:val="auto"/>
        </w:rPr>
      </w:pPr>
    </w:p>
    <w:p>
      <w:pPr>
        <w:ind w:left="567" w:right="260" w:hanging="286"/>
        <w:spacing w:after="0" w:line="268"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326,941 ordinary shares and 614,099 ordinary shares issuable upon exercise of options or upon settlement of restricted stock units within 60 days following March 31, 2024.</w:t>
      </w:r>
    </w:p>
    <w:p>
      <w:pPr>
        <w:spacing w:after="0" w:line="149" w:lineRule="exact"/>
        <w:rPr>
          <w:rFonts w:ascii="Times New Roman" w:cs="Times New Roman" w:eastAsia="Times New Roman" w:hAnsi="Times New Roman"/>
          <w:sz w:val="16"/>
          <w:szCs w:val="16"/>
          <w:color w:val="auto"/>
        </w:rPr>
      </w:pPr>
    </w:p>
    <w:p>
      <w:pPr>
        <w:ind w:left="567" w:right="420" w:hanging="286"/>
        <w:spacing w:after="0" w:line="268"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26,585 ordinary shares and 32,666 ordinary shares issuable upon exercise of options or upon settlement of restricted stock units within 60 days following March 31, 2024.</w:t>
      </w:r>
    </w:p>
    <w:p>
      <w:pPr>
        <w:spacing w:after="0" w:line="149" w:lineRule="exact"/>
        <w:rPr>
          <w:rFonts w:ascii="Times New Roman" w:cs="Times New Roman" w:eastAsia="Times New Roman" w:hAnsi="Times New Roman"/>
          <w:sz w:val="16"/>
          <w:szCs w:val="16"/>
          <w:color w:val="auto"/>
        </w:rPr>
      </w:pPr>
    </w:p>
    <w:p>
      <w:pPr>
        <w:ind w:left="567" w:right="360" w:hanging="286"/>
        <w:spacing w:after="0" w:line="268"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23,414 ordinary shares and 111,333 ordinary shares issuable upon exercise of options or upon settlement of restricted stock units within 60 days following March 31, 2024.</w:t>
      </w:r>
    </w:p>
    <w:p>
      <w:pPr>
        <w:spacing w:after="0" w:line="149" w:lineRule="exact"/>
        <w:rPr>
          <w:rFonts w:ascii="Times New Roman" w:cs="Times New Roman" w:eastAsia="Times New Roman" w:hAnsi="Times New Roman"/>
          <w:sz w:val="16"/>
          <w:szCs w:val="16"/>
          <w:color w:val="auto"/>
        </w:rPr>
      </w:pPr>
    </w:p>
    <w:p>
      <w:pPr>
        <w:ind w:left="567" w:right="340" w:hanging="286"/>
        <w:spacing w:after="0" w:line="268"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408,693 ordinary shares and 75,000 ordinary shares issuable upon exercise of options or upon settlement of restricted stock units within 60 days following March 31, 2024.</w:t>
      </w:r>
    </w:p>
    <w:p>
      <w:pPr>
        <w:spacing w:after="0" w:line="149"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105,000 ordinary shares issuable upon exercise of options or upon settlement of restricted stock units within 60 days following March 31, 2024.</w:t>
      </w:r>
    </w:p>
    <w:p>
      <w:pPr>
        <w:spacing w:after="0" w:line="189" w:lineRule="exact"/>
        <w:rPr>
          <w:rFonts w:ascii="Times New Roman" w:cs="Times New Roman" w:eastAsia="Times New Roman" w:hAnsi="Times New Roman"/>
          <w:sz w:val="16"/>
          <w:szCs w:val="16"/>
          <w:color w:val="auto"/>
        </w:rPr>
      </w:pPr>
    </w:p>
    <w:p>
      <w:pPr>
        <w:ind w:left="567" w:right="20" w:hanging="286"/>
        <w:spacing w:after="0" w:line="249" w:lineRule="auto"/>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15,000 ordinary shares and 80,000 ordinary shares issuable upon exercise of options or upon settlement of restricted stock units within 60 days following March 31, 2024. Does not include ordinary shares beneficially owned as of July 26, 2023 based on a Schedule 13D filed on August 4, 2023 by Monograph Capital Partners I, L.P. In such filing, Monograph Capital Partners I, L.P. lists its address as 4001 Kennett Pike Suite 302, Wilmington, DE 19807, and indicates that it has shared voting power with respect to 1,572,327 ordinary shares and shared dispositive power with respect to 1,572,327 ordinary shares. Dr. Cohen is the Chair and Chief Investment Officer of Monograph.</w:t>
      </w:r>
    </w:p>
    <w:p>
      <w:pPr>
        <w:spacing w:after="0" w:line="167"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65,000 ordinary shares issuable upon exercise of options or upon settlement of restricted stock units within 60 days following March 31, 2024.</w:t>
      </w:r>
    </w:p>
    <w:p>
      <w:pPr>
        <w:spacing w:after="0" w:line="189"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14,999 ordinary shares issuable upon exercise of options or upon settlement of restricted stock units within 60 days following March 31, 2024.</w:t>
      </w:r>
    </w:p>
    <w:p>
      <w:pPr>
        <w:spacing w:after="0" w:line="189"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15,000 ordinary shares issuable upon exercise of options or upon settlement of restricted stock units within 60 days following March 31, 2024.</w:t>
      </w:r>
    </w:p>
    <w:p>
      <w:pPr>
        <w:spacing w:after="0" w:line="189" w:lineRule="exact"/>
        <w:rPr>
          <w:rFonts w:ascii="Times New Roman" w:cs="Times New Roman" w:eastAsia="Times New Roman" w:hAnsi="Times New Roman"/>
          <w:sz w:val="16"/>
          <w:szCs w:val="16"/>
          <w:color w:val="auto"/>
        </w:rPr>
      </w:pPr>
    </w:p>
    <w:p>
      <w:pPr>
        <w:ind w:left="567" w:hanging="286"/>
        <w:spacing w:after="0"/>
        <w:tabs>
          <w:tab w:leader="none" w:pos="56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9,998 ordinary shares issuable upon exercise of options or upon settlement of restricted stock units within 60 days following March 31, 2024.</w:t>
      </w:r>
    </w:p>
    <w:p>
      <w:pPr>
        <w:spacing w:after="0" w:line="189" w:lineRule="exact"/>
        <w:rPr>
          <w:rFonts w:ascii="Times New Roman" w:cs="Times New Roman" w:eastAsia="Times New Roman" w:hAnsi="Times New Roman"/>
          <w:sz w:val="16"/>
          <w:szCs w:val="16"/>
          <w:color w:val="auto"/>
        </w:rPr>
      </w:pPr>
    </w:p>
    <w:p>
      <w:pPr>
        <w:ind w:left="567" w:right="240" w:hanging="286"/>
        <w:spacing w:after="0" w:line="340" w:lineRule="auto"/>
        <w:tabs>
          <w:tab w:leader="none" w:pos="567"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shares described in notes (4) through (13) and 59,251 ordinary shares (which includes 32,666 ordinary shares issuable upon the exercise of options or upon settlement of restricted stock units within 60 days of March 31, 2024) beneficially owned by an additional executive officer who is not named in the table above.</w:t>
      </w:r>
    </w:p>
    <w:p>
      <w:pPr>
        <w:spacing w:after="0" w:line="2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9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TRANSACTIONS WITH RELATED PERSONS</w:t>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Certain Related-Person Transactions</w:t>
      </w:r>
    </w:p>
    <w:p>
      <w:pPr>
        <w:spacing w:after="0" w:line="192"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6"/>
          <w:szCs w:val="16"/>
          <w:color w:val="auto"/>
        </w:rPr>
        <w:t>Described below are all transactions occurring since January 1, 2021 to which we were a party and in which (i) the amounts involved exceeded or will exceed the lesser of $120,000 or 1% of the average of our total assets at year-end for the last two completed fiscal years, and (ii) a director, executive officer, holder of more than 5% of our outstanding ordinary shares, or any member of such person’s immediate family had or will have a direct or indirect material interest, other than the equity and other compensation agreements that are described under “Executive Compensation” and “Director Compensation.”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sectPr>
          <w:pgSz w:w="11900" w:h="16907" w:orient="portrait"/>
          <w:cols w:equalWidth="0" w:num="1">
            <w:col w:w="11267"/>
          </w:cols>
          <w:pgMar w:left="313" w:top="123" w:right="319" w:bottom="0" w:gutter="0" w:footer="0" w:header="0"/>
        </w:sectPr>
      </w:pPr>
    </w:p>
    <w:bookmarkStart w:id="17" w:name="page18"/>
    <w:bookmarkEnd w:id="17"/>
    <w:p>
      <w:pPr>
        <w:jc w:val="both"/>
        <w:spacing w:after="0" w:line="309" w:lineRule="auto"/>
        <w:rPr>
          <w:sz w:val="20"/>
          <w:szCs w:val="20"/>
          <w:color w:val="auto"/>
        </w:rPr>
      </w:pPr>
      <w:r>
        <w:rPr>
          <w:rFonts w:ascii="Times New Roman" w:cs="Times New Roman" w:eastAsia="Times New Roman" w:hAnsi="Times New Roman"/>
          <w:sz w:val="14"/>
          <w:szCs w:val="14"/>
          <w:color w:val="auto"/>
        </w:rPr>
        <w:t>On July 26, 2023, we entered into a securities purchase agreement with certain institutional and other accredited investors (the “Purchasers”), pursuant to which the Company agreed to sell and issue to the Purchasers 12,579,156 ordinary shares of the Company (“Shares”) (or in lieu of Shares, pre-funded warrants to purchase ordinary shares of the Company) at a purchase price of $9.54 per Share (or $9.539 for each ordinary share underlying a pre-funded warrant), in a private placement transaction (the “Private Placement”).</w:t>
      </w:r>
    </w:p>
    <w:p>
      <w:pPr>
        <w:spacing w:after="0" w:line="12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Monograph Capital Partners I, L.P. (“Monograph”), a life sciences venture firm that is affiliated with Dr. Cohen, a director of the Company, purchased 1,572,327 Shares in the Private Placement, for an aggregate purchase price of $15.0 million. Dr. Cohen is the Chair and Chief Investment Officer of Monograph.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9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Our articles of association permit us to exculpate, indemnify and insure each of our directors and executive officers to the fullest extent permitted by the Israeli Companies Law. We have entered into indemnification agreements with each of our directors and executive officers, undertaking to indemnify them to the fullest extent permitted by Israeli law, to the extent that these liabilities are not covered by insurance. We have also obtained Directors and Officers insurance for each of our executive officers and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entered into an employment agreement with our named executive officers. For more information regarding these agreements, see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Option Grants to Executive Officers and Directors</w:t>
      </w:r>
    </w:p>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We have granted options to purchase our ordinary shares and restricted stock units to our directors and named executive officers as more fully described in the sections titled “Director Compensation” and “Executive Compensation,”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and Procedures for Transactions with Related Persons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interests, direct and indirect, of the related persons,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is required to take into account the relevant available facts and circumstances including, but not limited to:</w:t>
      </w:r>
    </w:p>
    <w:p>
      <w:pPr>
        <w:spacing w:after="0" w:line="170" w:lineRule="exact"/>
        <w:rPr>
          <w:sz w:val="20"/>
          <w:szCs w:val="20"/>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costs and benefits to us;</w:t>
      </w:r>
    </w:p>
    <w:p>
      <w:pPr>
        <w:spacing w:after="0" w:line="18" w:lineRule="exact"/>
        <w:rPr>
          <w:rFonts w:ascii="Times New Roman" w:cs="Times New Roman" w:eastAsia="Times New Roman" w:hAnsi="Times New Roman"/>
          <w:sz w:val="16"/>
          <w:szCs w:val="16"/>
          <w:color w:val="auto"/>
        </w:rPr>
      </w:pPr>
    </w:p>
    <w:p>
      <w:pPr>
        <w:ind w:left="560" w:right="480" w:hanging="286"/>
        <w:spacing w:after="0" w:line="243" w:lineRule="auto"/>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a director’s independence in the event that the related person is a director, immediate family member of a director or an entity with which a director is affiliated;</w:t>
      </w:r>
    </w:p>
    <w:p>
      <w:pPr>
        <w:spacing w:after="0" w:line="1"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other sources for comparable services or products; and</w:t>
      </w:r>
    </w:p>
    <w:p>
      <w:pPr>
        <w:spacing w:after="0" w:line="2"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available to or from, as the case may be, unrelated third parties or to or from employees generally.</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shareholders, as our Audit Committee, or other independent body of our Board, determines in the good faith exercise of its discretion.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Independence of the Board of Directors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Applicable Nasdaq rules require a majority of a listed company’s directors to be comprised of independent directors within one year of listing. In addition,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The Board consults with the Company’s counsel to ensure that the Board’s independence determinations are consistent with relevant securities and other laws and regulations regarding the definition of “independent,” including those set forth in the pertinent listing standards of Nasdaq, as in effect from time to time.</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Consistent with these considerations, the Board has determined that all of our directors, except Ms. Barrett, are independent directors, as defined under applicable Nasdaq listing standards. In making such determination, our Board considered the relationships that each such non-employee director has with the Company and all other facts and circumstances that our Board deemed relevant in determining his or her independence, including the beneficial ownership of our capital stock by each non-employee director.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Accountant Fees and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aggregate fees billed to us for the years ended December 31, 2023 and 2022, by PwC.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auto"/>
            </w:tcBorders>
            <w:gridSpan w:val="5"/>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r>
        <w:trPr>
          <w:trHeight w:val="179"/>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auto"/>
            </w:tcBorders>
          </w:tcPr>
          <w:p>
            <w:pPr>
              <w:jc w:val="right"/>
              <w:ind w:right="30"/>
              <w:spacing w:after="0" w:line="179" w:lineRule="exact"/>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62"/>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ind w:right="142"/>
              <w:spacing w:after="0" w:line="162" w:lineRule="exact"/>
              <w:rPr>
                <w:sz w:val="20"/>
                <w:szCs w:val="20"/>
                <w:color w:val="auto"/>
              </w:rPr>
            </w:pPr>
            <w:r>
              <w:rPr>
                <w:rFonts w:ascii="Times New Roman" w:cs="Times New Roman" w:eastAsia="Times New Roman" w:hAnsi="Times New Roman"/>
                <w:sz w:val="16"/>
                <w:szCs w:val="16"/>
                <w:b w:val="1"/>
                <w:bCs w:val="1"/>
                <w:color w:val="auto"/>
              </w:rPr>
              <w:t>(in</w:t>
            </w:r>
          </w:p>
        </w:tc>
        <w:tc>
          <w:tcPr>
            <w:tcW w:w="1180" w:type="dxa"/>
            <w:vAlign w:val="bottom"/>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4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87"/>
        </w:trPr>
        <w:tc>
          <w:tcPr>
            <w:tcW w:w="54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1"/>
                <w:szCs w:val="21"/>
                <w:color w:val="auto"/>
                <w:vertAlign w:val="superscript"/>
              </w:rPr>
              <w:t>(1)</w:t>
            </w:r>
          </w:p>
        </w:tc>
        <w:tc>
          <w:tcPr>
            <w:tcW w:w="1000" w:type="dxa"/>
            <w:vAlign w:val="bottom"/>
            <w:gridSpan w:val="2"/>
          </w:tcPr>
          <w:p>
            <w:pPr>
              <w:jc w:val="right"/>
              <w:ind w:right="85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3140" w:type="dxa"/>
            <w:vAlign w:val="bottom"/>
            <w:gridSpan w:val="2"/>
          </w:tcPr>
          <w:p>
            <w:pPr>
              <w:jc w:val="right"/>
              <w:ind w:right="2660"/>
              <w:spacing w:after="0"/>
              <w:rPr>
                <w:sz w:val="20"/>
                <w:szCs w:val="20"/>
                <w:color w:val="auto"/>
              </w:rPr>
            </w:pPr>
            <w:r>
              <w:rPr>
                <w:rFonts w:ascii="Times New Roman" w:cs="Times New Roman" w:eastAsia="Times New Roman" w:hAnsi="Times New Roman"/>
                <w:sz w:val="16"/>
                <w:szCs w:val="16"/>
                <w:color w:val="auto"/>
              </w:rPr>
              <w:t>1,155</w:t>
            </w:r>
          </w:p>
        </w:tc>
      </w:tr>
      <w:tr>
        <w:trPr>
          <w:trHeight w:val="187"/>
        </w:trPr>
        <w:tc>
          <w:tcPr>
            <w:tcW w:w="544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140" w:type="dxa"/>
            <w:vAlign w:val="bottom"/>
            <w:gridSpan w:val="2"/>
          </w:tcPr>
          <w:p>
            <w:pPr>
              <w:jc w:val="right"/>
              <w:ind w:right="2660"/>
              <w:spacing w:after="0"/>
              <w:rPr>
                <w:sz w:val="20"/>
                <w:szCs w:val="20"/>
                <w:color w:val="auto"/>
              </w:rPr>
            </w:pPr>
            <w:r>
              <w:rPr>
                <w:rFonts w:ascii="Times New Roman" w:cs="Times New Roman" w:eastAsia="Times New Roman" w:hAnsi="Times New Roman"/>
                <w:sz w:val="16"/>
                <w:szCs w:val="16"/>
                <w:color w:val="auto"/>
              </w:rPr>
              <w:t>73</w:t>
            </w:r>
          </w:p>
        </w:tc>
      </w:tr>
      <w:tr>
        <w:trPr>
          <w:trHeight w:val="203"/>
        </w:trPr>
        <w:tc>
          <w:tcPr>
            <w:tcW w:w="5440" w:type="dxa"/>
            <w:vAlign w:val="bottom"/>
          </w:tcPr>
          <w:p>
            <w:pPr>
              <w:spacing w:after="0" w:line="203" w:lineRule="exact"/>
              <w:rPr>
                <w:sz w:val="20"/>
                <w:szCs w:val="20"/>
                <w:color w:val="auto"/>
              </w:rPr>
            </w:pPr>
            <w:r>
              <w:rPr>
                <w:rFonts w:ascii="Times New Roman" w:cs="Times New Roman" w:eastAsia="Times New Roman" w:hAnsi="Times New Roman"/>
                <w:sz w:val="15"/>
                <w:szCs w:val="15"/>
                <w:color w:val="auto"/>
              </w:rPr>
              <w:t>All Other Fees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40" w:type="dxa"/>
            <w:vAlign w:val="bottom"/>
            <w:gridSpan w:val="2"/>
          </w:tcPr>
          <w:p>
            <w:pPr>
              <w:jc w:val="right"/>
              <w:ind w:right="2660"/>
              <w:spacing w:after="0"/>
              <w:rPr>
                <w:sz w:val="20"/>
                <w:szCs w:val="20"/>
                <w:color w:val="auto"/>
              </w:rPr>
            </w:pPr>
            <w:r>
              <w:rPr>
                <w:rFonts w:ascii="Times New Roman" w:cs="Times New Roman" w:eastAsia="Times New Roman" w:hAnsi="Times New Roman"/>
                <w:sz w:val="16"/>
                <w:szCs w:val="16"/>
                <w:color w:val="auto"/>
              </w:rPr>
              <w:t>1</w:t>
            </w:r>
          </w:p>
        </w:tc>
      </w:tr>
      <w:tr>
        <w:trPr>
          <w:trHeight w:val="179"/>
        </w:trPr>
        <w:tc>
          <w:tcPr>
            <w:tcW w:w="5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1,276</w:t>
            </w: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82"/>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1,229</w:t>
            </w:r>
          </w:p>
        </w:tc>
        <w:tc>
          <w:tcPr>
            <w:tcW w:w="266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2"/>
        </w:trPr>
        <w:tc>
          <w:tcPr>
            <w:tcW w:w="5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560" w:right="540" w:hanging="286"/>
        <w:spacing w:after="0" w:line="268" w:lineRule="auto"/>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and 2022, the aggregate audit fees were for professional services rendered for audits, quarterly reviews of our consolidated financial statements, statutory financial statements and preparation of comfort letters.</w:t>
      </w:r>
    </w:p>
    <w:p>
      <w:pPr>
        <w:spacing w:after="0" w:line="149"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and 2022, tax fees were tax transfer pricing services and tax consulting services.</w:t>
      </w:r>
    </w:p>
    <w:p>
      <w:pPr>
        <w:spacing w:after="0" w:line="189"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and 2022, all other fees were for accounting research subscription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fees described above were pre-approved by the Audit Committee.</w:t>
      </w:r>
    </w:p>
    <w:p>
      <w:pPr>
        <w:sectPr>
          <w:pgSz w:w="11900" w:h="16838" w:orient="portrait"/>
          <w:cols w:equalWidth="0" w:num="1">
            <w:col w:w="11260"/>
          </w:cols>
          <w:pgMar w:left="320" w:top="310" w:right="319"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Audit Committee must pre-approve all audit, audit-related and all permitted non-audit services, and related fees and terms, to be provided to the Company by the independent auditor under applicable law and regulations. Pre-approval may be given as part of the Audit Committee’s approval of the scope of the engagement of the independent auditor or on an individual, explicit, case-by-case basis before the independent auditor is engaged to provide each service. The pre-approval of services may be delegated to the Audit Committee’s Chairperson, but the decision must be reported to the full Audit Committee at its next scheduled meeting.</w:t>
      </w:r>
    </w:p>
    <w:p>
      <w:pPr>
        <w:spacing w:after="0" w:line="16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The Audit Committee has determined that the rendering of services other than audit services by PwC US is compatible with maintaining the principal accountant’s independence.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Financial Statement Schedules.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(a)(1)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response to this portion of Item 15 is set forth under Part II, Item 8 of the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 Financial Statement Schedules.</w:t>
      </w:r>
    </w:p>
    <w:p>
      <w:pPr>
        <w:spacing w:after="0" w:line="1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All schedules have been omitted because they are not required or because the required information is given in the Financial Statements or Notes thereto set forth under Part II, Item 8 of the Form 10-K.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(a)(3) Exhibits.</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120" w:type="dxa"/>
            <w:vAlign w:val="bottom"/>
            <w:gridSpan w:val="32"/>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339"/>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04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w w:val="97"/>
              </w:rPr>
            </w:pPr>
            <w:hyperlink r:id="rId22">
              <w:r>
                <w:rPr>
                  <w:rFonts w:ascii="Times New Roman" w:cs="Times New Roman" w:eastAsia="Times New Roman" w:hAnsi="Times New Roman"/>
                  <w:sz w:val="16"/>
                  <w:szCs w:val="16"/>
                  <w:color w:val="0000EE"/>
                  <w:w w:val="97"/>
                </w:rPr>
                <w:t>Articles of Association of the Registrant (incorporated by reference to Exhibit 3.1 to the Registrant’s Report on Form 6-K, filed with the SEC on May 18, 2017).</w:t>
              </w:r>
            </w:hyperlink>
          </w:p>
        </w:tc>
        <w:tc>
          <w:tcPr>
            <w:tcW w:w="80" w:type="dxa"/>
            <w:vAlign w:val="bottom"/>
            <w:gridSpan w:val="3"/>
          </w:tcPr>
          <w:p>
            <w:pPr>
              <w:spacing w:after="0"/>
              <w:rPr>
                <w:sz w:val="24"/>
                <w:szCs w:val="2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0120" w:type="dxa"/>
            <w:vAlign w:val="bottom"/>
            <w:gridSpan w:val="32"/>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Reference is made to Exhibit </w:t>
            </w:r>
            <w:hyperlink r:id="rId22">
              <w:r>
                <w:rPr>
                  <w:rFonts w:ascii="Times New Roman" w:cs="Times New Roman" w:eastAsia="Times New Roman" w:hAnsi="Times New Roman"/>
                  <w:sz w:val="16"/>
                  <w:szCs w:val="16"/>
                  <w:color w:val="0000EE"/>
                </w:rPr>
                <w:t>3.1</w:t>
              </w:r>
            </w:hyperlink>
            <w:r>
              <w:rPr>
                <w:rFonts w:ascii="Times New Roman" w:cs="Times New Roman" w:eastAsia="Times New Roman" w:hAnsi="Times New Roman"/>
                <w:sz w:val="16"/>
                <w:szCs w:val="16"/>
                <w:color w:val="auto"/>
              </w:rPr>
              <w:t>.</w:t>
            </w: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006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w w:val="97"/>
              </w:rPr>
            </w:pPr>
            <w:hyperlink r:id="rId23">
              <w:r>
                <w:rPr>
                  <w:rFonts w:ascii="Times New Roman" w:cs="Times New Roman" w:eastAsia="Times New Roman" w:hAnsi="Times New Roman"/>
                  <w:sz w:val="16"/>
                  <w:szCs w:val="16"/>
                  <w:color w:val="0000EE"/>
                  <w:w w:val="97"/>
                </w:rPr>
                <w:t>Description of the Registrant’s Ordinary Shares (incorporated by reference to Exhibit 4.2 to the Registrant’s Annual Report on Form 10-K, filed with the SEC on</w:t>
              </w:r>
            </w:hyperlink>
          </w:p>
        </w:tc>
        <w:tc>
          <w:tcPr>
            <w:tcW w:w="60" w:type="dxa"/>
            <w:vAlign w:val="bottom"/>
            <w:gridSpan w:val="2"/>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23">
              <w:r>
                <w:rPr>
                  <w:rFonts w:ascii="Times New Roman" w:cs="Times New Roman" w:eastAsia="Times New Roman" w:hAnsi="Times New Roman"/>
                  <w:sz w:val="16"/>
                  <w:szCs w:val="16"/>
                  <w:color w:val="0000EE"/>
                </w:rPr>
                <w:t>March 2, 2020).</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0120" w:type="dxa"/>
            <w:vAlign w:val="bottom"/>
            <w:gridSpan w:val="32"/>
          </w:tcPr>
          <w:p>
            <w:pPr>
              <w:spacing w:after="0"/>
              <w:rPr>
                <w:rFonts w:ascii="Times New Roman" w:cs="Times New Roman" w:eastAsia="Times New Roman" w:hAnsi="Times New Roman"/>
                <w:sz w:val="16"/>
                <w:szCs w:val="16"/>
                <w:color w:val="0000EE"/>
                <w:w w:val="98"/>
              </w:rPr>
            </w:pPr>
            <w:hyperlink r:id="rId24">
              <w:r>
                <w:rPr>
                  <w:rFonts w:ascii="Times New Roman" w:cs="Times New Roman" w:eastAsia="Times New Roman" w:hAnsi="Times New Roman"/>
                  <w:sz w:val="16"/>
                  <w:szCs w:val="16"/>
                  <w:color w:val="0000EE"/>
                  <w:w w:val="98"/>
                </w:rPr>
                <w:t>Form of July 2023 Pre-Funded Warrant (incorporated by reference to Exhibit 4.1 to the Registrant’s Current Report on Form 8-K, filed with the SEC on July 27,</w:t>
              </w:r>
            </w:hyperlink>
          </w:p>
        </w:tc>
      </w:tr>
      <w:tr>
        <w:trPr>
          <w:trHeight w:val="167"/>
        </w:trPr>
        <w:tc>
          <w:tcPr>
            <w:tcW w:w="114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7" w:lineRule="exact"/>
              <w:rPr>
                <w:rFonts w:ascii="Times New Roman" w:cs="Times New Roman" w:eastAsia="Times New Roman" w:hAnsi="Times New Roman"/>
                <w:sz w:val="16"/>
                <w:szCs w:val="16"/>
                <w:color w:val="0000EE"/>
                <w:w w:val="91"/>
              </w:rPr>
            </w:pPr>
            <w:hyperlink r:id="rId24">
              <w:r>
                <w:rPr>
                  <w:rFonts w:ascii="Times New Roman" w:cs="Times New Roman" w:eastAsia="Times New Roman" w:hAnsi="Times New Roman"/>
                  <w:sz w:val="16"/>
                  <w:szCs w:val="16"/>
                  <w:color w:val="0000EE"/>
                  <w:w w:val="91"/>
                </w:rPr>
                <w:t>2023).</w:t>
              </w:r>
            </w:hyperlink>
          </w:p>
        </w:tc>
        <w:tc>
          <w:tcPr>
            <w:tcW w:w="6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3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0120" w:type="dxa"/>
            <w:vAlign w:val="bottom"/>
            <w:gridSpan w:val="32"/>
          </w:tcPr>
          <w:p>
            <w:pPr>
              <w:spacing w:after="0"/>
              <w:rPr>
                <w:rFonts w:ascii="Times New Roman" w:cs="Times New Roman" w:eastAsia="Times New Roman" w:hAnsi="Times New Roman"/>
                <w:sz w:val="16"/>
                <w:szCs w:val="16"/>
                <w:color w:val="0000EE"/>
                <w:w w:val="99"/>
              </w:rPr>
            </w:pPr>
            <w:hyperlink r:id="rId25">
              <w:r>
                <w:rPr>
                  <w:rFonts w:ascii="Times New Roman" w:cs="Times New Roman" w:eastAsia="Times New Roman" w:hAnsi="Times New Roman"/>
                  <w:sz w:val="16"/>
                  <w:szCs w:val="16"/>
                  <w:color w:val="0000EE"/>
                  <w:w w:val="99"/>
                </w:rPr>
                <w:t>Form of Officer Indemnity and Exculpation Agreement (incorporated by reference to Exhibit 99.2 to the Registrant’s Report Form 6-K, filed with the SEC on</w:t>
              </w:r>
            </w:hyperlink>
          </w:p>
        </w:tc>
      </w:tr>
      <w:tr>
        <w:trPr>
          <w:trHeight w:val="167"/>
        </w:trPr>
        <w:tc>
          <w:tcPr>
            <w:tcW w:w="1140" w:type="dxa"/>
            <w:vAlign w:val="bottom"/>
          </w:tcPr>
          <w:p>
            <w:pPr>
              <w:spacing w:after="0"/>
              <w:rPr>
                <w:sz w:val="14"/>
                <w:szCs w:val="14"/>
                <w:color w:val="auto"/>
              </w:rPr>
            </w:pPr>
          </w:p>
        </w:tc>
        <w:tc>
          <w:tcPr>
            <w:tcW w:w="1000" w:type="dxa"/>
            <w:vAlign w:val="bottom"/>
            <w:tcBorders>
              <w:top w:val="single" w:sz="8" w:color="0000EE"/>
              <w:bottom w:val="single" w:sz="8" w:color="0000EE"/>
            </w:tcBorders>
            <w:gridSpan w:val="2"/>
          </w:tcPr>
          <w:p>
            <w:pPr>
              <w:spacing w:after="0" w:line="167" w:lineRule="exact"/>
              <w:rPr>
                <w:rFonts w:ascii="Times New Roman" w:cs="Times New Roman" w:eastAsia="Times New Roman" w:hAnsi="Times New Roman"/>
                <w:sz w:val="16"/>
                <w:szCs w:val="16"/>
                <w:color w:val="0000EE"/>
                <w:w w:val="99"/>
              </w:rPr>
            </w:pPr>
            <w:hyperlink r:id="rId25">
              <w:r>
                <w:rPr>
                  <w:rFonts w:ascii="Times New Roman" w:cs="Times New Roman" w:eastAsia="Times New Roman" w:hAnsi="Times New Roman"/>
                  <w:sz w:val="16"/>
                  <w:szCs w:val="16"/>
                  <w:color w:val="0000EE"/>
                  <w:w w:val="99"/>
                </w:rPr>
                <w:t>July 13, 2018).</w:t>
              </w:r>
            </w:hyperlink>
          </w:p>
        </w:tc>
        <w:tc>
          <w:tcPr>
            <w:tcW w:w="8840" w:type="dxa"/>
            <w:vAlign w:val="bottom"/>
            <w:tcBorders>
              <w:top w:val="single" w:sz="8" w:color="0000EE"/>
            </w:tcBorders>
            <w:gridSpan w:val="21"/>
          </w:tcPr>
          <w:p>
            <w:pPr>
              <w:spacing w:after="0"/>
              <w:rPr>
                <w:sz w:val="14"/>
                <w:szCs w:val="14"/>
                <w:color w:val="auto"/>
              </w:rPr>
            </w:pPr>
          </w:p>
        </w:tc>
        <w:tc>
          <w:tcPr>
            <w:tcW w:w="280" w:type="dxa"/>
            <w:vAlign w:val="bottom"/>
            <w:gridSpan w:val="9"/>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0120" w:type="dxa"/>
            <w:vAlign w:val="bottom"/>
            <w:gridSpan w:val="32"/>
          </w:tcPr>
          <w:p>
            <w:pPr>
              <w:spacing w:after="0"/>
              <w:rPr>
                <w:rFonts w:ascii="Times New Roman" w:cs="Times New Roman" w:eastAsia="Times New Roman" w:hAnsi="Times New Roman"/>
                <w:sz w:val="16"/>
                <w:szCs w:val="16"/>
                <w:color w:val="0000EE"/>
                <w:w w:val="98"/>
              </w:rPr>
            </w:pPr>
            <w:hyperlink r:id="rId26">
              <w:r>
                <w:rPr>
                  <w:rFonts w:ascii="Times New Roman" w:cs="Times New Roman" w:eastAsia="Times New Roman" w:hAnsi="Times New Roman"/>
                  <w:sz w:val="16"/>
                  <w:szCs w:val="16"/>
                  <w:color w:val="0000EE"/>
                  <w:w w:val="98"/>
                </w:rPr>
                <w:t>Amended and Restated 2010 Israeli Share Option Plan (incorporated by reference to Exhibit 4.2 to the Registrant’s Annual Report on Form 20-F, filed with the</w:t>
              </w:r>
            </w:hyperlink>
          </w:p>
        </w:tc>
      </w:tr>
      <w:tr>
        <w:trPr>
          <w:trHeight w:val="167"/>
        </w:trPr>
        <w:tc>
          <w:tcPr>
            <w:tcW w:w="114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4"/>
          </w:tcPr>
          <w:p>
            <w:pPr>
              <w:spacing w:after="0" w:line="167" w:lineRule="exact"/>
              <w:rPr>
                <w:rFonts w:ascii="Times New Roman" w:cs="Times New Roman" w:eastAsia="Times New Roman" w:hAnsi="Times New Roman"/>
                <w:sz w:val="16"/>
                <w:szCs w:val="16"/>
                <w:color w:val="0000EE"/>
                <w:w w:val="96"/>
              </w:rPr>
            </w:pPr>
            <w:hyperlink r:id="rId26">
              <w:r>
                <w:rPr>
                  <w:rFonts w:ascii="Times New Roman" w:cs="Times New Roman" w:eastAsia="Times New Roman" w:hAnsi="Times New Roman"/>
                  <w:sz w:val="16"/>
                  <w:szCs w:val="16"/>
                  <w:color w:val="0000EE"/>
                  <w:w w:val="96"/>
                </w:rPr>
                <w:t>SEC on March 15, 2018).</w:t>
              </w:r>
            </w:hyperlink>
          </w:p>
        </w:tc>
        <w:tc>
          <w:tcPr>
            <w:tcW w:w="8320" w:type="dxa"/>
            <w:vAlign w:val="bottom"/>
            <w:tcBorders>
              <w:top w:val="single" w:sz="8" w:color="0000EE"/>
            </w:tcBorders>
            <w:gridSpan w:val="21"/>
          </w:tcPr>
          <w:p>
            <w:pPr>
              <w:spacing w:after="0"/>
              <w:rPr>
                <w:sz w:val="14"/>
                <w:szCs w:val="14"/>
                <w:color w:val="auto"/>
              </w:rPr>
            </w:pPr>
          </w:p>
        </w:tc>
        <w:tc>
          <w:tcPr>
            <w:tcW w:w="200" w:type="dxa"/>
            <w:vAlign w:val="bottom"/>
            <w:gridSpan w:val="7"/>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978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w w:val="97"/>
              </w:rPr>
            </w:pPr>
            <w:hyperlink r:id="rId27">
              <w:r>
                <w:rPr>
                  <w:rFonts w:ascii="Times New Roman" w:cs="Times New Roman" w:eastAsia="Times New Roman" w:hAnsi="Times New Roman"/>
                  <w:sz w:val="16"/>
                  <w:szCs w:val="16"/>
                  <w:color w:val="0000EE"/>
                  <w:w w:val="97"/>
                </w:rPr>
                <w:t>2017 Equity Incentive Plan, as amended (incorporated by reference to Exhibit 10.1 to the Registrant's Quarterly Report on Form 10-Q, filed with the SEC on</w:t>
              </w:r>
            </w:hyperlink>
          </w:p>
        </w:tc>
        <w:tc>
          <w:tcPr>
            <w:tcW w:w="340" w:type="dxa"/>
            <w:vAlign w:val="bottom"/>
            <w:gridSpan w:val="11"/>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line="167" w:lineRule="exact"/>
              <w:rPr>
                <w:rFonts w:ascii="Times New Roman" w:cs="Times New Roman" w:eastAsia="Times New Roman" w:hAnsi="Times New Roman"/>
                <w:sz w:val="16"/>
                <w:szCs w:val="16"/>
                <w:color w:val="0000EE"/>
                <w:w w:val="96"/>
              </w:rPr>
            </w:pPr>
            <w:hyperlink r:id="rId27">
              <w:r>
                <w:rPr>
                  <w:rFonts w:ascii="Times New Roman" w:cs="Times New Roman" w:eastAsia="Times New Roman" w:hAnsi="Times New Roman"/>
                  <w:sz w:val="16"/>
                  <w:szCs w:val="16"/>
                  <w:color w:val="0000EE"/>
                  <w:w w:val="96"/>
                </w:rPr>
                <w:t>November 14, 2023).</w:t>
              </w:r>
            </w:hyperlink>
          </w:p>
        </w:tc>
        <w:tc>
          <w:tcPr>
            <w:tcW w:w="8780" w:type="dxa"/>
            <w:vAlign w:val="bottom"/>
            <w:gridSpan w:val="29"/>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4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w w:val="97"/>
              </w:rPr>
            </w:pPr>
            <w:hyperlink r:id="rId28">
              <w:r>
                <w:rPr>
                  <w:rFonts w:ascii="Times New Roman" w:cs="Times New Roman" w:eastAsia="Times New Roman" w:hAnsi="Times New Roman"/>
                  <w:sz w:val="16"/>
                  <w:szCs w:val="16"/>
                  <w:color w:val="0000EE"/>
                  <w:w w:val="97"/>
                </w:rPr>
                <w:t>2017 Israeli Equity Incentive Sub Plan to the 2017 Equity Incentive Plan (incorporated by reference to Exhibit 10.7 to the Registrant’s Registration Statement on</w:t>
              </w:r>
            </w:hyperlink>
          </w:p>
        </w:tc>
        <w:tc>
          <w:tcPr>
            <w:tcW w:w="80" w:type="dxa"/>
            <w:vAlign w:val="bottom"/>
            <w:gridSpan w:val="3"/>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Form F-1, filed with the SEC on April 7, 2017).</w:t>
              </w:r>
            </w:hyperlink>
          </w:p>
        </w:tc>
      </w:tr>
      <w:tr>
        <w:trPr>
          <w:trHeight w:val="20"/>
        </w:trPr>
        <w:tc>
          <w:tcPr>
            <w:tcW w:w="1140" w:type="dxa"/>
            <w:vAlign w:val="bottom"/>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964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w w:val="97"/>
              </w:rPr>
            </w:pPr>
            <w:hyperlink r:id="rId29">
              <w:r>
                <w:rPr>
                  <w:rFonts w:ascii="Times New Roman" w:cs="Times New Roman" w:eastAsia="Times New Roman" w:hAnsi="Times New Roman"/>
                  <w:sz w:val="16"/>
                  <w:szCs w:val="16"/>
                  <w:color w:val="0000EE"/>
                  <w:w w:val="97"/>
                </w:rPr>
                <w:t>Form of Stock Option Grant Notice and Stock Option Agreement under the UroGen Pharma Ltd. 2017 Equity Incentive Plan (incorporated by reference to</w:t>
              </w:r>
            </w:hyperlink>
          </w:p>
        </w:tc>
        <w:tc>
          <w:tcPr>
            <w:tcW w:w="480" w:type="dxa"/>
            <w:vAlign w:val="bottom"/>
            <w:gridSpan w:val="12"/>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Exhibit 10.3 to the Registrant’s Quarterly Report on Form 10-Q, filed with the SEC on November 14, 2023).</w:t>
              </w:r>
            </w:hyperlink>
          </w:p>
        </w:tc>
      </w:tr>
      <w:tr>
        <w:trPr>
          <w:trHeight w:val="20"/>
        </w:trPr>
        <w:tc>
          <w:tcPr>
            <w:tcW w:w="1140" w:type="dxa"/>
            <w:vAlign w:val="bottom"/>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0120" w:type="dxa"/>
            <w:vAlign w:val="bottom"/>
            <w:gridSpan w:val="32"/>
          </w:tcPr>
          <w:p>
            <w:pPr>
              <w:spacing w:after="0"/>
              <w:rPr>
                <w:rFonts w:ascii="Times New Roman" w:cs="Times New Roman" w:eastAsia="Times New Roman" w:hAnsi="Times New Roman"/>
                <w:sz w:val="16"/>
                <w:szCs w:val="16"/>
                <w:color w:val="0000EE"/>
                <w:w w:val="99"/>
              </w:rPr>
            </w:pPr>
            <w:hyperlink r:id="rId30">
              <w:r>
                <w:rPr>
                  <w:rFonts w:ascii="Times New Roman" w:cs="Times New Roman" w:eastAsia="Times New Roman" w:hAnsi="Times New Roman"/>
                  <w:sz w:val="16"/>
                  <w:szCs w:val="16"/>
                  <w:color w:val="0000EE"/>
                  <w:w w:val="99"/>
                </w:rPr>
                <w:t>Form of Restricted Stock Unit Grant Notice and Restricted Stock Unit Agreement under the UroGen Pharma Ltd. 2017 Equity Incentive Plan (incorporated by</w:t>
              </w:r>
            </w:hyperlink>
          </w:p>
        </w:tc>
      </w:tr>
      <w:tr>
        <w:trPr>
          <w:trHeight w:val="167"/>
        </w:trPr>
        <w:tc>
          <w:tcPr>
            <w:tcW w:w="1140" w:type="dxa"/>
            <w:vAlign w:val="bottom"/>
          </w:tcPr>
          <w:p>
            <w:pPr>
              <w:spacing w:after="0"/>
              <w:rPr>
                <w:sz w:val="14"/>
                <w:szCs w:val="14"/>
                <w:color w:val="auto"/>
              </w:rPr>
            </w:pPr>
          </w:p>
        </w:tc>
        <w:tc>
          <w:tcPr>
            <w:tcW w:w="7560" w:type="dxa"/>
            <w:vAlign w:val="bottom"/>
            <w:tcBorders>
              <w:top w:val="single" w:sz="8" w:color="0000EE"/>
              <w:bottom w:val="single" w:sz="8" w:color="0000EE"/>
            </w:tcBorders>
            <w:gridSpan w:val="18"/>
          </w:tcPr>
          <w:p>
            <w:pPr>
              <w:spacing w:after="0" w:line="167" w:lineRule="exact"/>
              <w:rPr>
                <w:rFonts w:ascii="Times New Roman" w:cs="Times New Roman" w:eastAsia="Times New Roman" w:hAnsi="Times New Roman"/>
                <w:sz w:val="16"/>
                <w:szCs w:val="16"/>
                <w:color w:val="0000EE"/>
                <w:w w:val="97"/>
              </w:rPr>
            </w:pPr>
            <w:hyperlink r:id="rId30">
              <w:r>
                <w:rPr>
                  <w:rFonts w:ascii="Times New Roman" w:cs="Times New Roman" w:eastAsia="Times New Roman" w:hAnsi="Times New Roman"/>
                  <w:sz w:val="16"/>
                  <w:szCs w:val="16"/>
                  <w:color w:val="0000EE"/>
                  <w:w w:val="97"/>
                </w:rPr>
                <w:t>reference to Exhibit 10.4 to the Registrant’s Quarterly Report on Form 10-Q, filed with the SEC on November 14, 2023).</w:t>
              </w:r>
            </w:hyperlink>
          </w:p>
        </w:tc>
        <w:tc>
          <w:tcPr>
            <w:tcW w:w="2320" w:type="dxa"/>
            <w:vAlign w:val="bottom"/>
            <w:tcBorders>
              <w:top w:val="single" w:sz="8" w:color="0000EE"/>
            </w:tcBorders>
            <w:gridSpan w:val="6"/>
          </w:tcPr>
          <w:p>
            <w:pPr>
              <w:spacing w:after="0"/>
              <w:rPr>
                <w:sz w:val="14"/>
                <w:szCs w:val="14"/>
                <w:color w:val="auto"/>
              </w:rPr>
            </w:pPr>
          </w:p>
        </w:tc>
        <w:tc>
          <w:tcPr>
            <w:tcW w:w="240" w:type="dxa"/>
            <w:vAlign w:val="bottom"/>
            <w:gridSpan w:val="8"/>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008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w w:val="97"/>
              </w:rPr>
            </w:pPr>
            <w:hyperlink r:id="rId31">
              <w:r>
                <w:rPr>
                  <w:rFonts w:ascii="Times New Roman" w:cs="Times New Roman" w:eastAsia="Times New Roman" w:hAnsi="Times New Roman"/>
                  <w:sz w:val="16"/>
                  <w:szCs w:val="16"/>
                  <w:color w:val="0000EE"/>
                  <w:w w:val="97"/>
                </w:rPr>
                <w:t>Amendment to Form of Restricted Stock Unit Grant Notice under the UroGen Pharma Ltd. 2017 Equity Incentive Plan (incorporated by reference to Exhibit 10.7</w:t>
              </w:r>
            </w:hyperlink>
          </w:p>
        </w:tc>
        <w:tc>
          <w:tcPr>
            <w:tcW w:w="40" w:type="dxa"/>
            <w:vAlign w:val="bottom"/>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31">
              <w:r>
                <w:rPr>
                  <w:rFonts w:ascii="Times New Roman" w:cs="Times New Roman" w:eastAsia="Times New Roman" w:hAnsi="Times New Roman"/>
                  <w:sz w:val="16"/>
                  <w:szCs w:val="16"/>
                  <w:color w:val="0000EE"/>
                </w:rPr>
                <w:t>to the Registrant’s Annual Report on Form 10-K (File No. 001-38079), filed with the SEC on March 14, 2024).</w:t>
              </w:r>
            </w:hyperlink>
          </w:p>
        </w:tc>
      </w:tr>
      <w:tr>
        <w:trPr>
          <w:trHeight w:val="20"/>
        </w:trPr>
        <w:tc>
          <w:tcPr>
            <w:tcW w:w="1140" w:type="dxa"/>
            <w:vAlign w:val="bottom"/>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006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w w:val="96"/>
              </w:rPr>
            </w:pPr>
            <w:hyperlink r:id="rId32">
              <w:r>
                <w:rPr>
                  <w:rFonts w:ascii="Times New Roman" w:cs="Times New Roman" w:eastAsia="Times New Roman" w:hAnsi="Times New Roman"/>
                  <w:sz w:val="16"/>
                  <w:szCs w:val="16"/>
                  <w:color w:val="0000EE"/>
                  <w:w w:val="96"/>
                </w:rPr>
                <w:t>Form of Performance-Based Restricted Stock Unit Grant Notice and Performance-Based Restricted Stock Unit Award Agreement under the UroGen Pharma Ltd.</w:t>
              </w:r>
            </w:hyperlink>
          </w:p>
        </w:tc>
        <w:tc>
          <w:tcPr>
            <w:tcW w:w="60" w:type="dxa"/>
            <w:vAlign w:val="bottom"/>
            <w:gridSpan w:val="2"/>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w w:val="99"/>
              </w:rPr>
            </w:pPr>
            <w:hyperlink r:id="rId32">
              <w:r>
                <w:rPr>
                  <w:rFonts w:ascii="Times New Roman" w:cs="Times New Roman" w:eastAsia="Times New Roman" w:hAnsi="Times New Roman"/>
                  <w:sz w:val="16"/>
                  <w:szCs w:val="16"/>
                  <w:color w:val="0000EE"/>
                  <w:w w:val="99"/>
                </w:rPr>
                <w:t>2017 Equity Incentive Plan (incorporated by reference to Exhibit 10.5 to the Registrant’s Quarterly Report on Form 10-Q, filed with the SEC on November 14,</w:t>
              </w:r>
            </w:hyperlink>
          </w:p>
        </w:tc>
      </w:tr>
      <w:tr>
        <w:trPr>
          <w:trHeight w:val="167"/>
        </w:trPr>
        <w:tc>
          <w:tcPr>
            <w:tcW w:w="114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7" w:lineRule="exact"/>
              <w:rPr>
                <w:rFonts w:ascii="Times New Roman" w:cs="Times New Roman" w:eastAsia="Times New Roman" w:hAnsi="Times New Roman"/>
                <w:sz w:val="16"/>
                <w:szCs w:val="16"/>
                <w:color w:val="0000EE"/>
                <w:w w:val="91"/>
              </w:rPr>
            </w:pPr>
            <w:hyperlink r:id="rId32">
              <w:r>
                <w:rPr>
                  <w:rFonts w:ascii="Times New Roman" w:cs="Times New Roman" w:eastAsia="Times New Roman" w:hAnsi="Times New Roman"/>
                  <w:sz w:val="16"/>
                  <w:szCs w:val="16"/>
                  <w:color w:val="0000EE"/>
                  <w:w w:val="91"/>
                </w:rPr>
                <w:t>2023).</w:t>
              </w:r>
            </w:hyperlink>
          </w:p>
        </w:tc>
        <w:tc>
          <w:tcPr>
            <w:tcW w:w="6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3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10120" w:type="dxa"/>
            <w:vAlign w:val="bottom"/>
            <w:gridSpan w:val="32"/>
          </w:tcPr>
          <w:p>
            <w:pPr>
              <w:spacing w:after="0"/>
              <w:rPr>
                <w:rFonts w:ascii="Times New Roman" w:cs="Times New Roman" w:eastAsia="Times New Roman" w:hAnsi="Times New Roman"/>
                <w:sz w:val="16"/>
                <w:szCs w:val="16"/>
                <w:color w:val="0000EE"/>
                <w:w w:val="98"/>
              </w:rPr>
            </w:pPr>
            <w:hyperlink r:id="rId33">
              <w:r>
                <w:rPr>
                  <w:rFonts w:ascii="Times New Roman" w:cs="Times New Roman" w:eastAsia="Times New Roman" w:hAnsi="Times New Roman"/>
                  <w:sz w:val="16"/>
                  <w:szCs w:val="16"/>
                  <w:color w:val="0000EE"/>
                  <w:w w:val="98"/>
                </w:rPr>
                <w:t>UroGen Pharma Ltd. 2019 Inducement Plan, as amended (incorporated by reference to Exhibit 10.5 to the Registrant's Annual Report on Form 10-K, filed with</w:t>
              </w:r>
            </w:hyperlink>
          </w:p>
        </w:tc>
      </w:tr>
      <w:tr>
        <w:trPr>
          <w:trHeight w:val="167"/>
        </w:trPr>
        <w:tc>
          <w:tcPr>
            <w:tcW w:w="1140" w:type="dxa"/>
            <w:vAlign w:val="bottom"/>
          </w:tcPr>
          <w:p>
            <w:pPr>
              <w:spacing w:after="0"/>
              <w:rPr>
                <w:sz w:val="14"/>
                <w:szCs w:val="14"/>
                <w:color w:val="auto"/>
              </w:rPr>
            </w:pPr>
          </w:p>
        </w:tc>
        <w:tc>
          <w:tcPr>
            <w:tcW w:w="9980" w:type="dxa"/>
            <w:vAlign w:val="bottom"/>
            <w:tcBorders>
              <w:top w:val="single" w:sz="8" w:color="0000EE"/>
            </w:tcBorders>
            <w:gridSpan w:val="26"/>
          </w:tcPr>
          <w:p>
            <w:pPr>
              <w:spacing w:after="0" w:line="167" w:lineRule="exact"/>
              <w:rPr>
                <w:rFonts w:ascii="Times New Roman" w:cs="Times New Roman" w:eastAsia="Times New Roman" w:hAnsi="Times New Roman"/>
                <w:sz w:val="16"/>
                <w:szCs w:val="16"/>
                <w:color w:val="0000EE"/>
              </w:rPr>
            </w:pPr>
            <w:hyperlink r:id="rId33">
              <w:r>
                <w:rPr>
                  <w:rFonts w:ascii="Times New Roman" w:cs="Times New Roman" w:eastAsia="Times New Roman" w:hAnsi="Times New Roman"/>
                  <w:sz w:val="16"/>
                  <w:szCs w:val="16"/>
                  <w:color w:val="0000EE"/>
                </w:rPr>
                <w:t>the SEC on March 21, 2022).</w:t>
              </w:r>
            </w:hyperlink>
          </w:p>
        </w:tc>
        <w:tc>
          <w:tcPr>
            <w:tcW w:w="140" w:type="dxa"/>
            <w:vAlign w:val="bottom"/>
            <w:gridSpan w:val="6"/>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98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w w:val="97"/>
              </w:rPr>
            </w:pPr>
            <w:hyperlink r:id="rId34">
              <w:r>
                <w:rPr>
                  <w:rFonts w:ascii="Times New Roman" w:cs="Times New Roman" w:eastAsia="Times New Roman" w:hAnsi="Times New Roman"/>
                  <w:sz w:val="16"/>
                  <w:szCs w:val="16"/>
                  <w:color w:val="0000EE"/>
                  <w:w w:val="97"/>
                </w:rPr>
                <w:t>Form of Stock Option Grant Notice and Stock Option Agreement under the UroGen Pharma Ltd. 2019 Inducement Plan (incorporated by reference to Exhibit</w:t>
              </w:r>
            </w:hyperlink>
          </w:p>
        </w:tc>
        <w:tc>
          <w:tcPr>
            <w:tcW w:w="280" w:type="dxa"/>
            <w:vAlign w:val="bottom"/>
            <w:gridSpan w:val="9"/>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3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r>
                <w:rPr>
                  <w:rFonts w:ascii="Times New Roman" w:cs="Times New Roman" w:eastAsia="Times New Roman" w:hAnsi="Times New Roman"/>
                  <w:sz w:val="16"/>
                  <w:szCs w:val="16"/>
                  <w:color w:val="0000EE"/>
                </w:rPr>
                <w:t xml:space="preserve"> to the Registrant’s Current Report on Form 8-K, filed with the SEC on May 28, 2019).</w:t>
              </w:r>
            </w:hyperlink>
          </w:p>
        </w:tc>
      </w:tr>
      <w:tr>
        <w:trPr>
          <w:trHeight w:val="20"/>
        </w:trPr>
        <w:tc>
          <w:tcPr>
            <w:tcW w:w="1140" w:type="dxa"/>
            <w:vAlign w:val="bottom"/>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10120" w:type="dxa"/>
            <w:vAlign w:val="bottom"/>
            <w:gridSpan w:val="32"/>
          </w:tcPr>
          <w:p>
            <w:pPr>
              <w:spacing w:after="0"/>
              <w:rPr>
                <w:rFonts w:ascii="Times New Roman" w:cs="Times New Roman" w:eastAsia="Times New Roman" w:hAnsi="Times New Roman"/>
                <w:sz w:val="16"/>
                <w:szCs w:val="16"/>
                <w:color w:val="0000EE"/>
              </w:rPr>
            </w:pPr>
            <w:hyperlink r:id="rId35">
              <w:r>
                <w:rPr>
                  <w:rFonts w:ascii="Times New Roman" w:cs="Times New Roman" w:eastAsia="Times New Roman" w:hAnsi="Times New Roman"/>
                  <w:sz w:val="16"/>
                  <w:szCs w:val="16"/>
                  <w:color w:val="0000EE"/>
                </w:rPr>
                <w:t>Form of Restricted Stock Unit Grant Notice and Restricted Stock Unit Agreement under the UroGen Pharma Ltd. 2019 Inducement Plan (incorporated by</w:t>
              </w:r>
            </w:hyperlink>
          </w:p>
        </w:tc>
      </w:tr>
      <w:tr>
        <w:trPr>
          <w:trHeight w:val="167"/>
        </w:trPr>
        <w:tc>
          <w:tcPr>
            <w:tcW w:w="1140" w:type="dxa"/>
            <w:vAlign w:val="bottom"/>
          </w:tcPr>
          <w:p>
            <w:pPr>
              <w:spacing w:after="0"/>
              <w:rPr>
                <w:sz w:val="14"/>
                <w:szCs w:val="14"/>
                <w:color w:val="auto"/>
              </w:rPr>
            </w:pPr>
          </w:p>
        </w:tc>
        <w:tc>
          <w:tcPr>
            <w:tcW w:w="9580" w:type="dxa"/>
            <w:vAlign w:val="bottom"/>
            <w:tcBorders>
              <w:top w:val="single" w:sz="8" w:color="0000EE"/>
            </w:tcBorders>
            <w:gridSpan w:val="19"/>
          </w:tcPr>
          <w:p>
            <w:pPr>
              <w:spacing w:after="0" w:line="167" w:lineRule="exact"/>
              <w:rPr>
                <w:rFonts w:ascii="Times New Roman" w:cs="Times New Roman" w:eastAsia="Times New Roman" w:hAnsi="Times New Roman"/>
                <w:sz w:val="16"/>
                <w:szCs w:val="16"/>
                <w:color w:val="0000EE"/>
              </w:rPr>
            </w:pPr>
            <w:hyperlink r:id="rId35">
              <w:r>
                <w:rPr>
                  <w:rFonts w:ascii="Times New Roman" w:cs="Times New Roman" w:eastAsia="Times New Roman" w:hAnsi="Times New Roman"/>
                  <w:sz w:val="16"/>
                  <w:szCs w:val="16"/>
                  <w:color w:val="0000EE"/>
                </w:rPr>
                <w:t>reference to Exhibit 10.3 to the Registrant’s Current Report on Form 8-K, filed with the SEC on May 28, 2019).</w:t>
              </w:r>
            </w:hyperlink>
          </w:p>
        </w:tc>
        <w:tc>
          <w:tcPr>
            <w:tcW w:w="540" w:type="dxa"/>
            <w:vAlign w:val="bottom"/>
            <w:gridSpan w:val="13"/>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1002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w w:val="97"/>
              </w:rPr>
            </w:pPr>
            <w:hyperlink r:id="rId36">
              <w:r>
                <w:rPr>
                  <w:rFonts w:ascii="Times New Roman" w:cs="Times New Roman" w:eastAsia="Times New Roman" w:hAnsi="Times New Roman"/>
                  <w:sz w:val="16"/>
                  <w:szCs w:val="16"/>
                  <w:color w:val="0000EE"/>
                  <w:w w:val="97"/>
                </w:rPr>
                <w:t>Amendment to Form of Restricted Stock Unit Grant Notice under the UroGen Pharma Ltd. 2019 Inducement Plan (incorporated by reference to Exhibit 10.12 to</w:t>
              </w:r>
            </w:hyperlink>
          </w:p>
        </w:tc>
        <w:tc>
          <w:tcPr>
            <w:tcW w:w="100" w:type="dxa"/>
            <w:vAlign w:val="bottom"/>
            <w:gridSpan w:val="4"/>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36">
              <w:r>
                <w:rPr>
                  <w:rFonts w:ascii="Times New Roman" w:cs="Times New Roman" w:eastAsia="Times New Roman" w:hAnsi="Times New Roman"/>
                  <w:sz w:val="16"/>
                  <w:szCs w:val="16"/>
                  <w:color w:val="0000EE"/>
                </w:rPr>
                <w:t>the Registrant’s Annual Report on Form 10-K (File No. 001-38079), filed with the SEC on March 14, 2024).</w:t>
              </w:r>
            </w:hyperlink>
          </w:p>
        </w:tc>
      </w:tr>
      <w:tr>
        <w:trPr>
          <w:trHeight w:val="20"/>
        </w:trPr>
        <w:tc>
          <w:tcPr>
            <w:tcW w:w="1140" w:type="dxa"/>
            <w:vAlign w:val="bottom"/>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980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7"/>
              </w:rPr>
            </w:pPr>
            <w:hyperlink r:id="rId37">
              <w:r>
                <w:rPr>
                  <w:rFonts w:ascii="Times New Roman" w:cs="Times New Roman" w:eastAsia="Times New Roman" w:hAnsi="Times New Roman"/>
                  <w:sz w:val="16"/>
                  <w:szCs w:val="16"/>
                  <w:color w:val="0000EE"/>
                  <w:w w:val="97"/>
                </w:rPr>
                <w:t>Amended and Restated Compensation Policy for Officer Holders (incorporated by reference to Exhibit 10.8 to the Registrant's Annual Report on Form 10-K,</w:t>
              </w:r>
            </w:hyperlink>
          </w:p>
        </w:tc>
        <w:tc>
          <w:tcPr>
            <w:tcW w:w="320" w:type="dxa"/>
            <w:vAlign w:val="bottom"/>
            <w:gridSpan w:val="10"/>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37">
              <w:r>
                <w:rPr>
                  <w:rFonts w:ascii="Times New Roman" w:cs="Times New Roman" w:eastAsia="Times New Roman" w:hAnsi="Times New Roman"/>
                  <w:sz w:val="16"/>
                  <w:szCs w:val="16"/>
                  <w:color w:val="0000EE"/>
                </w:rPr>
                <w:t>filed with the SEC on March 24, 2023).</w:t>
              </w:r>
            </w:hyperlink>
          </w:p>
        </w:tc>
      </w:tr>
      <w:tr>
        <w:trPr>
          <w:trHeight w:val="20"/>
        </w:trPr>
        <w:tc>
          <w:tcPr>
            <w:tcW w:w="1140" w:type="dxa"/>
            <w:vAlign w:val="bottom"/>
          </w:tcPr>
          <w:p>
            <w:pPr>
              <w:spacing w:after="0" w:line="20" w:lineRule="exact"/>
              <w:rPr>
                <w:sz w:val="1"/>
                <w:szCs w:val="1"/>
                <w:color w:val="auto"/>
              </w:rPr>
            </w:pPr>
          </w:p>
        </w:tc>
        <w:tc>
          <w:tcPr>
            <w:tcW w:w="2460" w:type="dxa"/>
            <w:vAlign w:val="bottom"/>
            <w:gridSpan w:val="8"/>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0120" w:type="dxa"/>
            <w:vAlign w:val="bottom"/>
            <w:gridSpan w:val="32"/>
          </w:tcPr>
          <w:p>
            <w:pPr>
              <w:spacing w:after="0"/>
              <w:rPr>
                <w:rFonts w:ascii="Times New Roman" w:cs="Times New Roman" w:eastAsia="Times New Roman" w:hAnsi="Times New Roman"/>
                <w:sz w:val="16"/>
                <w:szCs w:val="16"/>
                <w:color w:val="0000EE"/>
              </w:rPr>
            </w:pPr>
            <w:hyperlink r:id="rId38">
              <w:r>
                <w:rPr>
                  <w:rFonts w:ascii="Times New Roman" w:cs="Times New Roman" w:eastAsia="Times New Roman" w:hAnsi="Times New Roman"/>
                  <w:sz w:val="16"/>
                  <w:szCs w:val="16"/>
                  <w:color w:val="0000EE"/>
                </w:rPr>
                <w:t>Employment Agreement by and between the Registrant and Elizabeth Barrett, dated as of January 3, 2019 (incorporated by reference to Exhibit 10.9 to the</w:t>
              </w:r>
            </w:hyperlink>
          </w:p>
        </w:tc>
      </w:tr>
      <w:tr>
        <w:trPr>
          <w:trHeight w:val="167"/>
        </w:trPr>
        <w:tc>
          <w:tcPr>
            <w:tcW w:w="1140" w:type="dxa"/>
            <w:vAlign w:val="bottom"/>
          </w:tcPr>
          <w:p>
            <w:pPr>
              <w:spacing w:after="0"/>
              <w:rPr>
                <w:sz w:val="14"/>
                <w:szCs w:val="14"/>
                <w:color w:val="auto"/>
              </w:rPr>
            </w:pPr>
          </w:p>
        </w:tc>
        <w:tc>
          <w:tcPr>
            <w:tcW w:w="9640" w:type="dxa"/>
            <w:vAlign w:val="bottom"/>
            <w:tcBorders>
              <w:top w:val="single" w:sz="8" w:color="0000EE"/>
            </w:tcBorders>
            <w:gridSpan w:val="20"/>
          </w:tcPr>
          <w:p>
            <w:pPr>
              <w:spacing w:after="0" w:line="167" w:lineRule="exact"/>
              <w:rPr>
                <w:rFonts w:ascii="Times New Roman" w:cs="Times New Roman" w:eastAsia="Times New Roman" w:hAnsi="Times New Roman"/>
                <w:sz w:val="16"/>
                <w:szCs w:val="16"/>
                <w:color w:val="0000EE"/>
              </w:rPr>
            </w:pPr>
            <w:hyperlink r:id="rId38">
              <w:r>
                <w:rPr>
                  <w:rFonts w:ascii="Times New Roman" w:cs="Times New Roman" w:eastAsia="Times New Roman" w:hAnsi="Times New Roman"/>
                  <w:sz w:val="16"/>
                  <w:szCs w:val="16"/>
                  <w:color w:val="0000EE"/>
                </w:rPr>
                <w:t>Registrant’s Annual Report on Form 10-K, filed with the SEC on February 28, 2019).</w:t>
              </w:r>
            </w:hyperlink>
          </w:p>
        </w:tc>
        <w:tc>
          <w:tcPr>
            <w:tcW w:w="480" w:type="dxa"/>
            <w:vAlign w:val="bottom"/>
            <w:gridSpan w:val="12"/>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5340" w:type="dxa"/>
            <w:vAlign w:val="bottom"/>
            <w:gridSpan w:val="10"/>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67"/>
        </w:trPr>
        <w:tc>
          <w:tcPr>
            <w:tcW w:w="11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10.15*</w:t>
            </w:r>
          </w:p>
        </w:tc>
        <w:tc>
          <w:tcPr>
            <w:tcW w:w="10120" w:type="dxa"/>
            <w:vAlign w:val="bottom"/>
            <w:tcBorders>
              <w:bottom w:val="single" w:sz="8" w:color="0000EE"/>
            </w:tcBorders>
            <w:gridSpan w:val="32"/>
          </w:tcPr>
          <w:p>
            <w:pPr>
              <w:spacing w:after="0" w:line="167" w:lineRule="exact"/>
              <w:rPr>
                <w:rFonts w:ascii="Times New Roman" w:cs="Times New Roman" w:eastAsia="Times New Roman" w:hAnsi="Times New Roman"/>
                <w:sz w:val="16"/>
                <w:szCs w:val="16"/>
                <w:color w:val="0000EE"/>
                <w:w w:val="97"/>
              </w:rPr>
            </w:pPr>
            <w:hyperlink r:id="rId39">
              <w:r>
                <w:rPr>
                  <w:rFonts w:ascii="Times New Roman" w:cs="Times New Roman" w:eastAsia="Times New Roman" w:hAnsi="Times New Roman"/>
                  <w:sz w:val="16"/>
                  <w:szCs w:val="16"/>
                  <w:color w:val="0000EE"/>
                  <w:w w:val="97"/>
                </w:rPr>
                <w:t>Amendment 1 to Employment Agreement by and between the Registrant and Elizabeth Barrett, dated as of January 26, 2021 (incorporated by reference to Exhibit</w:t>
              </w:r>
            </w:hyperlink>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3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r>
                <w:rPr>
                  <w:rFonts w:ascii="Times New Roman" w:cs="Times New Roman" w:eastAsia="Times New Roman" w:hAnsi="Times New Roman"/>
                  <w:sz w:val="16"/>
                  <w:szCs w:val="16"/>
                  <w:color w:val="0000EE"/>
                </w:rPr>
                <w:t xml:space="preserve"> to the Registrant’s Quarterly Report on Form 10-Q, filed with the SEC on May 13, 2021).</w:t>
              </w:r>
            </w:hyperlink>
          </w:p>
        </w:tc>
      </w:tr>
      <w:tr>
        <w:trPr>
          <w:trHeight w:val="20"/>
        </w:trPr>
        <w:tc>
          <w:tcPr>
            <w:tcW w:w="1140" w:type="dxa"/>
            <w:vAlign w:val="bottom"/>
          </w:tcPr>
          <w:p>
            <w:pPr>
              <w:spacing w:after="0" w:line="20" w:lineRule="exact"/>
              <w:rPr>
                <w:sz w:val="1"/>
                <w:szCs w:val="1"/>
                <w:color w:val="auto"/>
              </w:rPr>
            </w:pPr>
          </w:p>
        </w:tc>
        <w:tc>
          <w:tcPr>
            <w:tcW w:w="5900" w:type="dxa"/>
            <w:vAlign w:val="bottom"/>
            <w:gridSpan w:val="1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1000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w w:val="97"/>
              </w:rPr>
            </w:pPr>
            <w:hyperlink r:id="rId40">
              <w:r>
                <w:rPr>
                  <w:rFonts w:ascii="Times New Roman" w:cs="Times New Roman" w:eastAsia="Times New Roman" w:hAnsi="Times New Roman"/>
                  <w:sz w:val="16"/>
                  <w:szCs w:val="16"/>
                  <w:color w:val="0000EE"/>
                  <w:w w:val="97"/>
                </w:rPr>
                <w:t>Omnibus Amendment to Equity Awards by and between the Registrant and Elizabeth Barrett, dated as of January 19, 2021 (incorporated by reference to Exhibit</w:t>
              </w:r>
            </w:hyperlink>
          </w:p>
        </w:tc>
        <w:tc>
          <w:tcPr>
            <w:tcW w:w="120" w:type="dxa"/>
            <w:vAlign w:val="bottom"/>
            <w:gridSpan w:val="5"/>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20" w:type="dxa"/>
            <w:vAlign w:val="bottom"/>
            <w:gridSpan w:val="32"/>
          </w:tcPr>
          <w:p>
            <w:pPr>
              <w:spacing w:after="0" w:line="167" w:lineRule="exact"/>
              <w:rPr>
                <w:rFonts w:ascii="Times New Roman" w:cs="Times New Roman" w:eastAsia="Times New Roman" w:hAnsi="Times New Roman"/>
                <w:sz w:val="16"/>
                <w:szCs w:val="16"/>
                <w:color w:val="0000EE"/>
              </w:rPr>
            </w:pPr>
            <w:hyperlink r:id="rId4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EE"/>
                </w:rPr>
                <w:t xml:space="preserve"> to the Registrant’s Quarterly Report on Form 10-Q, filed with the SEC on May 13, 2021).</w:t>
              </w:r>
            </w:hyperlink>
          </w:p>
        </w:tc>
      </w:tr>
      <w:tr>
        <w:trPr>
          <w:trHeight w:val="20"/>
        </w:trPr>
        <w:tc>
          <w:tcPr>
            <w:tcW w:w="1140" w:type="dxa"/>
            <w:vAlign w:val="bottom"/>
          </w:tcPr>
          <w:p>
            <w:pPr>
              <w:spacing w:after="0" w:line="20" w:lineRule="exact"/>
              <w:rPr>
                <w:sz w:val="1"/>
                <w:szCs w:val="1"/>
                <w:color w:val="auto"/>
              </w:rPr>
            </w:pPr>
          </w:p>
        </w:tc>
        <w:tc>
          <w:tcPr>
            <w:tcW w:w="5900" w:type="dxa"/>
            <w:vAlign w:val="bottom"/>
            <w:gridSpan w:val="1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10120" w:type="dxa"/>
            <w:vAlign w:val="bottom"/>
            <w:gridSpan w:val="32"/>
          </w:tcPr>
          <w:p>
            <w:pPr>
              <w:spacing w:after="0"/>
              <w:rPr>
                <w:rFonts w:ascii="Times New Roman" w:cs="Times New Roman" w:eastAsia="Times New Roman" w:hAnsi="Times New Roman"/>
                <w:sz w:val="16"/>
                <w:szCs w:val="16"/>
                <w:color w:val="0000EE"/>
                <w:w w:val="99"/>
              </w:rPr>
            </w:pPr>
            <w:hyperlink r:id="rId41">
              <w:r>
                <w:rPr>
                  <w:rFonts w:ascii="Times New Roman" w:cs="Times New Roman" w:eastAsia="Times New Roman" w:hAnsi="Times New Roman"/>
                  <w:sz w:val="16"/>
                  <w:szCs w:val="16"/>
                  <w:color w:val="0000EE"/>
                  <w:w w:val="99"/>
                </w:rPr>
                <w:t>Performance-Based Restricted Stock Unit Grant Notice by and between the Registrant and Elizabeth Barrett, dated as of November 13, 2023 (incorporated by</w:t>
              </w:r>
            </w:hyperlink>
          </w:p>
        </w:tc>
      </w:tr>
      <w:tr>
        <w:trPr>
          <w:trHeight w:val="167"/>
        </w:trPr>
        <w:tc>
          <w:tcPr>
            <w:tcW w:w="1140" w:type="dxa"/>
            <w:vAlign w:val="bottom"/>
          </w:tcPr>
          <w:p>
            <w:pPr>
              <w:spacing w:after="0"/>
              <w:rPr>
                <w:sz w:val="14"/>
                <w:szCs w:val="14"/>
                <w:color w:val="auto"/>
              </w:rPr>
            </w:pPr>
          </w:p>
        </w:tc>
        <w:tc>
          <w:tcPr>
            <w:tcW w:w="9840" w:type="dxa"/>
            <w:vAlign w:val="bottom"/>
            <w:tcBorders>
              <w:top w:val="single" w:sz="8" w:color="0000EE"/>
            </w:tcBorders>
            <w:gridSpan w:val="23"/>
          </w:tcPr>
          <w:p>
            <w:pPr>
              <w:spacing w:after="0" w:line="167" w:lineRule="exact"/>
              <w:rPr>
                <w:rFonts w:ascii="Times New Roman" w:cs="Times New Roman" w:eastAsia="Times New Roman" w:hAnsi="Times New Roman"/>
                <w:sz w:val="16"/>
                <w:szCs w:val="16"/>
                <w:color w:val="0000EE"/>
              </w:rPr>
            </w:pPr>
            <w:hyperlink r:id="rId41">
              <w:r>
                <w:rPr>
                  <w:rFonts w:ascii="Times New Roman" w:cs="Times New Roman" w:eastAsia="Times New Roman" w:hAnsi="Times New Roman"/>
                  <w:sz w:val="16"/>
                  <w:szCs w:val="16"/>
                  <w:color w:val="0000EE"/>
                </w:rPr>
                <w:t>reference to Exhibit 10.6 to the Registrant’s Quarterly Report on Form 10-Q, filed with the SEC on November 14, 2023).</w:t>
              </w:r>
            </w:hyperlink>
          </w:p>
        </w:tc>
        <w:tc>
          <w:tcPr>
            <w:tcW w:w="280" w:type="dxa"/>
            <w:vAlign w:val="bottom"/>
            <w:gridSpan w:val="9"/>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7540" w:type="dxa"/>
            <w:vAlign w:val="bottom"/>
            <w:gridSpan w:val="17"/>
            <w:shd w:val="clear" w:color="auto" w:fill="0000EE"/>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10120" w:type="dxa"/>
            <w:vAlign w:val="bottom"/>
            <w:gridSpan w:val="32"/>
          </w:tcPr>
          <w:p>
            <w:pPr>
              <w:spacing w:after="0"/>
              <w:rPr>
                <w:rFonts w:ascii="Times New Roman" w:cs="Times New Roman" w:eastAsia="Times New Roman" w:hAnsi="Times New Roman"/>
                <w:sz w:val="16"/>
                <w:szCs w:val="16"/>
                <w:color w:val="0000EE"/>
                <w:w w:val="98"/>
              </w:rPr>
            </w:pPr>
            <w:hyperlink r:id="rId42">
              <w:r>
                <w:rPr>
                  <w:rFonts w:ascii="Times New Roman" w:cs="Times New Roman" w:eastAsia="Times New Roman" w:hAnsi="Times New Roman"/>
                  <w:sz w:val="16"/>
                  <w:szCs w:val="16"/>
                  <w:color w:val="0000EE"/>
                  <w:w w:val="98"/>
                </w:rPr>
                <w:t>Amended Restricted Stock Unit Grant Notice by and between the Registrant and Elizabeth Barrett, dated as of December 20, 2023 (incorporated by reference to</w:t>
              </w:r>
            </w:hyperlink>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60"/>
          </w:cols>
          <w:pgMar w:left="320" w:top="121" w:right="319" w:bottom="0" w:gutter="0" w:footer="0" w:header="0"/>
        </w:sectPr>
      </w:pPr>
    </w:p>
    <w:bookmarkStart w:id="19" w:name="page20"/>
    <w:bookmarkEnd w:id="19"/>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784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7"/>
              </w:rPr>
            </w:pPr>
            <w:hyperlink r:id="rId42">
              <w:r>
                <w:rPr>
                  <w:rFonts w:ascii="Times New Roman" w:cs="Times New Roman" w:eastAsia="Times New Roman" w:hAnsi="Times New Roman"/>
                  <w:sz w:val="16"/>
                  <w:szCs w:val="16"/>
                  <w:color w:val="0000EE"/>
                  <w:w w:val="97"/>
                </w:rPr>
                <w:t>Exhibit 10.18 to the Registrant’s Annual Report on Form 10-K (File No. 001-38079), filed with the SEC on March 14, 2024).</w:t>
              </w:r>
            </w:hyperlink>
          </w:p>
        </w:tc>
        <w:tc>
          <w:tcPr>
            <w:tcW w:w="2260" w:type="dxa"/>
            <w:vAlign w:val="bottom"/>
            <w:gridSpan w:val="24"/>
          </w:tcPr>
          <w:p>
            <w:pPr>
              <w:spacing w:after="0"/>
              <w:rPr>
                <w:sz w:val="16"/>
                <w:szCs w:val="16"/>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9940" w:type="dxa"/>
            <w:vAlign w:val="bottom"/>
            <w:tcBorders>
              <w:bottom w:val="single" w:sz="8" w:color="0000EE"/>
            </w:tcBorders>
            <w:gridSpan w:val="32"/>
          </w:tcPr>
          <w:p>
            <w:pPr>
              <w:spacing w:after="0"/>
              <w:rPr>
                <w:rFonts w:ascii="Times New Roman" w:cs="Times New Roman" w:eastAsia="Times New Roman" w:hAnsi="Times New Roman"/>
                <w:sz w:val="16"/>
                <w:szCs w:val="16"/>
                <w:color w:val="0000EE"/>
                <w:w w:val="97"/>
              </w:rPr>
            </w:pPr>
            <w:hyperlink r:id="rId43">
              <w:r>
                <w:rPr>
                  <w:rFonts w:ascii="Times New Roman" w:cs="Times New Roman" w:eastAsia="Times New Roman" w:hAnsi="Times New Roman"/>
                  <w:sz w:val="16"/>
                  <w:szCs w:val="16"/>
                  <w:color w:val="0000EE"/>
                  <w:w w:val="97"/>
                </w:rPr>
                <w:t>Employment Agreement by and between the Registrant and Mark Schoenberg, dated as of December 5, 2017 (incorporated by reference to Exhibit 10.12 to the</w:t>
              </w:r>
            </w:hyperlink>
          </w:p>
        </w:tc>
        <w:tc>
          <w:tcPr>
            <w:tcW w:w="160" w:type="dxa"/>
            <w:vAlign w:val="bottom"/>
            <w:gridSpan w:val="6"/>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rPr>
            </w:pPr>
            <w:hyperlink r:id="rId43">
              <w:r>
                <w:rPr>
                  <w:rFonts w:ascii="Times New Roman" w:cs="Times New Roman" w:eastAsia="Times New Roman" w:hAnsi="Times New Roman"/>
                  <w:sz w:val="16"/>
                  <w:szCs w:val="16"/>
                  <w:color w:val="0000EE"/>
                </w:rPr>
                <w:t>Registrant’s Annual Report on Form 10-K, filed with the SEC on February 28, 2019).</w:t>
              </w:r>
            </w:hyperlink>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10100" w:type="dxa"/>
            <w:vAlign w:val="bottom"/>
            <w:gridSpan w:val="38"/>
          </w:tcPr>
          <w:p>
            <w:pPr>
              <w:spacing w:after="0"/>
              <w:rPr>
                <w:rFonts w:ascii="Times New Roman" w:cs="Times New Roman" w:eastAsia="Times New Roman" w:hAnsi="Times New Roman"/>
                <w:sz w:val="16"/>
                <w:szCs w:val="16"/>
                <w:color w:val="0000EE"/>
              </w:rPr>
            </w:pPr>
            <w:hyperlink r:id="rId44">
              <w:r>
                <w:rPr>
                  <w:rFonts w:ascii="Times New Roman" w:cs="Times New Roman" w:eastAsia="Times New Roman" w:hAnsi="Times New Roman"/>
                  <w:sz w:val="16"/>
                  <w:szCs w:val="16"/>
                  <w:color w:val="0000EE"/>
                </w:rPr>
                <w:t>Amendment 1 to Employment Agreement by and between the Registrant and Mark Schoenberg, dated as of January 26, 2021 (incorporated by reference to</w:t>
              </w:r>
            </w:hyperlink>
          </w:p>
        </w:tc>
      </w:tr>
      <w:tr>
        <w:trPr>
          <w:trHeight w:val="167"/>
        </w:trPr>
        <w:tc>
          <w:tcPr>
            <w:tcW w:w="1140" w:type="dxa"/>
            <w:vAlign w:val="bottom"/>
          </w:tcPr>
          <w:p>
            <w:pPr>
              <w:spacing w:after="0"/>
              <w:rPr>
                <w:sz w:val="14"/>
                <w:szCs w:val="14"/>
                <w:color w:val="auto"/>
              </w:rPr>
            </w:pPr>
          </w:p>
        </w:tc>
        <w:tc>
          <w:tcPr>
            <w:tcW w:w="9660" w:type="dxa"/>
            <w:vAlign w:val="bottom"/>
            <w:tcBorders>
              <w:top w:val="single" w:sz="8" w:color="0000EE"/>
            </w:tcBorders>
            <w:gridSpan w:val="23"/>
          </w:tcPr>
          <w:p>
            <w:pPr>
              <w:spacing w:after="0" w:line="167" w:lineRule="exact"/>
              <w:rPr>
                <w:rFonts w:ascii="Times New Roman" w:cs="Times New Roman" w:eastAsia="Times New Roman" w:hAnsi="Times New Roman"/>
                <w:sz w:val="16"/>
                <w:szCs w:val="16"/>
                <w:color w:val="0000EE"/>
              </w:rPr>
            </w:pPr>
            <w:hyperlink r:id="rId44">
              <w:r>
                <w:rPr>
                  <w:rFonts w:ascii="Times New Roman" w:cs="Times New Roman" w:eastAsia="Times New Roman" w:hAnsi="Times New Roman"/>
                  <w:sz w:val="16"/>
                  <w:szCs w:val="16"/>
                  <w:color w:val="0000EE"/>
                </w:rPr>
                <w:t>Exhibit 10.3 to the Registrant’s Quarterly Report on Form 10-Q, filed with the SEC on May 13, 2021).</w:t>
              </w:r>
            </w:hyperlink>
          </w:p>
        </w:tc>
        <w:tc>
          <w:tcPr>
            <w:tcW w:w="440" w:type="dxa"/>
            <w:vAlign w:val="bottom"/>
            <w:gridSpan w:val="15"/>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10100" w:type="dxa"/>
            <w:vAlign w:val="bottom"/>
            <w:gridSpan w:val="38"/>
          </w:tcPr>
          <w:p>
            <w:pPr>
              <w:spacing w:after="0"/>
              <w:rPr>
                <w:rFonts w:ascii="Times New Roman" w:cs="Times New Roman" w:eastAsia="Times New Roman" w:hAnsi="Times New Roman"/>
                <w:sz w:val="16"/>
                <w:szCs w:val="16"/>
                <w:color w:val="0000EE"/>
                <w:w w:val="97"/>
              </w:rPr>
            </w:pPr>
            <w:hyperlink r:id="rId45">
              <w:r>
                <w:rPr>
                  <w:rFonts w:ascii="Times New Roman" w:cs="Times New Roman" w:eastAsia="Times New Roman" w:hAnsi="Times New Roman"/>
                  <w:sz w:val="16"/>
                  <w:szCs w:val="16"/>
                  <w:color w:val="0000EE"/>
                  <w:w w:val="97"/>
                </w:rPr>
                <w:t>Amendment 2 to Employment Agreement by and between the Registrant and Mark Schoenberg, dated as of March 15, 2021 (incorporated by reference to Exhibit</w:t>
              </w:r>
            </w:hyperlink>
          </w:p>
        </w:tc>
      </w:tr>
      <w:tr>
        <w:trPr>
          <w:trHeight w:val="167"/>
        </w:trPr>
        <w:tc>
          <w:tcPr>
            <w:tcW w:w="1140" w:type="dxa"/>
            <w:vAlign w:val="bottom"/>
          </w:tcPr>
          <w:p>
            <w:pPr>
              <w:spacing w:after="0"/>
              <w:rPr>
                <w:sz w:val="14"/>
                <w:szCs w:val="14"/>
                <w:color w:val="auto"/>
              </w:rPr>
            </w:pPr>
          </w:p>
        </w:tc>
        <w:tc>
          <w:tcPr>
            <w:tcW w:w="10080" w:type="dxa"/>
            <w:vAlign w:val="bottom"/>
            <w:tcBorders>
              <w:top w:val="single" w:sz="8" w:color="0000EE"/>
            </w:tcBorders>
            <w:gridSpan w:val="37"/>
          </w:tcPr>
          <w:p>
            <w:pPr>
              <w:spacing w:after="0" w:line="167" w:lineRule="exact"/>
              <w:rPr>
                <w:rFonts w:ascii="Times New Roman" w:cs="Times New Roman" w:eastAsia="Times New Roman" w:hAnsi="Times New Roman"/>
                <w:sz w:val="16"/>
                <w:szCs w:val="16"/>
                <w:color w:val="0000EE"/>
              </w:rPr>
            </w:pPr>
            <w:hyperlink r:id="rId4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5</w:t>
              </w:r>
              <w:r>
                <w:rPr>
                  <w:rFonts w:ascii="Times New Roman" w:cs="Times New Roman" w:eastAsia="Times New Roman" w:hAnsi="Times New Roman"/>
                  <w:sz w:val="16"/>
                  <w:szCs w:val="16"/>
                  <w:color w:val="0000EE"/>
                </w:rPr>
                <w:t xml:space="preserve"> to the Registrant’s Quarterly Report on Form 10-Q, filed with the SEC on May 13, 2021).</w:t>
              </w:r>
            </w:hyperlink>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10100" w:type="dxa"/>
            <w:vAlign w:val="bottom"/>
            <w:gridSpan w:val="38"/>
          </w:tcPr>
          <w:p>
            <w:pPr>
              <w:spacing w:after="0"/>
              <w:rPr>
                <w:rFonts w:ascii="Times New Roman" w:cs="Times New Roman" w:eastAsia="Times New Roman" w:hAnsi="Times New Roman"/>
                <w:sz w:val="16"/>
                <w:szCs w:val="16"/>
                <w:color w:val="0000EE"/>
                <w:w w:val="97"/>
              </w:rPr>
            </w:pPr>
            <w:hyperlink r:id="rId46">
              <w:r>
                <w:rPr>
                  <w:rFonts w:ascii="Times New Roman" w:cs="Times New Roman" w:eastAsia="Times New Roman" w:hAnsi="Times New Roman"/>
                  <w:sz w:val="16"/>
                  <w:szCs w:val="16"/>
                  <w:color w:val="0000EE"/>
                  <w:w w:val="97"/>
                </w:rPr>
                <w:t>Employment Agreement between the Registrant and Jason Smith, dated August 12, 2020 (incorporated by reference to Exhibit 10.3 to the Registrant’s Quarterly</w:t>
              </w:r>
            </w:hyperlink>
          </w:p>
        </w:tc>
      </w:tr>
      <w:tr>
        <w:trPr>
          <w:trHeight w:val="167"/>
        </w:trPr>
        <w:tc>
          <w:tcPr>
            <w:tcW w:w="11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5"/>
          </w:tcPr>
          <w:p>
            <w:pPr>
              <w:spacing w:after="0" w:line="167" w:lineRule="exact"/>
              <w:rPr>
                <w:rFonts w:ascii="Times New Roman" w:cs="Times New Roman" w:eastAsia="Times New Roman" w:hAnsi="Times New Roman"/>
                <w:sz w:val="16"/>
                <w:szCs w:val="16"/>
                <w:color w:val="0000EE"/>
                <w:w w:val="96"/>
              </w:rPr>
            </w:pPr>
            <w:hyperlink r:id="rId46">
              <w:r>
                <w:rPr>
                  <w:rFonts w:ascii="Times New Roman" w:cs="Times New Roman" w:eastAsia="Times New Roman" w:hAnsi="Times New Roman"/>
                  <w:sz w:val="16"/>
                  <w:szCs w:val="16"/>
                  <w:color w:val="0000EE"/>
                  <w:w w:val="96"/>
                </w:rPr>
                <w:t>Report on Form 10-Q, filed with the SEC on November 9, 2020).</w:t>
              </w:r>
            </w:hyperlink>
          </w:p>
        </w:tc>
        <w:tc>
          <w:tcPr>
            <w:tcW w:w="5940" w:type="dxa"/>
            <w:vAlign w:val="bottom"/>
            <w:tcBorders>
              <w:top w:val="single" w:sz="8" w:color="0000EE"/>
            </w:tcBorders>
            <w:gridSpan w:val="29"/>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972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w w:val="97"/>
              </w:rPr>
            </w:pPr>
            <w:hyperlink r:id="rId47">
              <w:r>
                <w:rPr>
                  <w:rFonts w:ascii="Times New Roman" w:cs="Times New Roman" w:eastAsia="Times New Roman" w:hAnsi="Times New Roman"/>
                  <w:sz w:val="16"/>
                  <w:szCs w:val="16"/>
                  <w:color w:val="0000EE"/>
                  <w:w w:val="97"/>
                </w:rPr>
                <w:t>Amendment 1 to Employment Agreement between the Registrant and Jason Smith, dated January 26, 2021 (incorporated by reference to Exhibit 10.4 to the</w:t>
              </w:r>
            </w:hyperlink>
          </w:p>
        </w:tc>
        <w:tc>
          <w:tcPr>
            <w:tcW w:w="380" w:type="dxa"/>
            <w:vAlign w:val="bottom"/>
            <w:gridSpan w:val="13"/>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rPr>
            </w:pPr>
            <w:hyperlink r:id="rId47">
              <w:r>
                <w:rPr>
                  <w:rFonts w:ascii="Times New Roman" w:cs="Times New Roman" w:eastAsia="Times New Roman" w:hAnsi="Times New Roman"/>
                  <w:sz w:val="16"/>
                  <w:szCs w:val="16"/>
                  <w:color w:val="0000EE"/>
                </w:rPr>
                <w:t>Registrant’s Quarterly Report on Form 10-Q, filed with the SEC on May 13, 2021).</w:t>
              </w:r>
            </w:hyperlink>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10100" w:type="dxa"/>
            <w:vAlign w:val="bottom"/>
            <w:gridSpan w:val="38"/>
          </w:tcPr>
          <w:p>
            <w:pPr>
              <w:spacing w:after="0"/>
              <w:rPr>
                <w:rFonts w:ascii="Times New Roman" w:cs="Times New Roman" w:eastAsia="Times New Roman" w:hAnsi="Times New Roman"/>
                <w:sz w:val="16"/>
                <w:szCs w:val="16"/>
                <w:color w:val="0000EE"/>
              </w:rPr>
            </w:pPr>
            <w:hyperlink r:id="rId48">
              <w:r>
                <w:rPr>
                  <w:rFonts w:ascii="Times New Roman" w:cs="Times New Roman" w:eastAsia="Times New Roman" w:hAnsi="Times New Roman"/>
                  <w:sz w:val="16"/>
                  <w:szCs w:val="16"/>
                  <w:color w:val="0000EE"/>
                </w:rPr>
                <w:t>Employment Agreement between the Company and Dong Kim, dated March 20, 2022 (incorporated by reference to Exhibit 10.1 to the Registrant’s Current</w:t>
              </w:r>
            </w:hyperlink>
          </w:p>
        </w:tc>
      </w:tr>
      <w:tr>
        <w:trPr>
          <w:trHeight w:val="167"/>
        </w:trPr>
        <w:tc>
          <w:tcPr>
            <w:tcW w:w="1140" w:type="dxa"/>
            <w:vAlign w:val="bottom"/>
          </w:tcPr>
          <w:p>
            <w:pPr>
              <w:spacing w:after="0"/>
              <w:rPr>
                <w:sz w:val="14"/>
                <w:szCs w:val="14"/>
                <w:color w:val="auto"/>
              </w:rPr>
            </w:pPr>
          </w:p>
        </w:tc>
        <w:tc>
          <w:tcPr>
            <w:tcW w:w="9720" w:type="dxa"/>
            <w:vAlign w:val="bottom"/>
            <w:tcBorders>
              <w:top w:val="single" w:sz="8" w:color="0000EE"/>
            </w:tcBorders>
            <w:gridSpan w:val="25"/>
          </w:tcPr>
          <w:p>
            <w:pPr>
              <w:spacing w:after="0" w:line="167" w:lineRule="exact"/>
              <w:rPr>
                <w:rFonts w:ascii="Times New Roman" w:cs="Times New Roman" w:eastAsia="Times New Roman" w:hAnsi="Times New Roman"/>
                <w:sz w:val="16"/>
                <w:szCs w:val="16"/>
                <w:color w:val="0000EE"/>
              </w:rPr>
            </w:pPr>
            <w:hyperlink r:id="rId48">
              <w:r>
                <w:rPr>
                  <w:rFonts w:ascii="Times New Roman" w:cs="Times New Roman" w:eastAsia="Times New Roman" w:hAnsi="Times New Roman"/>
                  <w:sz w:val="16"/>
                  <w:szCs w:val="16"/>
                  <w:color w:val="0000EE"/>
                </w:rPr>
                <w:t>Report on Form 8-K, filed with the SEC on March 21, 2022).</w:t>
              </w:r>
            </w:hyperlink>
          </w:p>
        </w:tc>
        <w:tc>
          <w:tcPr>
            <w:tcW w:w="380" w:type="dxa"/>
            <w:vAlign w:val="bottom"/>
            <w:gridSpan w:val="13"/>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10100" w:type="dxa"/>
            <w:vAlign w:val="bottom"/>
            <w:gridSpan w:val="38"/>
          </w:tcPr>
          <w:p>
            <w:pPr>
              <w:spacing w:after="0"/>
              <w:rPr>
                <w:rFonts w:ascii="Times New Roman" w:cs="Times New Roman" w:eastAsia="Times New Roman" w:hAnsi="Times New Roman"/>
                <w:sz w:val="16"/>
                <w:szCs w:val="16"/>
                <w:color w:val="0000EE"/>
              </w:rPr>
            </w:pPr>
            <w:hyperlink r:id="rId49">
              <w:r>
                <w:rPr>
                  <w:rFonts w:ascii="Times New Roman" w:cs="Times New Roman" w:eastAsia="Times New Roman" w:hAnsi="Times New Roman"/>
                  <w:sz w:val="16"/>
                  <w:szCs w:val="16"/>
                  <w:color w:val="0000EE"/>
                </w:rPr>
                <w:t>License Agreement, dated November 8, 2019, by and between the Registrant and Agenus Inc. (incorporated by reference to Exhibit 10.14 to the Registrant’s</w:t>
              </w:r>
            </w:hyperlink>
          </w:p>
        </w:tc>
      </w:tr>
      <w:tr>
        <w:trPr>
          <w:trHeight w:val="167"/>
        </w:trPr>
        <w:tc>
          <w:tcPr>
            <w:tcW w:w="1140" w:type="dxa"/>
            <w:vAlign w:val="bottom"/>
          </w:tcPr>
          <w:p>
            <w:pPr>
              <w:spacing w:after="0"/>
              <w:rPr>
                <w:sz w:val="14"/>
                <w:szCs w:val="14"/>
                <w:color w:val="auto"/>
              </w:rPr>
            </w:pPr>
          </w:p>
        </w:tc>
        <w:tc>
          <w:tcPr>
            <w:tcW w:w="4320" w:type="dxa"/>
            <w:vAlign w:val="bottom"/>
            <w:tcBorders>
              <w:top w:val="single" w:sz="8" w:color="0000EE"/>
              <w:bottom w:val="single" w:sz="8" w:color="0000EE"/>
            </w:tcBorders>
            <w:gridSpan w:val="6"/>
          </w:tcPr>
          <w:p>
            <w:pPr>
              <w:spacing w:after="0" w:line="167" w:lineRule="exact"/>
              <w:rPr>
                <w:rFonts w:ascii="Times New Roman" w:cs="Times New Roman" w:eastAsia="Times New Roman" w:hAnsi="Times New Roman"/>
                <w:sz w:val="16"/>
                <w:szCs w:val="16"/>
                <w:color w:val="0000EE"/>
                <w:w w:val="96"/>
              </w:rPr>
            </w:pPr>
            <w:hyperlink r:id="rId49">
              <w:r>
                <w:rPr>
                  <w:rFonts w:ascii="Times New Roman" w:cs="Times New Roman" w:eastAsia="Times New Roman" w:hAnsi="Times New Roman"/>
                  <w:sz w:val="16"/>
                  <w:szCs w:val="16"/>
                  <w:color w:val="0000EE"/>
                  <w:w w:val="96"/>
                </w:rPr>
                <w:t>Annual Report on Form 10-K, filed with the SEC on March 2, 2020).</w:t>
              </w:r>
            </w:hyperlink>
          </w:p>
        </w:tc>
        <w:tc>
          <w:tcPr>
            <w:tcW w:w="5440" w:type="dxa"/>
            <w:vAlign w:val="bottom"/>
            <w:tcBorders>
              <w:top w:val="single" w:sz="8" w:color="0000EE"/>
            </w:tcBorders>
            <w:gridSpan w:val="20"/>
          </w:tcPr>
          <w:p>
            <w:pPr>
              <w:spacing w:after="0"/>
              <w:rPr>
                <w:sz w:val="14"/>
                <w:szCs w:val="14"/>
                <w:color w:val="auto"/>
              </w:rPr>
            </w:pPr>
          </w:p>
        </w:tc>
        <w:tc>
          <w:tcPr>
            <w:tcW w:w="340" w:type="dxa"/>
            <w:vAlign w:val="bottom"/>
            <w:gridSpan w:val="12"/>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10060" w:type="dxa"/>
            <w:vAlign w:val="bottom"/>
            <w:tcBorders>
              <w:bottom w:val="single" w:sz="8" w:color="0000EE"/>
            </w:tcBorders>
            <w:gridSpan w:val="36"/>
          </w:tcPr>
          <w:p>
            <w:pPr>
              <w:spacing w:after="0"/>
              <w:rPr>
                <w:rFonts w:ascii="Times New Roman" w:cs="Times New Roman" w:eastAsia="Times New Roman" w:hAnsi="Times New Roman"/>
                <w:sz w:val="16"/>
                <w:szCs w:val="16"/>
                <w:color w:val="0000EE"/>
                <w:w w:val="97"/>
              </w:rPr>
            </w:pPr>
            <w:hyperlink r:id="rId50">
              <w:r>
                <w:rPr>
                  <w:rFonts w:ascii="Times New Roman" w:cs="Times New Roman" w:eastAsia="Times New Roman" w:hAnsi="Times New Roman"/>
                  <w:sz w:val="16"/>
                  <w:szCs w:val="16"/>
                  <w:color w:val="0000EE"/>
                  <w:w w:val="97"/>
                </w:rPr>
                <w:t>Lease Agreement, dated November 4, 2019, by and between the Registrant and Witman Properties, L.L.C. and Alexander Road at Davanne, L.L.C. (incorporated</w:t>
              </w:r>
            </w:hyperlink>
          </w:p>
        </w:tc>
        <w:tc>
          <w:tcPr>
            <w:tcW w:w="40" w:type="dxa"/>
            <w:vAlign w:val="bottom"/>
            <w:gridSpan w:val="2"/>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7360" w:type="dxa"/>
            <w:vAlign w:val="bottom"/>
            <w:tcBorders>
              <w:bottom w:val="single" w:sz="8" w:color="0000EE"/>
            </w:tcBorders>
            <w:gridSpan w:val="12"/>
          </w:tcPr>
          <w:p>
            <w:pPr>
              <w:spacing w:after="0" w:line="167" w:lineRule="exact"/>
              <w:rPr>
                <w:rFonts w:ascii="Times New Roman" w:cs="Times New Roman" w:eastAsia="Times New Roman" w:hAnsi="Times New Roman"/>
                <w:sz w:val="16"/>
                <w:szCs w:val="16"/>
                <w:color w:val="0000EE"/>
                <w:w w:val="97"/>
              </w:rPr>
            </w:pPr>
            <w:hyperlink r:id="rId50">
              <w:r>
                <w:rPr>
                  <w:rFonts w:ascii="Times New Roman" w:cs="Times New Roman" w:eastAsia="Times New Roman" w:hAnsi="Times New Roman"/>
                  <w:sz w:val="16"/>
                  <w:szCs w:val="16"/>
                  <w:color w:val="0000EE"/>
                  <w:w w:val="97"/>
                </w:rPr>
                <w:t>by reference to Exhibit 10.15 to the Registrant’s Annual Report on Form 10-K, filed with the SEC on March 2, 2020).</w:t>
              </w:r>
            </w:hyperlink>
          </w:p>
        </w:tc>
        <w:tc>
          <w:tcPr>
            <w:tcW w:w="2740" w:type="dxa"/>
            <w:vAlign w:val="bottom"/>
            <w:gridSpan w:val="26"/>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978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w w:val="97"/>
              </w:rPr>
            </w:pPr>
            <w:hyperlink r:id="rId51">
              <w:r>
                <w:rPr>
                  <w:rFonts w:ascii="Times New Roman" w:cs="Times New Roman" w:eastAsia="Times New Roman" w:hAnsi="Times New Roman"/>
                  <w:sz w:val="16"/>
                  <w:szCs w:val="16"/>
                  <w:color w:val="0000EE"/>
                  <w:w w:val="97"/>
                </w:rPr>
                <w:t>Amendment to Lease Agreement, dated June 8, 2022, by and between the Registrant and Witman Properties, L.L.C. and Alexander Road at Davanne, L.L.C.</w:t>
              </w:r>
            </w:hyperlink>
          </w:p>
        </w:tc>
        <w:tc>
          <w:tcPr>
            <w:tcW w:w="320" w:type="dxa"/>
            <w:vAlign w:val="bottom"/>
            <w:gridSpan w:val="11"/>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8420" w:type="dxa"/>
            <w:vAlign w:val="bottom"/>
            <w:tcBorders>
              <w:bottom w:val="single" w:sz="8" w:color="0000EE"/>
            </w:tcBorders>
            <w:gridSpan w:val="17"/>
          </w:tcPr>
          <w:p>
            <w:pPr>
              <w:spacing w:after="0" w:line="167" w:lineRule="exact"/>
              <w:rPr>
                <w:rFonts w:ascii="Times New Roman" w:cs="Times New Roman" w:eastAsia="Times New Roman" w:hAnsi="Times New Roman"/>
                <w:sz w:val="16"/>
                <w:szCs w:val="16"/>
                <w:color w:val="0000EE"/>
                <w:w w:val="97"/>
              </w:rPr>
            </w:pPr>
            <w:hyperlink r:id="rId51">
              <w:r>
                <w:rPr>
                  <w:rFonts w:ascii="Times New Roman" w:cs="Times New Roman" w:eastAsia="Times New Roman" w:hAnsi="Times New Roman"/>
                  <w:sz w:val="16"/>
                  <w:szCs w:val="16"/>
                  <w:color w:val="0000EE"/>
                  <w:w w:val="97"/>
                </w:rPr>
                <w:t>(incorporated by reference to Exhibit 10.2 to the Registrant’s Quarterly Report on Form 10-Q, filed with the SEC on August 11, 2022).</w:t>
              </w:r>
            </w:hyperlink>
          </w:p>
        </w:tc>
        <w:tc>
          <w:tcPr>
            <w:tcW w:w="1680" w:type="dxa"/>
            <w:vAlign w:val="bottom"/>
            <w:gridSpan w:val="21"/>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10100" w:type="dxa"/>
            <w:vAlign w:val="bottom"/>
            <w:gridSpan w:val="38"/>
          </w:tcPr>
          <w:p>
            <w:pPr>
              <w:spacing w:after="0"/>
              <w:rPr>
                <w:rFonts w:ascii="Times New Roman" w:cs="Times New Roman" w:eastAsia="Times New Roman" w:hAnsi="Times New Roman"/>
                <w:sz w:val="16"/>
                <w:szCs w:val="16"/>
                <w:color w:val="0000EE"/>
                <w:w w:val="97"/>
              </w:rPr>
            </w:pPr>
            <w:hyperlink r:id="rId52">
              <w:r>
                <w:rPr>
                  <w:rFonts w:ascii="Times New Roman" w:cs="Times New Roman" w:eastAsia="Times New Roman" w:hAnsi="Times New Roman"/>
                  <w:sz w:val="16"/>
                  <w:szCs w:val="16"/>
                  <w:color w:val="0000EE"/>
                  <w:w w:val="97"/>
                </w:rPr>
                <w:t>Manufacturing and Supply Agreement, dated May 26, 2020, by and between the Registrant and Isotopia Molecular Imaging Ltd. (the “Isotopia Agreement”) and</w:t>
              </w:r>
            </w:hyperlink>
          </w:p>
        </w:tc>
      </w:tr>
      <w:tr>
        <w:trPr>
          <w:trHeight w:val="167"/>
        </w:trPr>
        <w:tc>
          <w:tcPr>
            <w:tcW w:w="1140" w:type="dxa"/>
            <w:vAlign w:val="bottom"/>
          </w:tcPr>
          <w:p>
            <w:pPr>
              <w:spacing w:after="0"/>
              <w:rPr>
                <w:sz w:val="14"/>
                <w:szCs w:val="14"/>
                <w:color w:val="auto"/>
              </w:rPr>
            </w:pPr>
          </w:p>
        </w:tc>
        <w:tc>
          <w:tcPr>
            <w:tcW w:w="9960" w:type="dxa"/>
            <w:vAlign w:val="bottom"/>
            <w:tcBorders>
              <w:top w:val="single" w:sz="8" w:color="0000EE"/>
              <w:bottom w:val="single" w:sz="8" w:color="0000EE"/>
            </w:tcBorders>
            <w:gridSpan w:val="33"/>
          </w:tcPr>
          <w:p>
            <w:pPr>
              <w:spacing w:after="0" w:line="167" w:lineRule="exact"/>
              <w:rPr>
                <w:rFonts w:ascii="Times New Roman" w:cs="Times New Roman" w:eastAsia="Times New Roman" w:hAnsi="Times New Roman"/>
                <w:sz w:val="16"/>
                <w:szCs w:val="16"/>
                <w:color w:val="0000EE"/>
                <w:w w:val="97"/>
              </w:rPr>
            </w:pPr>
            <w:hyperlink r:id="rId52">
              <w:r>
                <w:rPr>
                  <w:rFonts w:ascii="Times New Roman" w:cs="Times New Roman" w:eastAsia="Times New Roman" w:hAnsi="Times New Roman"/>
                  <w:sz w:val="16"/>
                  <w:szCs w:val="16"/>
                  <w:color w:val="0000EE"/>
                  <w:w w:val="97"/>
                </w:rPr>
                <w:t>the extension to the Isotopia Agreement, dated August 25, 2022, by and between the Registrant and Isotopia Molecular Imaging Ltd. (incorporated by reference</w:t>
              </w:r>
            </w:hyperlink>
          </w:p>
        </w:tc>
        <w:tc>
          <w:tcPr>
            <w:tcW w:w="60" w:type="dxa"/>
            <w:vAlign w:val="bottom"/>
            <w:tcBorders>
              <w:top w:val="single" w:sz="8" w:color="0000EE"/>
            </w:tcBorders>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rPr>
            </w:pPr>
            <w:hyperlink r:id="rId52">
              <w:r>
                <w:rPr>
                  <w:rFonts w:ascii="Times New Roman" w:cs="Times New Roman" w:eastAsia="Times New Roman" w:hAnsi="Times New Roman"/>
                  <w:sz w:val="16"/>
                  <w:szCs w:val="16"/>
                  <w:color w:val="0000EE"/>
                </w:rPr>
                <w:t>to Exhibit 10.1 to the Registrant’s Quarterly Report on Form 10-Q, filed with the SEC on November 10, 2022).</w:t>
              </w:r>
            </w:hyperlink>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3"/>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10100" w:type="dxa"/>
            <w:vAlign w:val="bottom"/>
            <w:gridSpan w:val="38"/>
          </w:tcPr>
          <w:p>
            <w:pPr>
              <w:spacing w:after="0"/>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Manufacturing and Supply Agreement - Amendment No. 2, dated May 19, 2023, by and between the Registrant and Isotopia Molecular Imaging Ltd.</w:t>
              </w:r>
            </w:hyperlink>
          </w:p>
        </w:tc>
      </w:tr>
      <w:tr>
        <w:trPr>
          <w:trHeight w:val="167"/>
        </w:trPr>
        <w:tc>
          <w:tcPr>
            <w:tcW w:w="1140" w:type="dxa"/>
            <w:vAlign w:val="bottom"/>
          </w:tcPr>
          <w:p>
            <w:pPr>
              <w:spacing w:after="0"/>
              <w:rPr>
                <w:sz w:val="14"/>
                <w:szCs w:val="14"/>
                <w:color w:val="auto"/>
              </w:rPr>
            </w:pPr>
          </w:p>
        </w:tc>
        <w:tc>
          <w:tcPr>
            <w:tcW w:w="8420" w:type="dxa"/>
            <w:vAlign w:val="bottom"/>
            <w:tcBorders>
              <w:top w:val="single" w:sz="8" w:color="0000EE"/>
              <w:bottom w:val="single" w:sz="8" w:color="0000EE"/>
            </w:tcBorders>
            <w:gridSpan w:val="17"/>
          </w:tcPr>
          <w:p>
            <w:pPr>
              <w:spacing w:after="0" w:line="167" w:lineRule="exact"/>
              <w:rPr>
                <w:rFonts w:ascii="Times New Roman" w:cs="Times New Roman" w:eastAsia="Times New Roman" w:hAnsi="Times New Roman"/>
                <w:sz w:val="16"/>
                <w:szCs w:val="16"/>
                <w:color w:val="0000EE"/>
                <w:w w:val="97"/>
              </w:rPr>
            </w:pPr>
            <w:hyperlink r:id="rId53">
              <w:r>
                <w:rPr>
                  <w:rFonts w:ascii="Times New Roman" w:cs="Times New Roman" w:eastAsia="Times New Roman" w:hAnsi="Times New Roman"/>
                  <w:sz w:val="16"/>
                  <w:szCs w:val="16"/>
                  <w:color w:val="0000EE"/>
                  <w:w w:val="97"/>
                </w:rPr>
                <w:t>(incorporated by reference to Exhibit 10.1 to the Registrant’s Quarterly Report on Form 10-Q, filed with the SEC on August 10, 2023).</w:t>
              </w:r>
            </w:hyperlink>
          </w:p>
        </w:tc>
        <w:tc>
          <w:tcPr>
            <w:tcW w:w="880" w:type="dxa"/>
            <w:vAlign w:val="bottom"/>
            <w:tcBorders>
              <w:top w:val="single" w:sz="8" w:color="0000EE"/>
            </w:tcBorders>
          </w:tcPr>
          <w:p>
            <w:pPr>
              <w:spacing w:after="0"/>
              <w:rPr>
                <w:sz w:val="14"/>
                <w:szCs w:val="14"/>
                <w:color w:val="auto"/>
              </w:rPr>
            </w:pPr>
          </w:p>
        </w:tc>
        <w:tc>
          <w:tcPr>
            <w:tcW w:w="800" w:type="dxa"/>
            <w:vAlign w:val="bottom"/>
            <w:gridSpan w:val="20"/>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936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w w:val="97"/>
              </w:rPr>
            </w:pPr>
            <w:hyperlink r:id="rId54">
              <w:r>
                <w:rPr>
                  <w:rFonts w:ascii="Times New Roman" w:cs="Times New Roman" w:eastAsia="Times New Roman" w:hAnsi="Times New Roman"/>
                  <w:sz w:val="16"/>
                  <w:szCs w:val="16"/>
                  <w:color w:val="0000EE"/>
                  <w:w w:val="97"/>
                </w:rPr>
                <w:t>Manufacturing &amp; Supply Agreement, dated as of April 24, 2020 and amended as of March 2, 2022, by and between UroGen Pharma Ltd. and Cenexi-</w:t>
              </w:r>
            </w:hyperlink>
          </w:p>
        </w:tc>
        <w:tc>
          <w:tcPr>
            <w:tcW w:w="740" w:type="dxa"/>
            <w:vAlign w:val="bottom"/>
            <w:gridSpan w:val="19"/>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w w:val="99"/>
              </w:rPr>
            </w:pPr>
            <w:hyperlink r:id="rId54">
              <w:r>
                <w:rPr>
                  <w:rFonts w:ascii="Times New Roman" w:cs="Times New Roman" w:eastAsia="Times New Roman" w:hAnsi="Times New Roman"/>
                  <w:sz w:val="16"/>
                  <w:szCs w:val="16"/>
                  <w:color w:val="0000EE"/>
                  <w:w w:val="99"/>
                </w:rPr>
                <w:t>Laboratoires Thissen s.a. (incorporated by reference to Exhibit 10.2 to the Registrant’s Quarterly Report on Form 10-Q, filed with the SEC on May 10, 2022).</w:t>
              </w:r>
            </w:hyperlink>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3"/>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10080" w:type="dxa"/>
            <w:vAlign w:val="bottom"/>
            <w:tcBorders>
              <w:bottom w:val="single" w:sz="8" w:color="0000EE"/>
            </w:tcBorders>
            <w:gridSpan w:val="37"/>
          </w:tcPr>
          <w:p>
            <w:pPr>
              <w:spacing w:after="0"/>
              <w:rPr>
                <w:rFonts w:ascii="Times New Roman" w:cs="Times New Roman" w:eastAsia="Times New Roman" w:hAnsi="Times New Roman"/>
                <w:sz w:val="16"/>
                <w:szCs w:val="16"/>
                <w:color w:val="0000EE"/>
                <w:w w:val="97"/>
              </w:rPr>
            </w:pPr>
            <w:hyperlink r:id="rId55">
              <w:r>
                <w:rPr>
                  <w:rFonts w:ascii="Times New Roman" w:cs="Times New Roman" w:eastAsia="Times New Roman" w:hAnsi="Times New Roman"/>
                  <w:sz w:val="16"/>
                  <w:szCs w:val="16"/>
                  <w:color w:val="0000EE"/>
                  <w:w w:val="97"/>
                </w:rPr>
                <w:t>Amendment 2 to Manufacturing &amp; Supply Agreement, dated as of December 28, 2023 by and between UroGen Pharma Ltd. and Cenexi-Laboratoires Thissen s.a</w:t>
              </w:r>
            </w:hyperlink>
          </w:p>
        </w:tc>
        <w:tc>
          <w:tcPr>
            <w:tcW w:w="20" w:type="dxa"/>
            <w:vAlign w:val="bottom"/>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9680" w:type="dxa"/>
            <w:vAlign w:val="bottom"/>
            <w:tcBorders>
              <w:bottom w:val="single" w:sz="8" w:color="0000EE"/>
            </w:tcBorders>
            <w:gridSpan w:val="24"/>
          </w:tcPr>
          <w:p>
            <w:pPr>
              <w:spacing w:after="0" w:line="167" w:lineRule="exact"/>
              <w:rPr>
                <w:rFonts w:ascii="Times New Roman" w:cs="Times New Roman" w:eastAsia="Times New Roman" w:hAnsi="Times New Roman"/>
                <w:sz w:val="16"/>
                <w:szCs w:val="16"/>
                <w:color w:val="0000EE"/>
                <w:w w:val="97"/>
              </w:rPr>
            </w:pPr>
            <w:hyperlink r:id="rId55">
              <w:r>
                <w:rPr>
                  <w:rFonts w:ascii="Times New Roman" w:cs="Times New Roman" w:eastAsia="Times New Roman" w:hAnsi="Times New Roman"/>
                  <w:sz w:val="16"/>
                  <w:szCs w:val="16"/>
                  <w:color w:val="0000EE"/>
                  <w:w w:val="97"/>
                </w:rPr>
                <w:t>(incorporated by reference to Exhibit 10.31 to the Registrant’s Annual Report on Form 10-K (File No. 001-38079), filed with the SEC on March 14, 2024).</w:t>
              </w:r>
            </w:hyperlink>
          </w:p>
        </w:tc>
        <w:tc>
          <w:tcPr>
            <w:tcW w:w="420" w:type="dxa"/>
            <w:vAlign w:val="bottom"/>
            <w:gridSpan w:val="14"/>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10100" w:type="dxa"/>
            <w:vAlign w:val="bottom"/>
            <w:gridSpan w:val="38"/>
          </w:tcPr>
          <w:p>
            <w:pPr>
              <w:spacing w:after="0"/>
              <w:rPr>
                <w:rFonts w:ascii="Times New Roman" w:cs="Times New Roman" w:eastAsia="Times New Roman" w:hAnsi="Times New Roman"/>
                <w:sz w:val="16"/>
                <w:szCs w:val="16"/>
                <w:color w:val="0000EE"/>
                <w:w w:val="97"/>
              </w:rPr>
            </w:pPr>
            <w:hyperlink r:id="rId56">
              <w:r>
                <w:rPr>
                  <w:rFonts w:ascii="Times New Roman" w:cs="Times New Roman" w:eastAsia="Times New Roman" w:hAnsi="Times New Roman"/>
                  <w:sz w:val="16"/>
                  <w:szCs w:val="16"/>
                  <w:color w:val="0000EE"/>
                  <w:w w:val="97"/>
                </w:rPr>
                <w:t>License and Supply Agreement, dated as of January 16, 2024, by and between UroGen Pharma Ltd. and Medac Gesellschaft für klinische Spezialpräparate m.b.H</w:t>
              </w:r>
            </w:hyperlink>
          </w:p>
        </w:tc>
      </w:tr>
      <w:tr>
        <w:trPr>
          <w:trHeight w:val="167"/>
        </w:trPr>
        <w:tc>
          <w:tcPr>
            <w:tcW w:w="1140" w:type="dxa"/>
            <w:vAlign w:val="bottom"/>
          </w:tcPr>
          <w:p>
            <w:pPr>
              <w:spacing w:after="0"/>
              <w:rPr>
                <w:sz w:val="14"/>
                <w:szCs w:val="14"/>
                <w:color w:val="auto"/>
              </w:rPr>
            </w:pPr>
          </w:p>
        </w:tc>
        <w:tc>
          <w:tcPr>
            <w:tcW w:w="9680" w:type="dxa"/>
            <w:vAlign w:val="bottom"/>
            <w:tcBorders>
              <w:top w:val="single" w:sz="8" w:color="0000EE"/>
              <w:bottom w:val="single" w:sz="8" w:color="0000EE"/>
            </w:tcBorders>
            <w:gridSpan w:val="24"/>
          </w:tcPr>
          <w:p>
            <w:pPr>
              <w:spacing w:after="0" w:line="167" w:lineRule="exact"/>
              <w:rPr>
                <w:rFonts w:ascii="Times New Roman" w:cs="Times New Roman" w:eastAsia="Times New Roman" w:hAnsi="Times New Roman"/>
                <w:sz w:val="16"/>
                <w:szCs w:val="16"/>
                <w:color w:val="0000EE"/>
                <w:w w:val="97"/>
              </w:rPr>
            </w:pPr>
            <w:hyperlink r:id="rId56">
              <w:r>
                <w:rPr>
                  <w:rFonts w:ascii="Times New Roman" w:cs="Times New Roman" w:eastAsia="Times New Roman" w:hAnsi="Times New Roman"/>
                  <w:sz w:val="16"/>
                  <w:szCs w:val="16"/>
                  <w:color w:val="0000EE"/>
                  <w:w w:val="97"/>
                </w:rPr>
                <w:t>(incorporated by reference to Exhibit 10.32 to the Registrant’s Annual Report on Form 10-K (File No. 001-38079), filed with the SEC on March 14, 2024).</w:t>
              </w:r>
            </w:hyperlink>
          </w:p>
        </w:tc>
        <w:tc>
          <w:tcPr>
            <w:tcW w:w="40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10060" w:type="dxa"/>
            <w:vAlign w:val="bottom"/>
            <w:tcBorders>
              <w:bottom w:val="single" w:sz="8" w:color="0000EE"/>
            </w:tcBorders>
            <w:gridSpan w:val="36"/>
          </w:tcPr>
          <w:p>
            <w:pPr>
              <w:spacing w:after="0"/>
              <w:rPr>
                <w:rFonts w:ascii="Times New Roman" w:cs="Times New Roman" w:eastAsia="Times New Roman" w:hAnsi="Times New Roman"/>
                <w:sz w:val="16"/>
                <w:szCs w:val="16"/>
                <w:color w:val="0000EE"/>
                <w:w w:val="97"/>
              </w:rPr>
            </w:pPr>
            <w:hyperlink r:id="rId57">
              <w:r>
                <w:rPr>
                  <w:rFonts w:ascii="Times New Roman" w:cs="Times New Roman" w:eastAsia="Times New Roman" w:hAnsi="Times New Roman"/>
                  <w:sz w:val="16"/>
                  <w:szCs w:val="16"/>
                  <w:color w:val="0000EE"/>
                  <w:w w:val="97"/>
                </w:rPr>
                <w:t>Loan Agreement, dated as of March 7, 2022, by and among UroGen Pharma Ltd. (the “Company”), UroGen Pharma, Inc., as the borrower, and certain direct and</w:t>
              </w:r>
            </w:hyperlink>
          </w:p>
        </w:tc>
        <w:tc>
          <w:tcPr>
            <w:tcW w:w="40" w:type="dxa"/>
            <w:vAlign w:val="bottom"/>
            <w:gridSpan w:val="2"/>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9840" w:type="dxa"/>
            <w:vAlign w:val="bottom"/>
            <w:tcBorders>
              <w:bottom w:val="single" w:sz="8" w:color="0000EE"/>
            </w:tcBorders>
            <w:gridSpan w:val="28"/>
          </w:tcPr>
          <w:p>
            <w:pPr>
              <w:spacing w:after="0" w:line="167" w:lineRule="exact"/>
              <w:rPr>
                <w:rFonts w:ascii="Times New Roman" w:cs="Times New Roman" w:eastAsia="Times New Roman" w:hAnsi="Times New Roman"/>
                <w:sz w:val="16"/>
                <w:szCs w:val="16"/>
                <w:color w:val="0000EE"/>
                <w:w w:val="97"/>
              </w:rPr>
            </w:pPr>
            <w:hyperlink r:id="rId57">
              <w:r>
                <w:rPr>
                  <w:rFonts w:ascii="Times New Roman" w:cs="Times New Roman" w:eastAsia="Times New Roman" w:hAnsi="Times New Roman"/>
                  <w:sz w:val="16"/>
                  <w:szCs w:val="16"/>
                  <w:color w:val="0000EE"/>
                  <w:w w:val="97"/>
                </w:rPr>
                <w:t>indirect subsidiaries of the Company party thereto from time to time, as guarantors, BPCR Limited Partnership, as a lender, BioPharma Credit Investments V</w:t>
              </w:r>
            </w:hyperlink>
          </w:p>
        </w:tc>
        <w:tc>
          <w:tcPr>
            <w:tcW w:w="260" w:type="dxa"/>
            <w:vAlign w:val="bottom"/>
            <w:gridSpan w:val="10"/>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w w:val="98"/>
              </w:rPr>
            </w:pPr>
            <w:hyperlink r:id="rId57">
              <w:r>
                <w:rPr>
                  <w:rFonts w:ascii="Times New Roman" w:cs="Times New Roman" w:eastAsia="Times New Roman" w:hAnsi="Times New Roman"/>
                  <w:sz w:val="16"/>
                  <w:szCs w:val="16"/>
                  <w:color w:val="0000EE"/>
                  <w:w w:val="98"/>
                </w:rPr>
                <w:t>(Master) LP, as a lender, and BioPharma Credit PLC, as collateral agent for the lenders (incorporated by reference to Exhibit 10.1 to the Registrant’s Quarterly</w:t>
              </w:r>
            </w:hyperlink>
          </w:p>
        </w:tc>
      </w:tr>
      <w:tr>
        <w:trPr>
          <w:trHeight w:val="167"/>
        </w:trPr>
        <w:tc>
          <w:tcPr>
            <w:tcW w:w="1140" w:type="dxa"/>
            <w:vAlign w:val="bottom"/>
          </w:tcPr>
          <w:p>
            <w:pPr>
              <w:spacing w:after="0"/>
              <w:rPr>
                <w:sz w:val="14"/>
                <w:szCs w:val="14"/>
                <w:color w:val="auto"/>
              </w:rPr>
            </w:pPr>
          </w:p>
        </w:tc>
        <w:tc>
          <w:tcPr>
            <w:tcW w:w="3820" w:type="dxa"/>
            <w:vAlign w:val="bottom"/>
            <w:tcBorders>
              <w:top w:val="single" w:sz="8" w:color="0000EE"/>
              <w:bottom w:val="single" w:sz="8" w:color="0000EE"/>
            </w:tcBorders>
            <w:gridSpan w:val="4"/>
          </w:tcPr>
          <w:p>
            <w:pPr>
              <w:spacing w:after="0" w:line="167" w:lineRule="exact"/>
              <w:rPr>
                <w:rFonts w:ascii="Times New Roman" w:cs="Times New Roman" w:eastAsia="Times New Roman" w:hAnsi="Times New Roman"/>
                <w:sz w:val="16"/>
                <w:szCs w:val="16"/>
                <w:color w:val="0000EE"/>
                <w:w w:val="97"/>
              </w:rPr>
            </w:pPr>
            <w:hyperlink r:id="rId57">
              <w:r>
                <w:rPr>
                  <w:rFonts w:ascii="Times New Roman" w:cs="Times New Roman" w:eastAsia="Times New Roman" w:hAnsi="Times New Roman"/>
                  <w:sz w:val="16"/>
                  <w:szCs w:val="16"/>
                  <w:color w:val="0000EE"/>
                  <w:w w:val="97"/>
                </w:rPr>
                <w:t>Report on Form 10-Q, filed with the SEC on May 10, 2022).</w:t>
              </w:r>
            </w:hyperlink>
          </w:p>
        </w:tc>
        <w:tc>
          <w:tcPr>
            <w:tcW w:w="6060" w:type="dxa"/>
            <w:vAlign w:val="bottom"/>
            <w:tcBorders>
              <w:top w:val="single" w:sz="8" w:color="0000EE"/>
            </w:tcBorders>
            <w:gridSpan w:val="26"/>
          </w:tcPr>
          <w:p>
            <w:pPr>
              <w:spacing w:after="0"/>
              <w:rPr>
                <w:sz w:val="14"/>
                <w:szCs w:val="14"/>
                <w:color w:val="auto"/>
              </w:rPr>
            </w:pPr>
          </w:p>
        </w:tc>
        <w:tc>
          <w:tcPr>
            <w:tcW w:w="220" w:type="dxa"/>
            <w:vAlign w:val="bottom"/>
            <w:gridSpan w:val="8"/>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956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w w:val="97"/>
              </w:rPr>
            </w:pPr>
            <w:hyperlink r:id="rId58">
              <w:r>
                <w:rPr>
                  <w:rFonts w:ascii="Times New Roman" w:cs="Times New Roman" w:eastAsia="Times New Roman" w:hAnsi="Times New Roman"/>
                  <w:sz w:val="16"/>
                  <w:szCs w:val="16"/>
                  <w:color w:val="0000EE"/>
                  <w:w w:val="97"/>
                </w:rPr>
                <w:t>Amendment to Loan Agreement, dated June 29, 2023, by and among the Company, UroGen Pharma, Inc., as the borrower, and certain direct and indirect</w:t>
              </w:r>
            </w:hyperlink>
          </w:p>
        </w:tc>
        <w:tc>
          <w:tcPr>
            <w:tcW w:w="540" w:type="dxa"/>
            <w:vAlign w:val="bottom"/>
            <w:gridSpan w:val="17"/>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00" w:type="dxa"/>
            <w:vAlign w:val="bottom"/>
            <w:tcBorders>
              <w:bottom w:val="single" w:sz="8" w:color="0000EE"/>
            </w:tcBorders>
            <w:gridSpan w:val="38"/>
          </w:tcPr>
          <w:p>
            <w:pPr>
              <w:spacing w:after="0" w:line="167" w:lineRule="exact"/>
              <w:rPr>
                <w:rFonts w:ascii="Times New Roman" w:cs="Times New Roman" w:eastAsia="Times New Roman" w:hAnsi="Times New Roman"/>
                <w:sz w:val="16"/>
                <w:szCs w:val="16"/>
                <w:color w:val="0000EE"/>
                <w:w w:val="96"/>
              </w:rPr>
            </w:pPr>
            <w:hyperlink r:id="rId58">
              <w:r>
                <w:rPr>
                  <w:rFonts w:ascii="Times New Roman" w:cs="Times New Roman" w:eastAsia="Times New Roman" w:hAnsi="Times New Roman"/>
                  <w:sz w:val="16"/>
                  <w:szCs w:val="16"/>
                  <w:color w:val="0000EE"/>
                  <w:w w:val="96"/>
                </w:rPr>
                <w:t>subsidiaries of the Company party thereto from time to time, as guarantors, BPCR Limited Partnership, as a lender, BioPharma Credit Investments V (Master) LP,</w:t>
              </w:r>
            </w:hyperlink>
          </w:p>
        </w:tc>
      </w:tr>
      <w:tr>
        <w:trPr>
          <w:trHeight w:val="167"/>
        </w:trPr>
        <w:tc>
          <w:tcPr>
            <w:tcW w:w="1140" w:type="dxa"/>
            <w:vAlign w:val="bottom"/>
          </w:tcPr>
          <w:p>
            <w:pPr>
              <w:spacing w:after="0"/>
              <w:rPr>
                <w:sz w:val="14"/>
                <w:szCs w:val="14"/>
                <w:color w:val="auto"/>
              </w:rPr>
            </w:pPr>
          </w:p>
        </w:tc>
        <w:tc>
          <w:tcPr>
            <w:tcW w:w="10100" w:type="dxa"/>
            <w:vAlign w:val="bottom"/>
            <w:tcBorders>
              <w:bottom w:val="single" w:sz="8" w:color="0000EE"/>
            </w:tcBorders>
            <w:gridSpan w:val="38"/>
          </w:tcPr>
          <w:p>
            <w:pPr>
              <w:spacing w:after="0" w:line="167" w:lineRule="exact"/>
              <w:rPr>
                <w:rFonts w:ascii="Times New Roman" w:cs="Times New Roman" w:eastAsia="Times New Roman" w:hAnsi="Times New Roman"/>
                <w:sz w:val="16"/>
                <w:szCs w:val="16"/>
                <w:color w:val="0000EE"/>
                <w:w w:val="97"/>
              </w:rPr>
            </w:pPr>
            <w:hyperlink r:id="rId58">
              <w:r>
                <w:rPr>
                  <w:rFonts w:ascii="Times New Roman" w:cs="Times New Roman" w:eastAsia="Times New Roman" w:hAnsi="Times New Roman"/>
                  <w:sz w:val="16"/>
                  <w:szCs w:val="16"/>
                  <w:color w:val="0000EE"/>
                  <w:w w:val="97"/>
                </w:rPr>
                <w:t>as a lender, and BioPharma Credit PLC, as collateral agent for the lenders (incorporated by reference to Exhibit 10.2 to the Registrant’s Quarterly Report on Form</w:t>
              </w:r>
            </w:hyperlink>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rPr>
            </w:pPr>
            <w:hyperlink r:id="rId58">
              <w:r>
                <w:rPr>
                  <w:rFonts w:ascii="Times New Roman" w:cs="Times New Roman" w:eastAsia="Times New Roman" w:hAnsi="Times New Roman"/>
                  <w:sz w:val="16"/>
                  <w:szCs w:val="16"/>
                  <w:color w:val="0000EE"/>
                </w:rPr>
                <w:t>10-Q, filed with the SEC on August 10, 2023).</w:t>
              </w:r>
            </w:hyperlink>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986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w w:val="96"/>
              </w:rPr>
            </w:pPr>
            <w:hyperlink r:id="rId59">
              <w:r>
                <w:rPr>
                  <w:rFonts w:ascii="Times New Roman" w:cs="Times New Roman" w:eastAsia="Times New Roman" w:hAnsi="Times New Roman"/>
                  <w:sz w:val="16"/>
                  <w:szCs w:val="16"/>
                  <w:color w:val="0000EE"/>
                  <w:w w:val="96"/>
                </w:rPr>
                <w:t>Amended and Restated Loan Agreement, dated as of March 13, 2024, by and among UroGen Pharma, Inc., as the borrower, anda credit party, Urogen Pharma</w:t>
              </w:r>
            </w:hyperlink>
          </w:p>
        </w:tc>
        <w:tc>
          <w:tcPr>
            <w:tcW w:w="240" w:type="dxa"/>
            <w:vAlign w:val="bottom"/>
            <w:gridSpan w:val="9"/>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w w:val="97"/>
              </w:rPr>
            </w:pPr>
            <w:hyperlink r:id="rId59">
              <w:r>
                <w:rPr>
                  <w:rFonts w:ascii="Times New Roman" w:cs="Times New Roman" w:eastAsia="Times New Roman" w:hAnsi="Times New Roman"/>
                  <w:sz w:val="16"/>
                  <w:szCs w:val="16"/>
                  <w:color w:val="0000EE"/>
                  <w:w w:val="97"/>
                </w:rPr>
                <w:t>Ltd. as Parent, and a Credit Party, the other guarantors signatory hereto or otherwise party hereto from time to time as additional Credit Parties, BioPharma Credit</w:t>
              </w:r>
            </w:hyperlink>
          </w:p>
        </w:tc>
      </w:tr>
      <w:tr>
        <w:trPr>
          <w:trHeight w:val="167"/>
        </w:trPr>
        <w:tc>
          <w:tcPr>
            <w:tcW w:w="1140" w:type="dxa"/>
            <w:vAlign w:val="bottom"/>
          </w:tcPr>
          <w:p>
            <w:pPr>
              <w:spacing w:after="0"/>
              <w:rPr>
                <w:sz w:val="14"/>
                <w:szCs w:val="14"/>
                <w:color w:val="auto"/>
              </w:rPr>
            </w:pPr>
          </w:p>
        </w:tc>
        <w:tc>
          <w:tcPr>
            <w:tcW w:w="9640" w:type="dxa"/>
            <w:vAlign w:val="bottom"/>
            <w:tcBorders>
              <w:top w:val="single" w:sz="8" w:color="0000EE"/>
              <w:bottom w:val="single" w:sz="8" w:color="0000EE"/>
            </w:tcBorders>
            <w:gridSpan w:val="22"/>
          </w:tcPr>
          <w:p>
            <w:pPr>
              <w:spacing w:after="0" w:line="167" w:lineRule="exact"/>
              <w:rPr>
                <w:rFonts w:ascii="Times New Roman" w:cs="Times New Roman" w:eastAsia="Times New Roman" w:hAnsi="Times New Roman"/>
                <w:sz w:val="16"/>
                <w:szCs w:val="16"/>
                <w:color w:val="0000EE"/>
                <w:w w:val="97"/>
              </w:rPr>
            </w:pPr>
            <w:hyperlink r:id="rId59">
              <w:r>
                <w:rPr>
                  <w:rFonts w:ascii="Times New Roman" w:cs="Times New Roman" w:eastAsia="Times New Roman" w:hAnsi="Times New Roman"/>
                  <w:sz w:val="16"/>
                  <w:szCs w:val="16"/>
                  <w:color w:val="0000EE"/>
                  <w:w w:val="97"/>
                </w:rPr>
                <w:t>PLC as collateral agent, BPCR Limited Partnership as a lender and BioPharma Credit Investments V (Master) LP as a lender (incorporated by reference to</w:t>
              </w:r>
            </w:hyperlink>
          </w:p>
        </w:tc>
        <w:tc>
          <w:tcPr>
            <w:tcW w:w="44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rPr>
            </w:pPr>
            <w:hyperlink r:id="rId59">
              <w:r>
                <w:rPr>
                  <w:rFonts w:ascii="Times New Roman" w:cs="Times New Roman" w:eastAsia="Times New Roman" w:hAnsi="Times New Roman"/>
                  <w:sz w:val="16"/>
                  <w:szCs w:val="16"/>
                  <w:color w:val="0000EE"/>
                </w:rPr>
                <w:t>Exhibit 10.35 to the Registrant’s Annual Report on Form 10-K (File No. 001-38079), filed with the SEC on March 14, 2024).</w:t>
              </w:r>
            </w:hyperlink>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260" w:type="dxa"/>
            <w:vAlign w:val="bottom"/>
            <w:tcBorders>
              <w:right w:val="single" w:sz="8" w:color="0000EE"/>
            </w:tcBorders>
            <w:gridSpan w:val="3"/>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0020" w:type="dxa"/>
            <w:vAlign w:val="bottom"/>
            <w:tcBorders>
              <w:bottom w:val="single" w:sz="8" w:color="0000EE"/>
            </w:tcBorders>
            <w:gridSpan w:val="34"/>
          </w:tcPr>
          <w:p>
            <w:pPr>
              <w:spacing w:after="0"/>
              <w:rPr>
                <w:rFonts w:ascii="Times New Roman" w:cs="Times New Roman" w:eastAsia="Times New Roman" w:hAnsi="Times New Roman"/>
                <w:sz w:val="16"/>
                <w:szCs w:val="16"/>
                <w:color w:val="0000EE"/>
                <w:w w:val="97"/>
              </w:rPr>
            </w:pPr>
            <w:hyperlink r:id="rId60">
              <w:r>
                <w:rPr>
                  <w:rFonts w:ascii="Times New Roman" w:cs="Times New Roman" w:eastAsia="Times New Roman" w:hAnsi="Times New Roman"/>
                  <w:sz w:val="16"/>
                  <w:szCs w:val="16"/>
                  <w:color w:val="0000EE"/>
                  <w:w w:val="97"/>
                </w:rPr>
                <w:t>Subsidiary of the Registrant (incorporated by reference to Exhibit 21.1 to the Registrant’s Annual Report on Form 10-K, filed with the SEC on March 24, 2023).</w:t>
              </w:r>
            </w:hyperlink>
          </w:p>
        </w:tc>
        <w:tc>
          <w:tcPr>
            <w:tcW w:w="80" w:type="dxa"/>
            <w:vAlign w:val="bottom"/>
            <w:gridSpan w:val="4"/>
          </w:tcPr>
          <w:p>
            <w:pPr>
              <w:spacing w:after="0"/>
              <w:rPr>
                <w:sz w:val="24"/>
                <w:szCs w:val="2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0040" w:type="dxa"/>
            <w:vAlign w:val="bottom"/>
            <w:tcBorders>
              <w:bottom w:val="single" w:sz="8" w:color="0000EE"/>
            </w:tcBorders>
            <w:gridSpan w:val="35"/>
          </w:tcPr>
          <w:p>
            <w:pPr>
              <w:spacing w:after="0"/>
              <w:rPr>
                <w:rFonts w:ascii="Times New Roman" w:cs="Times New Roman" w:eastAsia="Times New Roman" w:hAnsi="Times New Roman"/>
                <w:sz w:val="16"/>
                <w:szCs w:val="16"/>
                <w:color w:val="0000EE"/>
                <w:w w:val="96"/>
              </w:rPr>
            </w:pPr>
            <w:hyperlink r:id="rId61">
              <w:r>
                <w:rPr>
                  <w:rFonts w:ascii="Times New Roman" w:cs="Times New Roman" w:eastAsia="Times New Roman" w:hAnsi="Times New Roman"/>
                  <w:sz w:val="16"/>
                  <w:szCs w:val="16"/>
                  <w:color w:val="0000EE"/>
                  <w:w w:val="96"/>
                </w:rPr>
                <w:t>Consent of PricewaterhouseCoopers LLP, an independent registered public accounting firm (incorporated by reference to Exhibit 23.1 to the Registrant’s Annual</w:t>
              </w:r>
            </w:hyperlink>
          </w:p>
        </w:tc>
        <w:tc>
          <w:tcPr>
            <w:tcW w:w="60" w:type="dxa"/>
            <w:vAlign w:val="bottom"/>
            <w:gridSpan w:val="3"/>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5340" w:type="dxa"/>
            <w:vAlign w:val="bottom"/>
            <w:tcBorders>
              <w:bottom w:val="single" w:sz="8" w:color="0000EE"/>
            </w:tcBorders>
            <w:gridSpan w:val="8"/>
          </w:tcPr>
          <w:p>
            <w:pPr>
              <w:spacing w:after="0" w:line="167" w:lineRule="exact"/>
              <w:rPr>
                <w:rFonts w:ascii="Times New Roman" w:cs="Times New Roman" w:eastAsia="Times New Roman" w:hAnsi="Times New Roman"/>
                <w:sz w:val="16"/>
                <w:szCs w:val="16"/>
                <w:color w:val="0000EE"/>
                <w:w w:val="97"/>
              </w:rPr>
            </w:pPr>
            <w:hyperlink r:id="rId61">
              <w:r>
                <w:rPr>
                  <w:rFonts w:ascii="Times New Roman" w:cs="Times New Roman" w:eastAsia="Times New Roman" w:hAnsi="Times New Roman"/>
                  <w:sz w:val="16"/>
                  <w:szCs w:val="16"/>
                  <w:color w:val="0000EE"/>
                  <w:w w:val="97"/>
                </w:rPr>
                <w:t>Report on Form 10-K (File No. 001-38079), filed with the SEC on March 14, 2024).</w:t>
              </w:r>
            </w:hyperlink>
          </w:p>
        </w:tc>
        <w:tc>
          <w:tcPr>
            <w:tcW w:w="4760" w:type="dxa"/>
            <w:vAlign w:val="bottom"/>
            <w:gridSpan w:val="30"/>
          </w:tcPr>
          <w:p>
            <w:pPr>
              <w:spacing w:after="0"/>
              <w:rPr>
                <w:sz w:val="14"/>
                <w:szCs w:val="1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938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w w:val="97"/>
              </w:rPr>
            </w:pPr>
            <w:hyperlink r:id="rId62">
              <w:r>
                <w:rPr>
                  <w:rFonts w:ascii="Times New Roman" w:cs="Times New Roman" w:eastAsia="Times New Roman" w:hAnsi="Times New Roman"/>
                  <w:sz w:val="16"/>
                  <w:szCs w:val="16"/>
                  <w:color w:val="0000EE"/>
                  <w:w w:val="97"/>
                </w:rPr>
                <w:t>Power of Attorney (see signature page to the Registrant’s Annual Report on Form 10-K (File No. 001-38079), filed with the SEC on March 14, 2024).</w:t>
              </w:r>
            </w:hyperlink>
          </w:p>
        </w:tc>
        <w:tc>
          <w:tcPr>
            <w:tcW w:w="720" w:type="dxa"/>
            <w:vAlign w:val="bottom"/>
            <w:gridSpan w:val="18"/>
          </w:tcPr>
          <w:p>
            <w:pPr>
              <w:spacing w:after="0"/>
              <w:rPr>
                <w:sz w:val="24"/>
                <w:szCs w:val="24"/>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64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7"/>
              </w:rPr>
            </w:pPr>
            <w:hyperlink r:id="rId63">
              <w:r>
                <w:rPr>
                  <w:rFonts w:ascii="Times New Roman" w:cs="Times New Roman" w:eastAsia="Times New Roman" w:hAnsi="Times New Roman"/>
                  <w:sz w:val="16"/>
                  <w:szCs w:val="16"/>
                  <w:color w:val="0000EE"/>
                  <w:w w:val="97"/>
                </w:rPr>
                <w:t>Certification of Principal Executive Officer Pursuant to Rules 13a-14(a) and 15d-14(a) under the Securities Exchange Act of 1934, as Adopted Pursuant to</w:t>
              </w:r>
            </w:hyperlink>
          </w:p>
        </w:tc>
        <w:tc>
          <w:tcPr>
            <w:tcW w:w="460" w:type="dxa"/>
            <w:vAlign w:val="bottom"/>
            <w:gridSpan w:val="16"/>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w w:val="97"/>
              </w:rPr>
            </w:pPr>
            <w:hyperlink r:id="rId63">
              <w:r>
                <w:rPr>
                  <w:rFonts w:ascii="Times New Roman" w:cs="Times New Roman" w:eastAsia="Times New Roman" w:hAnsi="Times New Roman"/>
                  <w:sz w:val="16"/>
                  <w:szCs w:val="16"/>
                  <w:color w:val="0000EE"/>
                  <w:w w:val="97"/>
                </w:rPr>
                <w:t>Section 302 of the Sarbanes-Oxley Act of 2002 (incorporated by reference to Exhibit 31.1 to the Registrant’s Annual Report on Form 10-K (File No. 001-38079),</w:t>
              </w:r>
            </w:hyperlink>
          </w:p>
        </w:tc>
      </w:tr>
      <w:tr>
        <w:trPr>
          <w:trHeight w:val="167"/>
        </w:trPr>
        <w:tc>
          <w:tcPr>
            <w:tcW w:w="1140" w:type="dxa"/>
            <w:vAlign w:val="bottom"/>
          </w:tcPr>
          <w:p>
            <w:pPr>
              <w:spacing w:after="0"/>
              <w:rPr>
                <w:sz w:val="14"/>
                <w:szCs w:val="14"/>
                <w:color w:val="auto"/>
              </w:rPr>
            </w:pPr>
          </w:p>
        </w:tc>
        <w:tc>
          <w:tcPr>
            <w:tcW w:w="10080" w:type="dxa"/>
            <w:vAlign w:val="bottom"/>
            <w:tcBorders>
              <w:top w:val="single" w:sz="8" w:color="0000EE"/>
            </w:tcBorders>
            <w:gridSpan w:val="37"/>
          </w:tcPr>
          <w:p>
            <w:pPr>
              <w:spacing w:after="0" w:line="167" w:lineRule="exact"/>
              <w:rPr>
                <w:rFonts w:ascii="Times New Roman" w:cs="Times New Roman" w:eastAsia="Times New Roman" w:hAnsi="Times New Roman"/>
                <w:sz w:val="16"/>
                <w:szCs w:val="16"/>
                <w:color w:val="0000EE"/>
              </w:rPr>
            </w:pPr>
            <w:hyperlink r:id="rId63">
              <w:r>
                <w:rPr>
                  <w:rFonts w:ascii="Times New Roman" w:cs="Times New Roman" w:eastAsia="Times New Roman" w:hAnsi="Times New Roman"/>
                  <w:sz w:val="16"/>
                  <w:szCs w:val="16"/>
                  <w:color w:val="0000EE"/>
                </w:rPr>
                <w:t>filed with the SEC on March 14, 2024).</w:t>
              </w:r>
            </w:hyperlink>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1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100" w:type="dxa"/>
            <w:vAlign w:val="bottom"/>
            <w:tcBorders>
              <w:bottom w:val="single" w:sz="8" w:color="0000EE"/>
            </w:tcBorders>
            <w:gridSpan w:val="38"/>
          </w:tcPr>
          <w:p>
            <w:pPr>
              <w:spacing w:after="0"/>
              <w:rPr>
                <w:rFonts w:ascii="Times New Roman" w:cs="Times New Roman" w:eastAsia="Times New Roman" w:hAnsi="Times New Roman"/>
                <w:sz w:val="16"/>
                <w:szCs w:val="16"/>
                <w:color w:val="0000EE"/>
                <w:w w:val="97"/>
              </w:rPr>
            </w:pPr>
            <w:hyperlink r:id="rId64">
              <w:r>
                <w:rPr>
                  <w:rFonts w:ascii="Times New Roman" w:cs="Times New Roman" w:eastAsia="Times New Roman" w:hAnsi="Times New Roman"/>
                  <w:sz w:val="16"/>
                  <w:szCs w:val="16"/>
                  <w:color w:val="0000EE"/>
                  <w:w w:val="97"/>
                </w:rPr>
                <w:t>Certification of Principal Financial Officer Pursuant to Rules 13a-14(a) and 15d-14(a) under the Securities Exchange Act of 1934, as Adopted Pursuant to Section</w:t>
              </w:r>
            </w:hyperlink>
          </w:p>
        </w:tc>
      </w:tr>
      <w:tr>
        <w:trPr>
          <w:trHeight w:val="167"/>
        </w:trPr>
        <w:tc>
          <w:tcPr>
            <w:tcW w:w="1140" w:type="dxa"/>
            <w:vAlign w:val="bottom"/>
          </w:tcPr>
          <w:p>
            <w:pPr>
              <w:spacing w:after="0"/>
              <w:rPr>
                <w:sz w:val="14"/>
                <w:szCs w:val="14"/>
                <w:color w:val="auto"/>
              </w:rPr>
            </w:pPr>
          </w:p>
        </w:tc>
        <w:tc>
          <w:tcPr>
            <w:tcW w:w="10100" w:type="dxa"/>
            <w:vAlign w:val="bottom"/>
            <w:gridSpan w:val="38"/>
          </w:tcPr>
          <w:p>
            <w:pPr>
              <w:spacing w:after="0" w:line="167" w:lineRule="exact"/>
              <w:rPr>
                <w:rFonts w:ascii="Times New Roman" w:cs="Times New Roman" w:eastAsia="Times New Roman" w:hAnsi="Times New Roman"/>
                <w:sz w:val="16"/>
                <w:szCs w:val="16"/>
                <w:color w:val="0000EE"/>
                <w:w w:val="99"/>
              </w:rPr>
            </w:pPr>
            <w:hyperlink r:id="rId64">
              <w:r>
                <w:rPr>
                  <w:rFonts w:ascii="Times New Roman" w:cs="Times New Roman" w:eastAsia="Times New Roman" w:hAnsi="Times New Roman"/>
                  <w:sz w:val="16"/>
                  <w:szCs w:val="16"/>
                  <w:color w:val="0000EE"/>
                  <w:w w:val="99"/>
                </w:rPr>
                <w:t>302 of the Sarbanes-Oxley Act of 2002 (incorporated by reference to Exhibit 31.2 to the Registrant’s Annual Report on Form 10-K (File No. 001-38079), filed</w:t>
              </w:r>
            </w:hyperlink>
          </w:p>
        </w:tc>
      </w:tr>
      <w:tr>
        <w:trPr>
          <w:trHeight w:val="167"/>
        </w:trPr>
        <w:tc>
          <w:tcPr>
            <w:tcW w:w="1140" w:type="dxa"/>
            <w:vAlign w:val="bottom"/>
          </w:tcPr>
          <w:p>
            <w:pPr>
              <w:spacing w:after="0"/>
              <w:rPr>
                <w:sz w:val="14"/>
                <w:szCs w:val="14"/>
                <w:color w:val="auto"/>
              </w:rPr>
            </w:pPr>
          </w:p>
        </w:tc>
        <w:tc>
          <w:tcPr>
            <w:tcW w:w="9900" w:type="dxa"/>
            <w:vAlign w:val="bottom"/>
            <w:tcBorders>
              <w:top w:val="single" w:sz="8" w:color="0000EE"/>
            </w:tcBorders>
            <w:gridSpan w:val="31"/>
          </w:tcPr>
          <w:p>
            <w:pPr>
              <w:spacing w:after="0" w:line="167" w:lineRule="exact"/>
              <w:rPr>
                <w:rFonts w:ascii="Times New Roman" w:cs="Times New Roman" w:eastAsia="Times New Roman" w:hAnsi="Times New Roman"/>
                <w:sz w:val="16"/>
                <w:szCs w:val="16"/>
                <w:color w:val="0000EE"/>
              </w:rPr>
            </w:pPr>
            <w:hyperlink r:id="rId64">
              <w:r>
                <w:rPr>
                  <w:rFonts w:ascii="Times New Roman" w:cs="Times New Roman" w:eastAsia="Times New Roman" w:hAnsi="Times New Roman"/>
                  <w:sz w:val="16"/>
                  <w:szCs w:val="16"/>
                  <w:color w:val="0000EE"/>
                </w:rPr>
                <w:t>with the SEC on March 14, 2024).</w:t>
              </w:r>
            </w:hyperlink>
          </w:p>
        </w:tc>
        <w:tc>
          <w:tcPr>
            <w:tcW w:w="200" w:type="dxa"/>
            <w:vAlign w:val="bottom"/>
            <w:gridSpan w:val="7"/>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0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10100" w:type="dxa"/>
            <w:vAlign w:val="bottom"/>
            <w:gridSpan w:val="38"/>
          </w:tcPr>
          <w:p>
            <w:pPr>
              <w:spacing w:after="0"/>
              <w:rPr>
                <w:sz w:val="20"/>
                <w:szCs w:val="20"/>
                <w:color w:val="auto"/>
              </w:rPr>
            </w:pPr>
            <w:r>
              <w:rPr>
                <w:rFonts w:ascii="Times New Roman" w:cs="Times New Roman" w:eastAsia="Times New Roman" w:hAnsi="Times New Roman"/>
                <w:sz w:val="16"/>
                <w:szCs w:val="16"/>
                <w:color w:val="0000EE"/>
              </w:rPr>
              <w:t>Certification of Principal Executive Officer Pursuant to Rules 13a-14(a) and 15d-14(a) under the Securities Exchange Act of 1934.</w:t>
            </w: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31.4</w:t>
            </w:r>
          </w:p>
        </w:tc>
        <w:tc>
          <w:tcPr>
            <w:tcW w:w="81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w w:val="97"/>
              </w:rPr>
              <w:t>Certification of Principal Financial Officer Pursuant to Rules 13a-14(a) and 15d-14(a) under the Securities Exchange Act of 1934.</w:t>
            </w:r>
          </w:p>
        </w:tc>
        <w:tc>
          <w:tcPr>
            <w:tcW w:w="1960" w:type="dxa"/>
            <w:vAlign w:val="bottom"/>
            <w:gridSpan w:val="22"/>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gridSpan w:val="5"/>
            <w:shd w:val="clear" w:color="auto" w:fill="0000EE"/>
          </w:tcPr>
          <w:p>
            <w:pPr>
              <w:spacing w:after="0" w:line="20" w:lineRule="exact"/>
              <w:rPr>
                <w:sz w:val="1"/>
                <w:szCs w:val="1"/>
                <w:color w:val="auto"/>
              </w:rPr>
            </w:pPr>
          </w:p>
        </w:tc>
        <w:tc>
          <w:tcPr>
            <w:tcW w:w="4020" w:type="dxa"/>
            <w:vAlign w:val="bottom"/>
            <w:gridSpan w:val="10"/>
            <w:shd w:val="clear" w:color="auto" w:fill="0000EE"/>
          </w:tcPr>
          <w:p>
            <w:pPr>
              <w:spacing w:after="0" w:line="20" w:lineRule="exact"/>
              <w:rPr>
                <w:sz w:val="1"/>
                <w:szCs w:val="1"/>
                <w:color w:val="auto"/>
              </w:rPr>
            </w:pPr>
          </w:p>
        </w:tc>
        <w:tc>
          <w:tcPr>
            <w:tcW w:w="1860" w:type="dxa"/>
            <w:vAlign w:val="bottom"/>
            <w:gridSpan w:val="1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100" w:type="dxa"/>
            <w:vAlign w:val="bottom"/>
            <w:gridSpan w:val="38"/>
          </w:tcPr>
          <w:p>
            <w:pPr>
              <w:spacing w:after="0"/>
              <w:rPr>
                <w:rFonts w:ascii="Times New Roman" w:cs="Times New Roman" w:eastAsia="Times New Roman" w:hAnsi="Times New Roman"/>
                <w:sz w:val="16"/>
                <w:szCs w:val="16"/>
                <w:color w:val="0000EE"/>
                <w:w w:val="97"/>
              </w:rPr>
            </w:pPr>
            <w:hyperlink r:id="rId65">
              <w:r>
                <w:rPr>
                  <w:rFonts w:ascii="Times New Roman" w:cs="Times New Roman" w:eastAsia="Times New Roman" w:hAnsi="Times New Roman"/>
                  <w:sz w:val="16"/>
                  <w:szCs w:val="16"/>
                  <w:color w:val="0000EE"/>
                  <w:w w:val="97"/>
                </w:rPr>
                <w:t>Certification of Principal Executive and Financial Officers Pursuant to 18 U.S.C. Section 1350, as Adopted Pursuant to Section 906 of the Sarbanes-Oxley Act of</w:t>
              </w:r>
            </w:hyperlink>
          </w:p>
        </w:tc>
      </w:tr>
      <w:tr>
        <w:trPr>
          <w:trHeight w:val="167"/>
        </w:trPr>
        <w:tc>
          <w:tcPr>
            <w:tcW w:w="1140" w:type="dxa"/>
            <w:vAlign w:val="bottom"/>
          </w:tcPr>
          <w:p>
            <w:pPr>
              <w:spacing w:after="0"/>
              <w:rPr>
                <w:sz w:val="14"/>
                <w:szCs w:val="14"/>
                <w:color w:val="auto"/>
              </w:rPr>
            </w:pPr>
          </w:p>
        </w:tc>
        <w:tc>
          <w:tcPr>
            <w:tcW w:w="9960" w:type="dxa"/>
            <w:vAlign w:val="bottom"/>
            <w:tcBorders>
              <w:top w:val="single" w:sz="8" w:color="0000EE"/>
              <w:bottom w:val="single" w:sz="8" w:color="0000EE"/>
            </w:tcBorders>
            <w:gridSpan w:val="33"/>
          </w:tcPr>
          <w:p>
            <w:pPr>
              <w:spacing w:after="0" w:line="167" w:lineRule="exact"/>
              <w:rPr>
                <w:rFonts w:ascii="Times New Roman" w:cs="Times New Roman" w:eastAsia="Times New Roman" w:hAnsi="Times New Roman"/>
                <w:sz w:val="16"/>
                <w:szCs w:val="16"/>
                <w:color w:val="0000EE"/>
                <w:w w:val="97"/>
              </w:rPr>
            </w:pPr>
            <w:hyperlink r:id="rId65">
              <w:r>
                <w:rPr>
                  <w:rFonts w:ascii="Times New Roman" w:cs="Times New Roman" w:eastAsia="Times New Roman" w:hAnsi="Times New Roman"/>
                  <w:sz w:val="16"/>
                  <w:szCs w:val="16"/>
                  <w:color w:val="0000EE"/>
                  <w:w w:val="97"/>
                </w:rPr>
                <w:t>2002 (incorporated by reference to Exhibit 32.1 to the Registrant’s Annual Report on Form 10-K (File No. 001-38079), filed with the SEC on March 14, 2024).</w:t>
              </w:r>
            </w:hyperlink>
          </w:p>
        </w:tc>
        <w:tc>
          <w:tcPr>
            <w:tcW w:w="100" w:type="dxa"/>
            <w:vAlign w:val="bottom"/>
            <w:tcBorders>
              <w:top w:val="single" w:sz="8" w:color="0000EE"/>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r>
    </w:tbl>
    <w:p>
      <w:pPr>
        <w:spacing w:after="0" w:line="194" w:lineRule="exact"/>
        <w:rPr>
          <w:sz w:val="20"/>
          <w:szCs w:val="20"/>
          <w:color w:val="auto"/>
        </w:rPr>
      </w:pPr>
    </w:p>
    <w:p>
      <w:pPr>
        <w:ind w:left="1147" w:right="20" w:hanging="1147"/>
        <w:spacing w:after="0" w:line="268" w:lineRule="auto"/>
        <w:tabs>
          <w:tab w:leader="none" w:pos="1147" w:val="left"/>
        </w:tabs>
        <w:numPr>
          <w:ilvl w:val="0"/>
          <w:numId w:val="26"/>
        </w:numPr>
        <w:rPr>
          <w:rFonts w:ascii="Times New Roman" w:cs="Times New Roman" w:eastAsia="Times New Roman" w:hAnsi="Times New Roman"/>
          <w:sz w:val="16"/>
          <w:szCs w:val="16"/>
          <w:u w:val="single" w:color="auto"/>
          <w:color w:val="0000EE"/>
        </w:rPr>
      </w:pPr>
      <w:hyperlink r:id="rId66">
        <w:r>
          <w:rPr>
            <w:rFonts w:ascii="Times New Roman" w:cs="Times New Roman" w:eastAsia="Times New Roman" w:hAnsi="Times New Roman"/>
            <w:sz w:val="16"/>
            <w:szCs w:val="16"/>
            <w:u w:val="single" w:color="auto"/>
            <w:color w:val="0000EE"/>
          </w:rPr>
          <w:t>UroGen Pharma Ltd. Incentive Compensation Recoupment Policy (incorporated by reference to Exhibit 97 to the Registrant’s Annual Report on Form 10-K (File</w:t>
        </w:r>
      </w:hyperlink>
      <w:r>
        <w:rPr>
          <w:rFonts w:ascii="Times New Roman" w:cs="Times New Roman" w:eastAsia="Times New Roman" w:hAnsi="Times New Roman"/>
          <w:sz w:val="16"/>
          <w:szCs w:val="16"/>
          <w:u w:val="single" w:color="auto"/>
          <w:color w:val="0000EE"/>
        </w:rPr>
        <w:t xml:space="preserve"> </w:t>
      </w:r>
      <w:hyperlink r:id="rId66">
        <w:r>
          <w:rPr>
            <w:rFonts w:ascii="Times New Roman" w:cs="Times New Roman" w:eastAsia="Times New Roman" w:hAnsi="Times New Roman"/>
            <w:sz w:val="16"/>
            <w:szCs w:val="16"/>
            <w:u w:val="single" w:color="auto"/>
            <w:color w:val="0000EE"/>
          </w:rPr>
          <w:t>No. 001-38079), filed with the SEC on March 14, 2024).</w:t>
        </w:r>
      </w:hyperlink>
    </w:p>
    <w:p>
      <w:pPr>
        <w:spacing w:after="0" w:line="150" w:lineRule="exact"/>
        <w:rPr>
          <w:rFonts w:ascii="Times New Roman" w:cs="Times New Roman" w:eastAsia="Times New Roman" w:hAnsi="Times New Roman"/>
          <w:sz w:val="16"/>
          <w:szCs w:val="16"/>
          <w:color w:val="auto"/>
        </w:rPr>
      </w:pPr>
    </w:p>
    <w:p>
      <w:pPr>
        <w:ind w:left="1147" w:right="40" w:hanging="1147"/>
        <w:spacing w:after="0" w:line="309" w:lineRule="auto"/>
        <w:tabs>
          <w:tab w:leader="none" w:pos="114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the Annual Report on Form 10-K of UroGen Pharma Ltd. for the year ended December 31, 2023, formatted in Inline XBRL (extensible Business Reporting Language): (i) Consolidated Balance Sheets, (ii) Consolidated Statements of Operations, (iii) Consolidated Statements of Changes in Shareholders Equity, (iv) Consolidated Statements of Cash Flows, and (v) the Notes to Consolidated Financial Statements (previously filed as Exhibit</w:t>
      </w:r>
    </w:p>
    <w:p>
      <w:pPr>
        <w:sectPr>
          <w:pgSz w:w="11900" w:h="16838" w:orient="portrait"/>
          <w:cols w:equalWidth="0" w:num="1">
            <w:col w:w="11247"/>
          </w:cols>
          <w:pgMar w:left="313" w:top="107" w:right="339" w:bottom="0" w:gutter="0" w:footer="0" w:header="0"/>
        </w:sectPr>
      </w:pPr>
    </w:p>
    <w:bookmarkStart w:id="20" w:name="page21"/>
    <w:bookmarkEnd w:id="20"/>
    <w:p>
      <w:pPr>
        <w:ind w:left="1147"/>
        <w:spacing w:after="0"/>
        <w:rPr>
          <w:sz w:val="20"/>
          <w:szCs w:val="20"/>
          <w:color w:val="auto"/>
        </w:rPr>
      </w:pPr>
      <w:r>
        <w:rPr>
          <w:rFonts w:ascii="Times New Roman" w:cs="Times New Roman" w:eastAsia="Times New Roman" w:hAnsi="Times New Roman"/>
          <w:sz w:val="14"/>
          <w:szCs w:val="14"/>
          <w:color w:val="auto"/>
        </w:rPr>
        <w:t>101.SCH, 101.CAL, 101.DEF, 101.LAB and 101.PRE to the Registrant’s Annual Report on Form 10-K (File No. 001-38079), filed with the SEC on March 14,</w:t>
      </w:r>
    </w:p>
    <w:p>
      <w:pPr>
        <w:spacing w:after="0" w:line="42" w:lineRule="exact"/>
        <w:rPr>
          <w:sz w:val="20"/>
          <w:szCs w:val="20"/>
          <w:color w:val="auto"/>
        </w:rPr>
      </w:pPr>
    </w:p>
    <w:p>
      <w:pPr>
        <w:ind w:left="1147"/>
        <w:spacing w:after="0"/>
        <w:rPr>
          <w:sz w:val="20"/>
          <w:szCs w:val="20"/>
          <w:color w:val="auto"/>
        </w:rPr>
      </w:pPr>
      <w:r>
        <w:rPr>
          <w:rFonts w:ascii="Times New Roman" w:cs="Times New Roman" w:eastAsia="Times New Roman" w:hAnsi="Times New Roman"/>
          <w:sz w:val="16"/>
          <w:szCs w:val="16"/>
          <w:color w:val="auto"/>
        </w:rPr>
        <w:t>2024)</w:t>
      </w:r>
    </w:p>
    <w:p>
      <w:pPr>
        <w:spacing w:after="0" w:line="174" w:lineRule="exact"/>
        <w:rPr>
          <w:sz w:val="20"/>
          <w:szCs w:val="20"/>
          <w:color w:val="auto"/>
        </w:rPr>
      </w:pPr>
    </w:p>
    <w:p>
      <w:pPr>
        <w:ind w:left="7"/>
        <w:spacing w:after="0"/>
        <w:tabs>
          <w:tab w:leader="none" w:pos="1126"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The cover page to this Annual Report on Form 10-K/A has been formatted in Inline XBRL</w:t>
      </w:r>
    </w:p>
    <w:p>
      <w:pPr>
        <w:spacing w:after="0" w:line="190" w:lineRule="exact"/>
        <w:rPr>
          <w:sz w:val="20"/>
          <w:szCs w:val="20"/>
          <w:color w:val="auto"/>
        </w:rPr>
      </w:pPr>
    </w:p>
    <w:p>
      <w:pPr>
        <w:ind w:left="427" w:hanging="427"/>
        <w:spacing w:after="0"/>
        <w:tabs>
          <w:tab w:leader="none" w:pos="42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w:t>
      </w:r>
    </w:p>
    <w:p>
      <w:pPr>
        <w:spacing w:after="0" w:line="19" w:lineRule="exact"/>
        <w:rPr>
          <w:sz w:val="20"/>
          <w:szCs w:val="20"/>
          <w:color w:val="auto"/>
        </w:rPr>
      </w:pPr>
    </w:p>
    <w:p>
      <w:pPr>
        <w:ind w:left="427" w:hanging="427"/>
        <w:spacing w:after="0" w:line="243" w:lineRule="auto"/>
        <w:tabs>
          <w:tab w:leader="none" w:pos="42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in this exhibit has been redacted pursuant to Item 601(b)(10)(iv) of Regulation S-K because it is both not material and is the type of information that the registrant treats as private or confidential.</w:t>
      </w:r>
    </w:p>
    <w:p>
      <w:pPr>
        <w:spacing w:after="0" w:line="1" w:lineRule="exact"/>
        <w:rPr>
          <w:sz w:val="20"/>
          <w:szCs w:val="20"/>
          <w:color w:val="auto"/>
        </w:rPr>
      </w:pPr>
    </w:p>
    <w:p>
      <w:pPr>
        <w:ind w:left="427" w:hanging="427"/>
        <w:spacing w:after="0"/>
        <w:tabs>
          <w:tab w:leader="none" w:pos="42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9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715073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67"/>
          </w:cols>
          <w:pgMar w:left="313" w:top="123" w:right="419" w:bottom="1440" w:gutter="0" w:footer="0" w:header="0"/>
        </w:sectPr>
      </w:pPr>
    </w:p>
    <w:bookmarkStart w:id="21" w:name="page22"/>
    <w:bookmarkEnd w:id="21"/>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Amendment No. 1 to be signed on its behalf by the undersigned, thereunto duly authorized.</w:t>
      </w:r>
    </w:p>
    <w:p>
      <w:pPr>
        <w:spacing w:after="0" w:line="14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b w:val="1"/>
          <w:bCs w:val="1"/>
          <w:color w:val="auto"/>
        </w:rPr>
        <w:t>UROGEN PHARMA LTD.</w:t>
      </w:r>
    </w:p>
    <w:p>
      <w:pPr>
        <w:spacing w:after="0" w:line="192" w:lineRule="exact"/>
        <w:rPr>
          <w:sz w:val="20"/>
          <w:szCs w:val="20"/>
          <w:color w:val="auto"/>
        </w:rPr>
      </w:pPr>
    </w:p>
    <w:p>
      <w:pPr>
        <w:spacing w:after="0"/>
        <w:tabs>
          <w:tab w:leader="none" w:pos="6440" w:val="left"/>
          <w:tab w:leader="none" w:pos="7880" w:val="left"/>
        </w:tabs>
        <w:rPr>
          <w:sz w:val="20"/>
          <w:szCs w:val="20"/>
          <w:color w:val="auto"/>
        </w:rPr>
      </w:pPr>
      <w:r>
        <w:rPr>
          <w:rFonts w:ascii="Times New Roman" w:cs="Times New Roman" w:eastAsia="Times New Roman" w:hAnsi="Times New Roman"/>
          <w:sz w:val="16"/>
          <w:szCs w:val="16"/>
          <w:color w:val="auto"/>
        </w:rPr>
        <w:t>April 29,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12065</wp:posOffset>
            </wp:positionV>
            <wp:extent cx="28041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a:extLst>
                        <a:ext uri="{28A0092B-C50C-407E-A947-70E740481C1C}"/>
                      </a:extLst>
                    </a:blip>
                    <a:srcRect/>
                    <a:stretch>
                      <a:fillRect/>
                    </a:stretch>
                  </pic:blipFill>
                  <pic:spPr bwMode="auto">
                    <a:xfrm>
                      <a:off x="0" y="0"/>
                      <a:ext cx="2804160" cy="7620"/>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Elizabeth Barrett</w:t>
      </w:r>
    </w:p>
    <w:p>
      <w:pPr>
        <w:spacing w:after="0" w:line="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080"/>
          </w:cols>
          <w:pgMar w:left="320" w:top="892" w:right="4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6"/>
          <w:szCs w:val="16"/>
          <w:b w:val="1"/>
          <w:bCs w:val="1"/>
          <w:color w:val="auto"/>
        </w:rPr>
        <w:t>Exhibit 31.3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Elizabeth Barrett, certify that:</w:t>
      </w:r>
    </w:p>
    <w:p>
      <w:pPr>
        <w:spacing w:after="0" w:line="3" w:lineRule="exact"/>
        <w:rPr>
          <w:sz w:val="20"/>
          <w:szCs w:val="20"/>
          <w:color w:val="auto"/>
        </w:rPr>
      </w:pPr>
    </w:p>
    <w:p>
      <w:pPr>
        <w:ind w:left="340" w:hanging="276"/>
        <w:spacing w:after="0"/>
        <w:tabs>
          <w:tab w:leader="none" w:pos="3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annual report on Form 10-K/A of UroGen Pharma Ltd.; and</w:t>
      </w:r>
    </w:p>
    <w:p>
      <w:pPr>
        <w:spacing w:after="0" w:line="2" w:lineRule="exact"/>
        <w:rPr>
          <w:rFonts w:ascii="Times New Roman" w:cs="Times New Roman" w:eastAsia="Times New Roman" w:hAnsi="Times New Roman"/>
          <w:sz w:val="16"/>
          <w:szCs w:val="16"/>
          <w:color w:val="auto"/>
        </w:rPr>
      </w:pPr>
    </w:p>
    <w:p>
      <w:pPr>
        <w:ind w:left="320" w:right="160" w:hanging="280"/>
        <w:spacing w:after="0" w:line="247"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ectPr>
          <w:pgSz w:w="11900" w:h="16838" w:orient="portrait"/>
          <w:cols w:equalWidth="0" w:num="1">
            <w:col w:w="11260"/>
          </w:cols>
          <w:pgMar w:left="320" w:top="121" w:right="319" w:bottom="1440" w:gutter="0" w:footer="0" w:header="0"/>
        </w:sect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Date: April 29, 2024</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Elizabeth Barrett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2">
            <w:col w:w="4900" w:space="720"/>
            <w:col w:w="5640"/>
          </w:cols>
          <w:pgMar w:left="320" w:top="121" w:right="319"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6"/>
          <w:szCs w:val="16"/>
          <w:b w:val="1"/>
          <w:bCs w:val="1"/>
          <w:color w:val="auto"/>
        </w:rPr>
        <w:t>Exhibit 31.4</w:t>
      </w:r>
    </w:p>
    <w:p>
      <w:pPr>
        <w:spacing w:after="0" w:line="19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Don Kim, certify that:</w:t>
      </w:r>
    </w:p>
    <w:p>
      <w:pPr>
        <w:spacing w:after="0" w:line="3" w:lineRule="exact"/>
        <w:rPr>
          <w:sz w:val="20"/>
          <w:szCs w:val="20"/>
          <w:color w:val="auto"/>
        </w:rPr>
      </w:pPr>
    </w:p>
    <w:p>
      <w:pPr>
        <w:ind w:left="340" w:hanging="276"/>
        <w:spacing w:after="0"/>
        <w:tabs>
          <w:tab w:leader="none" w:pos="34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annual report on Form 10-K/A of UroGen Pharma Ltd.; and</w:t>
      </w:r>
    </w:p>
    <w:p>
      <w:pPr>
        <w:spacing w:after="0" w:line="2" w:lineRule="exact"/>
        <w:rPr>
          <w:rFonts w:ascii="Times New Roman" w:cs="Times New Roman" w:eastAsia="Times New Roman" w:hAnsi="Times New Roman"/>
          <w:sz w:val="16"/>
          <w:szCs w:val="16"/>
          <w:color w:val="auto"/>
        </w:rPr>
      </w:pPr>
    </w:p>
    <w:p>
      <w:pPr>
        <w:ind w:left="320" w:right="160" w:hanging="280"/>
        <w:spacing w:after="0" w:line="247"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ectPr>
          <w:pgSz w:w="11900" w:h="16838" w:orient="portrait"/>
          <w:cols w:equalWidth="0" w:num="1">
            <w:col w:w="11260"/>
          </w:cols>
          <w:pgMar w:left="320" w:top="121" w:right="319" w:bottom="1440" w:gutter="0" w:footer="0" w:header="0"/>
        </w:sectPr>
      </w:pPr>
    </w:p>
    <w:p>
      <w:pPr>
        <w:spacing w:after="0" w:line="3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Date: April 29, 2024</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Don Kim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r>
        <w:rPr>
          <w:rFonts w:ascii="Times New Roman" w:cs="Times New Roman" w:eastAsia="Times New Roman" w:hAnsi="Times New Roman"/>
          <w:sz w:val="14"/>
          <w:szCs w:val="14"/>
          <w:color w:val="auto"/>
        </w:rPr>
        <w:t>)</w:t>
      </w:r>
    </w:p>
    <w:sectPr>
      <w:pgSz w:w="11900" w:h="16838" w:orient="portrait"/>
      <w:cols w:equalWidth="0" w:num="2">
        <w:col w:w="4400" w:space="720"/>
        <w:col w:w="6140"/>
      </w:cols>
      <w:pgMar w:left="320" w:top="12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5"/>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Roman"/>
      <w:start w:val="1"/>
    </w:lvl>
  </w:abstractNum>
  <w:abstractNum w:abstractNumId="18">
    <w:nsid w:val="189A769B"/>
    <w:multiLevelType w:val="hybridMultilevel"/>
    <w:lvl w:ilvl="0">
      <w:lvlJc w:val="left"/>
      <w:lvlText w:val="(%1)"/>
      <w:numFmt w:val="lowerRoman"/>
      <w:start w:val="3"/>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2)"/>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97"/>
    </w:lvl>
  </w:abstractNum>
  <w:abstractNum w:abstractNumId="26">
    <w:nsid w:val="1E7FF521"/>
    <w:multiLevelType w:val="hybridMultilevel"/>
    <w:lvl w:ilvl="0">
      <w:lvlJc w:val="left"/>
      <w:lvlText w:val="%1"/>
      <w:numFmt w:val="decimal"/>
      <w:start w:val="10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decimal"/>
      <w:start w:val="1"/>
    </w:lvl>
  </w:abstractNum>
  <w:abstractNum w:abstractNumId="31">
    <w:nsid w:val="4516DDE9"/>
    <w:multiLevelType w:val="hybridMultilevel"/>
    <w:lvl w:ilvl="0">
      <w:lvlJc w:val="left"/>
      <w:lvlText w:val="%1."/>
      <w:numFmt w:val="decimal"/>
      <w:start w:val="2"/>
    </w:lvl>
    <w:lvl w:ilvl="1">
      <w:lvlJc w:val="left"/>
      <w:lvlText w:val="%2"/>
      <w:numFmt w:val="decimal"/>
      <w:start w:val="1"/>
    </w:lvl>
  </w:abstractNum>
  <w:abstractNum w:abstractNumId="32">
    <w:nsid w:val="3006C83E"/>
    <w:multiLevelType w:val="hybridMultilevel"/>
    <w:lvl w:ilvl="0">
      <w:lvlJc w:val="left"/>
      <w:lvlText w:val="%1"/>
      <w:numFmt w:val="decimal"/>
      <w:start w:val="1"/>
    </w:lvl>
    <w:lvl w:ilvl="1">
      <w:lvlJc w:val="left"/>
      <w:lvlText w:val="%2."/>
      <w:numFmt w:val="decimal"/>
      <w:start w:val="1"/>
    </w:lvl>
  </w:abstractNum>
  <w:abstractNum w:abstractNumId="33">
    <w:nsid w:val="614FD4A1"/>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67" Type="http://schemas.openxmlformats.org/officeDocument/2006/relationships/image" Target="media/image15.png"/><Relationship Id="rId68" Type="http://schemas.openxmlformats.org/officeDocument/2006/relationships/image" Target="media/image16.png"/><Relationship Id="rId22" Type="http://schemas.openxmlformats.org/officeDocument/2006/relationships/hyperlink" Target="http://www.sec.gov/Archives/edgar/data/1668243/000119312517175069/d401998dex31.htm" TargetMode="External"/><Relationship Id="rId23" Type="http://schemas.openxmlformats.org/officeDocument/2006/relationships/hyperlink" Target="http://www.sec.gov/Archives/edgar/data/0001668243/000156459020007970/urgn-ex42_412.htm" TargetMode="External"/><Relationship Id="rId24" Type="http://schemas.openxmlformats.org/officeDocument/2006/relationships/hyperlink" Target="http://www.sec.gov/Archives/edgar/data/1668243/000119312523195560/d538950dex41.htm" TargetMode="External"/><Relationship Id="rId25" Type="http://schemas.openxmlformats.org/officeDocument/2006/relationships/hyperlink" Target="http://www.sec.gov/Archives/edgar/data/1668243/000119312518217088/d367931dex992.htm" TargetMode="External"/><Relationship Id="rId26" Type="http://schemas.openxmlformats.org/officeDocument/2006/relationships/hyperlink" Target="http://www.sec.gov/Archives/edgar/data/0001668243/000156459018005876/urgn-ex42_984.htm" TargetMode="External"/><Relationship Id="rId27" Type="http://schemas.openxmlformats.org/officeDocument/2006/relationships/hyperlink" Target="http://www.sec.gov/Archives/edgar/data/1668243/000143774923031766/ex_594504.htm" TargetMode="External"/><Relationship Id="rId28" Type="http://schemas.openxmlformats.org/officeDocument/2006/relationships/hyperlink" Target="http://www.sec.gov/Archives/edgar/data/1668243/000119312517116003/d142578dex107.htm" TargetMode="External"/><Relationship Id="rId29" Type="http://schemas.openxmlformats.org/officeDocument/2006/relationships/hyperlink" Target="http://www.sec.gov/Archives/edgar/data/1668243/000143774923031766/ex_595221.htm" TargetMode="External"/><Relationship Id="rId30" Type="http://schemas.openxmlformats.org/officeDocument/2006/relationships/hyperlink" Target="http://www.sec.gov/Archives/edgar/data/1668243/000143774923031766/ex_595222.htm" TargetMode="External"/><Relationship Id="rId31" Type="http://schemas.openxmlformats.org/officeDocument/2006/relationships/hyperlink" Target="http://www.sec.gov/Archives/edgar/data/1668243/000143774924007753/ex_636699.htm" TargetMode="External"/><Relationship Id="rId32" Type="http://schemas.openxmlformats.org/officeDocument/2006/relationships/hyperlink" Target="http://www.sec.gov/Archives/edgar/data/1668243/000143774923031766/ex_595223.htm" TargetMode="External"/><Relationship Id="rId33" Type="http://schemas.openxmlformats.org/officeDocument/2006/relationships/hyperlink" Target="http://www.sec.gov/Archives/edgar/data/1668243/000143774922006778/ex_348952.htm" TargetMode="External"/><Relationship Id="rId34" Type="http://schemas.openxmlformats.org/officeDocument/2006/relationships/hyperlink" Target="http://www.sec.gov/Archives/edgar/data/1668243/000119312519158432/d731510dex102.htm" TargetMode="External"/><Relationship Id="rId35" Type="http://schemas.openxmlformats.org/officeDocument/2006/relationships/hyperlink" Target="http://www.sec.gov/Archives/edgar/data/1668243/000119312519158432/d731510dex103.htm" TargetMode="External"/><Relationship Id="rId36" Type="http://schemas.openxmlformats.org/officeDocument/2006/relationships/hyperlink" Target="http://www.sec.gov/Archives/edgar/data/1668243/000143774924007753/ex_636700.htm" TargetMode="External"/><Relationship Id="rId37" Type="http://schemas.openxmlformats.org/officeDocument/2006/relationships/hyperlink" Target="http://www.sec.gov/Archives/edgar/data/1668243/000143774923007710/ex_491982.htm" TargetMode="External"/><Relationship Id="rId38" Type="http://schemas.openxmlformats.org/officeDocument/2006/relationships/hyperlink" Target="http://www.sec.gov/Archives/edgar/data/1668243/000156459019005323/urgn-ex109_90.htm" TargetMode="External"/><Relationship Id="rId39" Type="http://schemas.openxmlformats.org/officeDocument/2006/relationships/hyperlink" Target="http://www.sec.gov/Archives/edgar/data/1668243/000156459021027210/urgn-ex102_101.htm" TargetMode="External"/><Relationship Id="rId40" Type="http://schemas.openxmlformats.org/officeDocument/2006/relationships/hyperlink" Target="http://www.sec.gov/Archives/edgar/data/1668243/000156459021027210/urgn-ex101_102.htm" TargetMode="External"/><Relationship Id="rId41" Type="http://schemas.openxmlformats.org/officeDocument/2006/relationships/hyperlink" Target="http://www.sec.gov/Archives/edgar/data/1668243/000143774923031766/ex_595224.htm" TargetMode="External"/><Relationship Id="rId42" Type="http://schemas.openxmlformats.org/officeDocument/2006/relationships/hyperlink" Target="http://www.sec.gov/Archives/edgar/data/1668243/000143774924007753/ex_637873.htm" TargetMode="External"/><Relationship Id="rId43" Type="http://schemas.openxmlformats.org/officeDocument/2006/relationships/hyperlink" Target="http://www.sec.gov/Archives/edgar/data/1668243/000156459019005323/urgn-ex1012_88.htm" TargetMode="External"/><Relationship Id="rId44" Type="http://schemas.openxmlformats.org/officeDocument/2006/relationships/hyperlink" Target="http://www.sec.gov/Archives/edgar/data/1668243/000156459021027210/urgn-ex103_100.htm" TargetMode="External"/><Relationship Id="rId45" Type="http://schemas.openxmlformats.org/officeDocument/2006/relationships/hyperlink" Target="http://www.sec.gov/Archives/edgar/data/1668243/000156459021027210/urgn-ex105_99.htm" TargetMode="External"/><Relationship Id="rId46" Type="http://schemas.openxmlformats.org/officeDocument/2006/relationships/hyperlink" Target="http://www.sec.gov/Archives/edgar/data/1668243/000156459020052197/urgn-ex103_48.htm" TargetMode="External"/><Relationship Id="rId47" Type="http://schemas.openxmlformats.org/officeDocument/2006/relationships/hyperlink" Target="http://www.sec.gov/Archives/edgar/data/1668243/000156459021027210/urgn-ex104_98.htm" TargetMode="External"/><Relationship Id="rId48" Type="http://schemas.openxmlformats.org/officeDocument/2006/relationships/hyperlink" Target="http://www.sec.gov/Archives/edgar/data/1668243/000119312522080081/d258593dex101.htm" TargetMode="External"/><Relationship Id="rId49" Type="http://schemas.openxmlformats.org/officeDocument/2006/relationships/hyperlink" Target="http://www.sec.gov/Archives/edgar/data/0001668243/000156459020007970/urgn-ex1014_260.htm" TargetMode="External"/><Relationship Id="rId50" Type="http://schemas.openxmlformats.org/officeDocument/2006/relationships/hyperlink" Target="http://www.sec.gov/Archives/edgar/data/0001668243/000156459020007970/urgn-ex1015_414.htm" TargetMode="External"/><Relationship Id="rId51" Type="http://schemas.openxmlformats.org/officeDocument/2006/relationships/hyperlink" Target="http://www.sec.gov/Archives/edgar/data/1668243/000143774922020131/ex_407629.htm" TargetMode="External"/><Relationship Id="rId52" Type="http://schemas.openxmlformats.org/officeDocument/2006/relationships/hyperlink" Target="http://www.sec.gov/Archives/edgar/data/1668243/000143774922026727/ex_443657.htm" TargetMode="External"/><Relationship Id="rId53" Type="http://schemas.openxmlformats.org/officeDocument/2006/relationships/hyperlink" Target="http://www.sec.gov/Archives/edgar/data/1668243/000143774923022879/ex_553803.htm" TargetMode="External"/><Relationship Id="rId54" Type="http://schemas.openxmlformats.org/officeDocument/2006/relationships/hyperlink" Target="http://www.sec.gov/Archives/edgar/data/1668243/000143774922011618/ex_372863.htm" TargetMode="External"/><Relationship Id="rId55" Type="http://schemas.openxmlformats.org/officeDocument/2006/relationships/hyperlink" Target="http://www.sec.gov/Archives/edgar/data/1668243/000143774924007753/ex_636478.htm" TargetMode="External"/><Relationship Id="rId56" Type="http://schemas.openxmlformats.org/officeDocument/2006/relationships/hyperlink" Target="http://www.sec.gov/Archives/edgar/data/1668243/000143774924007753/ex_636479.htm" TargetMode="External"/><Relationship Id="rId57" Type="http://schemas.openxmlformats.org/officeDocument/2006/relationships/hyperlink" Target="http://www.sec.gov/Archives/edgar/data/1668243/000143774922011618/ex_371898.htm" TargetMode="External"/><Relationship Id="rId58" Type="http://schemas.openxmlformats.org/officeDocument/2006/relationships/hyperlink" Target="http://www.sec.gov/Archives/edgar/data/1668243/000143774923022879/ex_557241.htm" TargetMode="External"/><Relationship Id="rId59" Type="http://schemas.openxmlformats.org/officeDocument/2006/relationships/hyperlink" Target="http://www.sec.gov/Archives/edgar/data/1668243/000143774924007753/ex_638794.htm" TargetMode="External"/><Relationship Id="rId60" Type="http://schemas.openxmlformats.org/officeDocument/2006/relationships/hyperlink" Target="http://www.sec.gov/Archives/edgar/data/1668243/000143774923007710/ex_451120.htm" TargetMode="External"/><Relationship Id="rId61" Type="http://schemas.openxmlformats.org/officeDocument/2006/relationships/hyperlink" Target="http://www.sec.gov/Archives/edgar/data/1668243/000143774924007753/ex_599309.htm" TargetMode="External"/><Relationship Id="rId62" Type="http://schemas.openxmlformats.org/officeDocument/2006/relationships/hyperlink" Target="http://www.sec.gov/ix?doc=/Archives/edgar/data/1668243/000143774924007753/urgn20231231_10k.htm" TargetMode="External"/><Relationship Id="rId63" Type="http://schemas.openxmlformats.org/officeDocument/2006/relationships/hyperlink" Target="http://www.sec.gov/Archives/edgar/data/1668243/000143774924007753/ex_599310.htm" TargetMode="External"/><Relationship Id="rId64" Type="http://schemas.openxmlformats.org/officeDocument/2006/relationships/hyperlink" Target="http://www.sec.gov/Archives/edgar/data/1668243/000143774924007753/ex_599311.htm" TargetMode="External"/><Relationship Id="rId65" Type="http://schemas.openxmlformats.org/officeDocument/2006/relationships/hyperlink" Target="http://www.sec.gov/Archives/edgar/data/1668243/000143774924007753/ex_599312.htm" TargetMode="External"/><Relationship Id="rId66" Type="http://schemas.openxmlformats.org/officeDocument/2006/relationships/hyperlink" Target="http://www.sec.gov/Archives/edgar/data/1668243/000143774924007753/ex_6364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2024-04-29T07:23:54Z</dcterms:created>
  <dcterms:modified xsi:type="dcterms:W3CDTF">2024-04-29T07:23:54Z</dcterms:modified>
</cp:coreProperties>
</file>