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143510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97790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2023</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8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4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UROGEN PHARMA LTD.</w:t>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600"/>
              <w:spacing w:after="0"/>
              <w:rPr>
                <w:sz w:val="20"/>
                <w:szCs w:val="20"/>
                <w:color w:val="auto"/>
              </w:rPr>
            </w:pPr>
            <w:r>
              <w:rPr>
                <w:rFonts w:ascii="Arial" w:cs="Arial" w:eastAsia="Arial" w:hAnsi="Arial"/>
                <w:sz w:val="18"/>
                <w:szCs w:val="18"/>
                <w:b w:val="1"/>
                <w:bCs w:val="1"/>
                <w:color w:val="auto"/>
              </w:rPr>
              <w:t>Israel</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98-1460746</w:t>
            </w:r>
          </w:p>
        </w:tc>
      </w:tr>
      <w:tr>
        <w:trPr>
          <w:trHeight w:val="162"/>
        </w:trPr>
        <w:tc>
          <w:tcPr>
            <w:tcW w:w="6880" w:type="dxa"/>
            <w:vAlign w:val="bottom"/>
          </w:tcPr>
          <w:p>
            <w:pPr>
              <w:jc w:val="center"/>
              <w:ind w:right="262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52"/>
        </w:trPr>
        <w:tc>
          <w:tcPr>
            <w:tcW w:w="6880" w:type="dxa"/>
            <w:vAlign w:val="bottom"/>
          </w:tcPr>
          <w:p>
            <w:pPr>
              <w:jc w:val="center"/>
              <w:ind w:right="2620"/>
              <w:spacing w:after="0" w:line="153" w:lineRule="exact"/>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line="153" w:lineRule="exact"/>
              <w:rPr>
                <w:sz w:val="20"/>
                <w:szCs w:val="20"/>
                <w:color w:val="auto"/>
              </w:rPr>
            </w:pPr>
            <w:r>
              <w:rPr>
                <w:rFonts w:ascii="Arial" w:cs="Arial" w:eastAsia="Arial" w:hAnsi="Arial"/>
                <w:sz w:val="14"/>
                <w:szCs w:val="14"/>
                <w:b w:val="1"/>
                <w:bCs w:val="1"/>
                <w:color w:val="auto"/>
              </w:rPr>
              <w:t>Identification No.)</w:t>
            </w:r>
          </w:p>
        </w:tc>
      </w:tr>
      <w:tr>
        <w:trPr>
          <w:trHeight w:val="212"/>
        </w:trPr>
        <w:tc>
          <w:tcPr>
            <w:tcW w:w="6880" w:type="dxa"/>
            <w:vAlign w:val="bottom"/>
          </w:tcPr>
          <w:p>
            <w:pPr>
              <w:jc w:val="center"/>
              <w:ind w:right="2620"/>
              <w:spacing w:after="0"/>
              <w:rPr>
                <w:sz w:val="20"/>
                <w:szCs w:val="20"/>
                <w:color w:val="auto"/>
              </w:rPr>
            </w:pPr>
            <w:r>
              <w:rPr>
                <w:rFonts w:ascii="Arial" w:cs="Arial" w:eastAsia="Arial" w:hAnsi="Arial"/>
                <w:sz w:val="18"/>
                <w:szCs w:val="18"/>
                <w:b w:val="1"/>
                <w:bCs w:val="1"/>
                <w:color w:val="auto"/>
                <w:w w:val="99"/>
              </w:rPr>
              <w:t>400 Alexander Park Drive, Princeton, New Jersey</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08540</w:t>
            </w:r>
          </w:p>
        </w:tc>
      </w:tr>
      <w:tr>
        <w:trPr>
          <w:trHeight w:val="200"/>
        </w:trPr>
        <w:tc>
          <w:tcPr>
            <w:tcW w:w="6880" w:type="dxa"/>
            <w:vAlign w:val="bottom"/>
          </w:tcPr>
          <w:p>
            <w:pPr>
              <w:jc w:val="center"/>
              <w:ind w:right="26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405"/>
        </w:trPr>
        <w:tc>
          <w:tcPr>
            <w:tcW w:w="6880" w:type="dxa"/>
            <w:vAlign w:val="bottom"/>
          </w:tcPr>
          <w:p>
            <w:pPr>
              <w:jc w:val="right"/>
              <w:ind w:right="1280"/>
              <w:spacing w:after="0"/>
              <w:rPr>
                <w:sz w:val="20"/>
                <w:szCs w:val="20"/>
                <w:color w:val="auto"/>
              </w:rPr>
            </w:pPr>
            <w:r>
              <w:rPr>
                <w:rFonts w:ascii="Arial" w:cs="Arial" w:eastAsia="Arial" w:hAnsi="Arial"/>
                <w:sz w:val="18"/>
                <w:szCs w:val="18"/>
                <w:b w:val="1"/>
                <w:bCs w:val="1"/>
                <w:color w:val="auto"/>
              </w:rPr>
              <w:t>(646) 768-9780</w:t>
            </w:r>
          </w:p>
        </w:tc>
        <w:tc>
          <w:tcPr>
            <w:tcW w:w="1440" w:type="dxa"/>
            <w:vAlign w:val="bottom"/>
          </w:tcPr>
          <w:p>
            <w:pPr>
              <w:spacing w:after="0"/>
              <w:rPr>
                <w:sz w:val="24"/>
                <w:szCs w:val="24"/>
                <w:color w:val="auto"/>
              </w:rPr>
            </w:pPr>
          </w:p>
        </w:tc>
      </w:tr>
      <w:tr>
        <w:trPr>
          <w:trHeight w:val="283"/>
        </w:trPr>
        <w:tc>
          <w:tcPr>
            <w:tcW w:w="6880" w:type="dxa"/>
            <w:vAlign w:val="bottom"/>
          </w:tcPr>
          <w:p>
            <w:pPr>
              <w:jc w:val="center"/>
              <w:ind w:left="2860"/>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52705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84"/>
        </w:trPr>
        <w:tc>
          <w:tcPr>
            <w:tcW w:w="1100" w:type="dxa"/>
            <w:vAlign w:val="bottom"/>
          </w:tcPr>
          <w:p>
            <w:pPr>
              <w:spacing w:after="0"/>
              <w:rPr>
                <w:sz w:val="24"/>
                <w:szCs w:val="24"/>
                <w:color w:val="auto"/>
              </w:rPr>
            </w:pPr>
          </w:p>
        </w:tc>
        <w:tc>
          <w:tcPr>
            <w:tcW w:w="3220" w:type="dxa"/>
            <w:vAlign w:val="bottom"/>
            <w:gridSpan w:val="2"/>
          </w:tcPr>
          <w:p>
            <w:pPr>
              <w:jc w:val="center"/>
              <w:ind w:right="1940"/>
              <w:spacing w:after="0"/>
              <w:rPr>
                <w:sz w:val="20"/>
                <w:szCs w:val="20"/>
                <w:color w:val="auto"/>
              </w:rPr>
            </w:pPr>
            <w:r>
              <w:rPr>
                <w:rFonts w:ascii="Arial" w:cs="Arial" w:eastAsia="Arial" w:hAnsi="Arial"/>
                <w:sz w:val="16"/>
                <w:szCs w:val="16"/>
                <w:color w:val="auto"/>
                <w:w w:val="99"/>
              </w:rPr>
              <w:t>Title of each class</w:t>
            </w:r>
          </w:p>
        </w:tc>
        <w:tc>
          <w:tcPr>
            <w:tcW w:w="2760" w:type="dxa"/>
            <w:vAlign w:val="bottom"/>
            <w:gridSpan w:val="3"/>
          </w:tcPr>
          <w:p>
            <w:pPr>
              <w:jc w:val="center"/>
              <w:ind w:right="1180"/>
              <w:spacing w:after="0"/>
              <w:rPr>
                <w:sz w:val="20"/>
                <w:szCs w:val="20"/>
                <w:color w:val="auto"/>
              </w:rPr>
            </w:pPr>
            <w:r>
              <w:rPr>
                <w:rFonts w:ascii="Arial" w:cs="Arial" w:eastAsia="Arial" w:hAnsi="Arial"/>
                <w:sz w:val="16"/>
                <w:szCs w:val="16"/>
                <w:color w:val="auto"/>
              </w:rPr>
              <w:t>Trading Symbol</w:t>
            </w:r>
          </w:p>
        </w:tc>
        <w:tc>
          <w:tcPr>
            <w:tcW w:w="280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
        </w:trPr>
        <w:tc>
          <w:tcPr>
            <w:tcW w:w="1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84"/>
        </w:trPr>
        <w:tc>
          <w:tcPr>
            <w:tcW w:w="4320" w:type="dxa"/>
            <w:vAlign w:val="bottom"/>
            <w:gridSpan w:val="3"/>
          </w:tcPr>
          <w:p>
            <w:pPr>
              <w:jc w:val="center"/>
              <w:ind w:right="860"/>
              <w:spacing w:after="0"/>
              <w:rPr>
                <w:sz w:val="20"/>
                <w:szCs w:val="20"/>
                <w:color w:val="auto"/>
              </w:rPr>
            </w:pPr>
            <w:r>
              <w:rPr>
                <w:rFonts w:ascii="Arial" w:cs="Arial" w:eastAsia="Arial" w:hAnsi="Arial"/>
                <w:sz w:val="16"/>
                <w:szCs w:val="16"/>
                <w:color w:val="auto"/>
              </w:rPr>
              <w:t>Ordinary Shares, par value NIS 0.01 per share</w:t>
            </w:r>
          </w:p>
        </w:tc>
        <w:tc>
          <w:tcPr>
            <w:tcW w:w="220" w:type="dxa"/>
            <w:vAlign w:val="bottom"/>
          </w:tcPr>
          <w:p>
            <w:pPr>
              <w:spacing w:after="0"/>
              <w:rPr>
                <w:sz w:val="24"/>
                <w:szCs w:val="24"/>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w w:val="97"/>
              </w:rPr>
              <w:t>URGN</w:t>
            </w:r>
          </w:p>
        </w:tc>
        <w:tc>
          <w:tcPr>
            <w:tcW w:w="280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44" w:lineRule="exact"/>
        <w:rPr>
          <w:sz w:val="24"/>
          <w:szCs w:val="24"/>
          <w:color w:val="auto"/>
        </w:rPr>
      </w:pPr>
    </w:p>
    <w:p>
      <w:pPr>
        <w:ind w:firstLine="50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ind w:right="40" w:firstLine="50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ind w:right="100" w:firstLine="50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5" w:lineRule="exact"/>
        <w:rPr>
          <w:sz w:val="24"/>
          <w:szCs w:val="24"/>
          <w:color w:val="auto"/>
        </w:rPr>
      </w:pPr>
    </w:p>
    <w:p>
      <w:pPr>
        <w:jc w:val="both"/>
        <w:ind w:right="40" w:firstLine="504"/>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ind w:left="520"/>
        <w:spacing w:after="0" w:line="184" w:lineRule="exact"/>
        <w:tabs>
          <w:tab w:leader="none" w:pos="8760" w:val="left"/>
          <w:tab w:leader="none" w:pos="9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November 7, 2023, the registrant had 30,866,320 ordinary shares, par value NIS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40" w:type="dxa"/>
            <w:vAlign w:val="bottom"/>
            <w:gridSpan w:val="20"/>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8"/>
        </w:trPr>
        <w:tc>
          <w:tcPr>
            <w:tcW w:w="9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UroGen Pharma Ltd.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8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240" w:type="dxa"/>
            <w:vAlign w:val="bottom"/>
            <w:gridSpan w:val="8"/>
          </w:tcPr>
          <w:p>
            <w:pPr>
              <w:spacing w:after="0" w:line="182" w:lineRule="exact"/>
              <w:rPr>
                <w:sz w:val="20"/>
                <w:szCs w:val="20"/>
                <w:color w:val="auto"/>
              </w:rPr>
            </w:pPr>
            <w:r>
              <w:rPr>
                <w:rFonts w:ascii="Arial" w:cs="Arial" w:eastAsia="Arial" w:hAnsi="Arial"/>
                <w:sz w:val="18"/>
                <w:szCs w:val="18"/>
                <w:color w:val="0000EE"/>
                <w:w w:val="98"/>
              </w:rPr>
              <w:t>FINANCIAL INFORMATION</w:t>
            </w:r>
          </w:p>
        </w:tc>
        <w:tc>
          <w:tcPr>
            <w:tcW w:w="7500" w:type="dxa"/>
            <w:vAlign w:val="bottom"/>
            <w:gridSpan w:val="11"/>
          </w:tcPr>
          <w:p>
            <w:pPr>
              <w:spacing w:after="0"/>
              <w:rPr>
                <w:sz w:val="15"/>
                <w:szCs w:val="15"/>
                <w:color w:val="auto"/>
              </w:rPr>
            </w:pPr>
          </w:p>
        </w:tc>
        <w:tc>
          <w:tcPr>
            <w:tcW w:w="480" w:type="dxa"/>
            <w:vAlign w:val="bottom"/>
            <w:gridSpan w:val="2"/>
          </w:tcPr>
          <w:p>
            <w:pPr>
              <w:spacing w:after="0"/>
              <w:rPr>
                <w:sz w:val="15"/>
                <w:szCs w:val="15"/>
                <w:color w:val="auto"/>
              </w:rPr>
            </w:pP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9740" w:type="dxa"/>
            <w:vAlign w:val="bottom"/>
            <w:gridSpan w:val="19"/>
          </w:tcPr>
          <w:p>
            <w:pPr>
              <w:spacing w:after="0"/>
              <w:rPr>
                <w:sz w:val="20"/>
                <w:szCs w:val="20"/>
                <w:color w:val="auto"/>
              </w:rPr>
            </w:pPr>
            <w:r>
              <w:rPr>
                <w:rFonts w:ascii="Arial" w:cs="Arial" w:eastAsia="Arial" w:hAnsi="Arial"/>
                <w:sz w:val="18"/>
                <w:szCs w:val="18"/>
                <w:color w:val="0000EE"/>
              </w:rPr>
              <w:t>Financial Statements (Unaudited)</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EE"/>
                <w:w w:val="99"/>
              </w:rPr>
              <w:t>Condensed Consolidated Balance Sheets</w:t>
            </w:r>
          </w:p>
        </w:tc>
        <w:tc>
          <w:tcPr>
            <w:tcW w:w="640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Operations and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5560" w:type="dxa"/>
            <w:vAlign w:val="bottom"/>
            <w:gridSpan w:val="16"/>
          </w:tcPr>
          <w:p>
            <w:pPr>
              <w:spacing w:after="0"/>
              <w:rPr>
                <w:sz w:val="20"/>
                <w:szCs w:val="20"/>
                <w:color w:val="auto"/>
              </w:rPr>
            </w:pPr>
            <w:r>
              <w:rPr>
                <w:rFonts w:ascii="Arial" w:cs="Arial" w:eastAsia="Arial" w:hAnsi="Arial"/>
                <w:sz w:val="18"/>
                <w:szCs w:val="18"/>
                <w:color w:val="0000EE"/>
                <w:w w:val="99"/>
              </w:rPr>
              <w:t>Condensed Consolidated Statements of Shareholders’ Equity (Deficit)</w:t>
            </w:r>
          </w:p>
        </w:tc>
        <w:tc>
          <w:tcPr>
            <w:tcW w:w="64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5560" w:type="dxa"/>
            <w:vAlign w:val="bottom"/>
            <w:gridSpan w:val="16"/>
          </w:tcPr>
          <w:p>
            <w:pPr>
              <w:spacing w:after="0"/>
              <w:rPr>
                <w:sz w:val="20"/>
                <w:szCs w:val="20"/>
                <w:color w:val="auto"/>
              </w:rPr>
            </w:pPr>
            <w:r>
              <w:rPr>
                <w:rFonts w:ascii="Arial" w:cs="Arial" w:eastAsia="Arial" w:hAnsi="Arial"/>
                <w:sz w:val="18"/>
                <w:szCs w:val="18"/>
                <w:color w:val="0000EE"/>
              </w:rPr>
              <w:t>Condensed Consolidated Statements of Cash Flows</w:t>
            </w:r>
          </w:p>
        </w:tc>
        <w:tc>
          <w:tcPr>
            <w:tcW w:w="418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20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3"/>
          </w:tcPr>
          <w:p>
            <w:pPr>
              <w:spacing w:after="0"/>
              <w:rPr>
                <w:sz w:val="20"/>
                <w:szCs w:val="20"/>
                <w:color w:val="auto"/>
              </w:rPr>
            </w:pPr>
            <w:r>
              <w:rPr>
                <w:rFonts w:ascii="Arial" w:cs="Arial" w:eastAsia="Arial" w:hAnsi="Arial"/>
                <w:sz w:val="18"/>
                <w:szCs w:val="18"/>
                <w:color w:val="0000EE"/>
              </w:rPr>
              <w:t>Controls and Procedures</w:t>
            </w:r>
          </w:p>
        </w:tc>
        <w:tc>
          <w:tcPr>
            <w:tcW w:w="504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34</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vMerge w:val="continue"/>
          </w:tcPr>
          <w:p>
            <w:pPr>
              <w:spacing w:after="0"/>
              <w:rPr>
                <w:sz w:val="18"/>
                <w:szCs w:val="18"/>
                <w:color w:val="auto"/>
              </w:rPr>
            </w:pPr>
          </w:p>
        </w:tc>
        <w:tc>
          <w:tcPr>
            <w:tcW w:w="1920" w:type="dxa"/>
            <w:vAlign w:val="bottom"/>
            <w:gridSpan w:val="7"/>
          </w:tcPr>
          <w:p>
            <w:pPr>
              <w:spacing w:after="0"/>
              <w:rPr>
                <w:sz w:val="20"/>
                <w:szCs w:val="20"/>
                <w:color w:val="auto"/>
              </w:rPr>
            </w:pPr>
            <w:r>
              <w:rPr>
                <w:rFonts w:ascii="Arial" w:cs="Arial" w:eastAsia="Arial" w:hAnsi="Arial"/>
                <w:sz w:val="18"/>
                <w:szCs w:val="18"/>
                <w:color w:val="0000EE"/>
                <w:w w:val="96"/>
              </w:rPr>
              <w:t>OTHER INFORMATION</w:t>
            </w: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192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18"/>
                <w:szCs w:val="18"/>
                <w:color w:val="auto"/>
              </w:rPr>
            </w:pPr>
          </w:p>
        </w:tc>
        <w:tc>
          <w:tcPr>
            <w:tcW w:w="826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974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4"/>
          </w:tcPr>
          <w:p>
            <w:pPr>
              <w:spacing w:after="0"/>
              <w:rPr>
                <w:sz w:val="20"/>
                <w:szCs w:val="20"/>
                <w:color w:val="auto"/>
              </w:rPr>
            </w:pPr>
            <w:r>
              <w:rPr>
                <w:rFonts w:ascii="Arial" w:cs="Arial" w:eastAsia="Arial" w:hAnsi="Arial"/>
                <w:sz w:val="18"/>
                <w:szCs w:val="18"/>
                <w:color w:val="0000EE"/>
              </w:rPr>
              <w:t>Defaults Upon Senior Securities</w:t>
            </w:r>
          </w:p>
        </w:tc>
        <w:tc>
          <w:tcPr>
            <w:tcW w:w="490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EE"/>
              </w:rPr>
              <w:t>Mine Safety Disclosures</w:t>
            </w:r>
          </w:p>
        </w:tc>
        <w:tc>
          <w:tcPr>
            <w:tcW w:w="720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18"/>
                <w:szCs w:val="18"/>
                <w:color w:val="auto"/>
              </w:rPr>
            </w:pP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EE"/>
              </w:rPr>
              <w:t>Exhibits</w:t>
            </w:r>
          </w:p>
        </w:tc>
        <w:tc>
          <w:tcPr>
            <w:tcW w:w="83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EE"/>
                <w:w w:val="97"/>
              </w:rPr>
              <w:t>Signatures</w:t>
            </w:r>
          </w:p>
        </w:tc>
        <w:tc>
          <w:tcPr>
            <w:tcW w:w="8880" w:type="dxa"/>
            <w:vAlign w:val="bottom"/>
            <w:gridSpan w:val="16"/>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0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Unless the context requires otherwise, references in this Quarterly Report to the “Company,” "UroGen," “we,” “us” and “our” refer to UroGen Pharma Ltd. and its subsidiary, UroGen Pharma, Inc.</w:t>
      </w:r>
    </w:p>
    <w:p>
      <w:pPr>
        <w:spacing w:after="0" w:line="15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UroGen</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RTGel</w:t>
      </w:r>
      <w:r>
        <w:rPr>
          <w:rFonts w:ascii="Arial" w:cs="Arial" w:eastAsia="Arial" w:hAnsi="Arial"/>
          <w:sz w:val="14"/>
          <w:szCs w:val="14"/>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Jelmyto</w:t>
      </w:r>
      <w:r>
        <w:rPr>
          <w:rFonts w:ascii="Arial" w:cs="Arial" w:eastAsia="Arial" w:hAnsi="Arial"/>
          <w:sz w:val="14"/>
          <w:szCs w:val="14"/>
          <w:color w:val="auto"/>
        </w:rPr>
        <w:t>®</w:t>
      </w:r>
      <w:r>
        <w:rPr>
          <w:rFonts w:ascii="Arial" w:cs="Arial" w:eastAsia="Arial" w:hAnsi="Arial"/>
          <w:sz w:val="18"/>
          <w:szCs w:val="18"/>
          <w:color w:val="auto"/>
        </w:rPr>
        <w:t xml:space="preserve"> are trademarks of ours that we use in this Quarterly Report. This Quarterly Report also includes trademarks, tradenames, and service marks that are the property of other organizations. Solely for convenience, our trademarks and tradenames referred to in this Quarterly Report appear without the ® or ™ 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amounts and par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119,305</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55,408</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28,114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44,556</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813</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12,847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12,704</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4,325</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11,101</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182,123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128,907</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Non-current assets:</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1,297</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Restricted deposit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2,452</w:t>
            </w:r>
          </w:p>
        </w:tc>
      </w:tr>
      <w:tr>
        <w:trPr>
          <w:trHeight w:val="202"/>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82"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193,633</w:t>
            </w:r>
          </w:p>
        </w:tc>
        <w:tc>
          <w:tcPr>
            <w:tcW w:w="12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135,619</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ind w:left="2540"/>
              <w:spacing w:after="0" w:line="183" w:lineRule="exact"/>
              <w:rPr>
                <w:sz w:val="20"/>
                <w:szCs w:val="20"/>
                <w:color w:val="auto"/>
              </w:rPr>
            </w:pPr>
            <w:r>
              <w:rPr>
                <w:rFonts w:ascii="Arial" w:cs="Arial" w:eastAsia="Arial" w:hAnsi="Arial"/>
                <w:sz w:val="18"/>
                <w:szCs w:val="18"/>
                <w:color w:val="auto"/>
              </w:rPr>
              <w:t>Liabilities and Shareholders' Deficit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14,083</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12,383</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Employee related accrued expenses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8,152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8,257</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25,788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23,916</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Prepaid forward obligation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107,276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98,923</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97,537</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Long-term lease liabilities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1,586</w:t>
            </w:r>
          </w:p>
        </w:tc>
      </w:tr>
      <w:tr>
        <w:trPr>
          <w:trHeight w:val="202"/>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Uncertain tax positions liability</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235,626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224,980</w:t>
            </w: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18)</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Shareholders' Deficit:</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80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Ordinary shares, NIS 0.01 par value, 100,000,000 shares authorized at September 30, 2023</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0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and December 31, 2022; 30,854,778 and 23,129,953 shares issued and outstanding as of</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September 30, 2023 and December 31, 2022, respectively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611,389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487,787</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(653,332)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(577,104)</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Shareholders' Deficit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(41,993)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(89,361)</w:t>
            </w:r>
          </w:p>
        </w:tc>
      </w:tr>
      <w:tr>
        <w:trPr>
          <w:trHeight w:val="196"/>
        </w:trPr>
        <w:tc>
          <w:tcPr>
            <w:tcW w:w="80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Total Liabilities and Shareholders' Deficit</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193,633</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135,619</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30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UroGen Pharma Ltd.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8620" w:type="dxa"/>
            <w:vAlign w:val="bottom"/>
            <w:gridSpan w:val="11"/>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7300" w:type="dxa"/>
            <w:vAlign w:val="bottom"/>
            <w:gridSpan w:val="8"/>
          </w:tcPr>
          <w:p>
            <w:pPr>
              <w:jc w:val="center"/>
              <w:ind w:left="1050"/>
              <w:spacing w:after="0"/>
              <w:rPr>
                <w:sz w:val="20"/>
                <w:szCs w:val="20"/>
                <w:color w:val="auto"/>
              </w:rPr>
            </w:pPr>
            <w:r>
              <w:rPr>
                <w:rFonts w:ascii="Arial" w:cs="Arial" w:eastAsia="Arial" w:hAnsi="Arial"/>
                <w:sz w:val="18"/>
                <w:szCs w:val="18"/>
                <w:b w:val="1"/>
                <w:bCs w:val="1"/>
                <w:color w:val="auto"/>
                <w:w w:val="99"/>
              </w:rPr>
              <w:t>(unaudited; in thousands, except share and per share amounts)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1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For the Three Months Ended</w:t>
            </w:r>
          </w:p>
        </w:tc>
        <w:tc>
          <w:tcPr>
            <w:tcW w:w="254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20,852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16,097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59,183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46,265</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2,367</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7,075</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18,485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14,077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52,108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40,874</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10,230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13,093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34,312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38,429</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21,755</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19,071</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68,723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61,204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(18,087)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(50,927)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(58,759)</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(5,479)</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(4,819)</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(16,047)</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(16,478)</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(3,815)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(11,129)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478</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(21,888)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(25,122)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(76,162)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(79,848)</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(709)</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(21,879)</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(25,831)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(76,228)</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(80,914)</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color w:val="auto"/>
              </w:rPr>
              <w:t>Statements of Comprehensive Loss</w:t>
            </w:r>
          </w:p>
        </w:tc>
        <w:tc>
          <w:tcPr>
            <w:tcW w:w="16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(21,879)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(25,831)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(76,228)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(80,914)</w:t>
            </w: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Unrealized gain (loss) on investments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tcPr>
          <w:p>
            <w:pPr>
              <w:spacing w:after="0" w:line="182" w:lineRule="exact"/>
              <w:rPr>
                <w:sz w:val="20"/>
                <w:szCs w:val="20"/>
                <w:color w:val="auto"/>
              </w:rPr>
            </w:pPr>
            <w:r>
              <w:rPr>
                <w:rFonts w:ascii="Arial" w:cs="Arial" w:eastAsia="Arial" w:hAnsi="Arial"/>
                <w:sz w:val="18"/>
                <w:szCs w:val="18"/>
                <w:color w:val="auto"/>
              </w:rPr>
              <w:t>Comprehensive Loss</w:t>
            </w:r>
          </w:p>
        </w:tc>
        <w:tc>
          <w:tcPr>
            <w:tcW w:w="1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(21,859)</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(25,930)</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(76,255)</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(81,044)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 per ordinary share - basic and diluted</w:t>
            </w:r>
          </w:p>
        </w:tc>
        <w:tc>
          <w:tcPr>
            <w:tcW w:w="1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80" w:type="dxa"/>
            <w:vAlign w:val="bottom"/>
            <w:gridSpan w:val="3"/>
          </w:tcPr>
          <w:p>
            <w:pPr>
              <w:spacing w:after="0" w:line="170" w:lineRule="exact"/>
              <w:rPr>
                <w:sz w:val="20"/>
                <w:szCs w:val="20"/>
                <w:color w:val="auto"/>
              </w:rPr>
            </w:pPr>
            <w:r>
              <w:rPr>
                <w:rFonts w:ascii="Arial" w:cs="Arial" w:eastAsia="Arial" w:hAnsi="Arial"/>
                <w:sz w:val="18"/>
                <w:szCs w:val="18"/>
                <w:color w:val="auto"/>
              </w:rPr>
              <w:t>Weighted average number of shares outstanding used in computation of</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32,298,182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22,798,263</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26,358,719</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22,711,686</w:t>
            </w:r>
          </w:p>
        </w:tc>
        <w:tc>
          <w:tcPr>
            <w:tcW w:w="0" w:type="dxa"/>
            <w:vAlign w:val="bottom"/>
          </w:tcPr>
          <w:p>
            <w:pPr>
              <w:spacing w:after="0"/>
              <w:rPr>
                <w:sz w:val="1"/>
                <w:szCs w:val="1"/>
                <w:color w:val="auto"/>
              </w:rPr>
            </w:pPr>
          </w:p>
        </w:tc>
      </w:tr>
      <w:tr>
        <w:trPr>
          <w:trHeight w:val="175"/>
        </w:trPr>
        <w:tc>
          <w:tcPr>
            <w:tcW w:w="4320" w:type="dxa"/>
            <w:vAlign w:val="bottom"/>
            <w:gridSpan w:val="2"/>
          </w:tcPr>
          <w:p>
            <w:pPr>
              <w:spacing w:after="0" w:line="155" w:lineRule="exact"/>
              <w:rPr>
                <w:sz w:val="20"/>
                <w:szCs w:val="20"/>
                <w:color w:val="auto"/>
              </w:rPr>
            </w:pPr>
            <w:r>
              <w:rPr>
                <w:rFonts w:ascii="Arial" w:cs="Arial" w:eastAsia="Arial" w:hAnsi="Arial"/>
                <w:sz w:val="17"/>
                <w:szCs w:val="17"/>
                <w:color w:val="auto"/>
              </w:rPr>
              <w:t>basic and diluted loss per ordinary share</w:t>
            </w: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2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rPr>
              <w:t>UroGen Pharma Ltd.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7220" w:type="dxa"/>
            <w:vAlign w:val="bottom"/>
            <w:gridSpan w:val="15"/>
          </w:tcPr>
          <w:p>
            <w:pPr>
              <w:jc w:val="center"/>
              <w:ind w:left="113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Deficit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120" w:type="dxa"/>
            <w:vAlign w:val="bottom"/>
            <w:gridSpan w:val="14"/>
          </w:tcPr>
          <w:p>
            <w:pPr>
              <w:jc w:val="center"/>
              <w:ind w:right="880"/>
              <w:spacing w:after="0"/>
              <w:rPr>
                <w:sz w:val="20"/>
                <w:szCs w:val="20"/>
                <w:color w:val="auto"/>
              </w:rPr>
            </w:pPr>
            <w:r>
              <w:rPr>
                <w:rFonts w:ascii="Arial" w:cs="Arial" w:eastAsia="Arial" w:hAnsi="Arial"/>
                <w:sz w:val="18"/>
                <w:szCs w:val="18"/>
                <w:b w:val="1"/>
                <w:bCs w:val="1"/>
                <w:color w:val="auto"/>
                <w:w w:val="99"/>
              </w:rPr>
              <w:t>(unaudited; in thousands, except share amounts)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7"/>
              </w:rPr>
              <w:t>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paid-in</w:t>
            </w:r>
          </w:p>
        </w:tc>
        <w:tc>
          <w:tcPr>
            <w:tcW w:w="14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July 1, 2023</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23,498,617</w:t>
            </w:r>
          </w:p>
        </w:tc>
        <w:tc>
          <w:tcPr>
            <w:tcW w:w="340" w:type="dxa"/>
            <w:vAlign w:val="bottom"/>
            <w:tcBorders>
              <w:lef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493,109</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(631,453)</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(138,434)</w:t>
            </w: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30, 2023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55,781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190"/>
        </w:trPr>
        <w:tc>
          <w:tcPr>
            <w:tcW w:w="35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Issuance of pre-funded warrant,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of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Issuance of ordinary share, net of</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issuance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7,300,380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67,358</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(21,879)</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(21,879)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September 30, 2023</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30,854,778</w:t>
            </w:r>
          </w:p>
        </w:tc>
        <w:tc>
          <w:tcPr>
            <w:tcW w:w="340" w:type="dxa"/>
            <w:vAlign w:val="bottom"/>
            <w:tcBorders>
              <w:lef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611,389</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(653,332)</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(134)</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(41,993)</w:t>
            </w:r>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July 1, 2022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22,727,891</w:t>
            </w:r>
          </w:p>
        </w:tc>
        <w:tc>
          <w:tcPr>
            <w:tcW w:w="340" w:type="dxa"/>
            <w:vAlign w:val="bottom"/>
            <w:tcBorders>
              <w:lef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481,485</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(522,404)</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(40,913)</w:t>
            </w: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283,433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(25,831)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September 30, 2022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23,011,324</w:t>
            </w:r>
          </w:p>
        </w:tc>
        <w:tc>
          <w:tcPr>
            <w:tcW w:w="340" w:type="dxa"/>
            <w:vAlign w:val="bottom"/>
            <w:tcBorders>
              <w:lef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485,041</w:t>
            </w: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(548,235)</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(155)</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(63,286)</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40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rPr>
              <w:t>UroGen Pharma Ltd.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7220" w:type="dxa"/>
            <w:vAlign w:val="bottom"/>
            <w:gridSpan w:val="16"/>
          </w:tcPr>
          <w:p>
            <w:pPr>
              <w:jc w:val="center"/>
              <w:ind w:left="113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Deficit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120" w:type="dxa"/>
            <w:vAlign w:val="bottom"/>
            <w:gridSpan w:val="15"/>
          </w:tcPr>
          <w:p>
            <w:pPr>
              <w:jc w:val="center"/>
              <w:ind w:right="880"/>
              <w:spacing w:after="0"/>
              <w:rPr>
                <w:sz w:val="20"/>
                <w:szCs w:val="20"/>
                <w:color w:val="auto"/>
              </w:rPr>
            </w:pPr>
            <w:r>
              <w:rPr>
                <w:rFonts w:ascii="Arial" w:cs="Arial" w:eastAsia="Arial" w:hAnsi="Arial"/>
                <w:sz w:val="18"/>
                <w:szCs w:val="18"/>
                <w:b w:val="1"/>
                <w:bCs w:val="1"/>
                <w:color w:val="auto"/>
                <w:w w:val="99"/>
              </w:rPr>
              <w:t>(unaudited; in thousands, except share amounts)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tcPr>
          <w:p>
            <w:pPr>
              <w:ind w:left="40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7"/>
              </w:rPr>
              <w:t>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Number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paid-in</w:t>
            </w:r>
          </w:p>
        </w:tc>
        <w:tc>
          <w:tcPr>
            <w:tcW w:w="14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1, 2023</w:t>
            </w:r>
          </w:p>
        </w:tc>
        <w:tc>
          <w:tcPr>
            <w:tcW w:w="120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23,129,953</w:t>
            </w: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487,787</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(577,104)</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(89,361)</w:t>
            </w: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Changes During the Nine Months Ended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30, 2023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2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424,445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190"/>
        </w:trPr>
        <w:tc>
          <w:tcPr>
            <w:tcW w:w="35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Issuance of pre-funded warrant,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of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Issuance of ordinary share, net of</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issuance costs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7,300,380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67,358</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(76,228)</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(76,228)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September 30, 2023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30,854,778</w:t>
            </w:r>
          </w:p>
        </w:tc>
        <w:tc>
          <w:tcPr>
            <w:tcW w:w="3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611,389</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(653,332)</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(134)</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(41,993)</w:t>
            </w:r>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2022</w:t>
            </w:r>
          </w:p>
        </w:tc>
        <w:tc>
          <w:tcPr>
            <w:tcW w:w="12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22,462,995</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475,698</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(467,321)</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Changes During the Nine Months Ended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2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548,329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(80,914)</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(80,914)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September 30, 2022</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23,011,324</w:t>
            </w:r>
          </w:p>
        </w:tc>
        <w:tc>
          <w:tcPr>
            <w:tcW w:w="3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485,041</w:t>
            </w: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(548,235)</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(155)</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(63,286)</w:t>
            </w:r>
          </w:p>
        </w:tc>
        <w:tc>
          <w:tcPr>
            <w:tcW w:w="0" w:type="dxa"/>
            <w:vAlign w:val="bottom"/>
          </w:tcPr>
          <w:p>
            <w:pPr>
              <w:spacing w:after="0"/>
              <w:rPr>
                <w:sz w:val="1"/>
                <w:szCs w:val="1"/>
                <w:color w:val="auto"/>
              </w:rPr>
            </w:pPr>
          </w:p>
        </w:tc>
      </w:tr>
      <w:tr>
        <w:trPr>
          <w:trHeight w:val="413"/>
        </w:trPr>
        <w:tc>
          <w:tcPr>
            <w:tcW w:w="140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4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b w:val="1"/>
                <w:bCs w:val="1"/>
                <w:color w:val="auto"/>
              </w:rPr>
              <w:t>UroGen Pharma Ltd.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1400" w:type="dxa"/>
            <w:vAlign w:val="bottom"/>
          </w:tcPr>
          <w:p>
            <w:pPr>
              <w:spacing w:after="0"/>
              <w:rPr>
                <w:sz w:val="21"/>
                <w:szCs w:val="21"/>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(unaudited; 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9"/>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4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Nine Months Ended September 30,</w:t>
            </w:r>
          </w:p>
        </w:tc>
      </w:tr>
      <w:tr>
        <w:trPr>
          <w:trHeight w:val="196"/>
        </w:trPr>
        <w:tc>
          <w:tcPr>
            <w:tcW w:w="1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(76,228)</w:t>
            </w:r>
          </w:p>
        </w:tc>
        <w:tc>
          <w:tcPr>
            <w:tcW w:w="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(80,914)</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Adjustment to reconcile net loss to net cash from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Inventory Obsolescence</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Accrued financing on prepaid forward obligation</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11,019</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(Accretion) on marketable securities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8,212</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Amortization of discount on long-term debt</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1,077</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Amortization of right of use assets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(645)</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2,288</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(3,104)</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(2,746)</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Employee related accrued expenses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(323)</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(704)</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(856)</w:t>
            </w: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(63,380)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(65,807)</w:t>
            </w: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(35,009)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(63,009)</w:t>
            </w:r>
          </w:p>
        </w:tc>
      </w:tr>
      <w:tr>
        <w:trPr>
          <w:trHeight w:val="202"/>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45,538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41,202</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(241)</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(22,048)</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Proceeds from exercise of options into ordinary shares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1,133</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70,793</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Proceeds from pre-funded warrant issuance, net of $1,654 of issuance costs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48,700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Proceeds from ordinary share issuance, net of $2,288 of issuance costs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67,358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Issuance cost related to at-the-market issuances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(160)</w:t>
            </w:r>
          </w:p>
        </w:tc>
      </w:tr>
      <w:tr>
        <w:trPr>
          <w:trHeight w:val="196"/>
        </w:trPr>
        <w:tc>
          <w:tcPr>
            <w:tcW w:w="8000" w:type="dxa"/>
            <w:vAlign w:val="bottom"/>
            <w:tcBorders>
              <w:top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116,891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71,766</w:t>
            </w: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Cash and Cash Equivalents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63,902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(16,089)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45,587</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120,122</w:t>
            </w:r>
          </w:p>
        </w:tc>
        <w:tc>
          <w:tcPr>
            <w:tcW w:w="400" w:type="dxa"/>
            <w:vAlign w:val="bottom"/>
            <w:gridSpan w:val="2"/>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29,498</w:t>
            </w:r>
          </w:p>
        </w:tc>
      </w:tr>
      <w:tr>
        <w:trPr>
          <w:trHeight w:val="183"/>
        </w:trPr>
        <w:tc>
          <w:tcPr>
            <w:tcW w:w="800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Supplemental Disclosures of Non-Cash Activities</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800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Nature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 is an Israeli company incorporated in April 2004 (“UPL”).</w:t>
      </w:r>
    </w:p>
    <w:p>
      <w:pPr>
        <w:spacing w:after="0" w:line="19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UroGen Pharma, Inc., a wholly owned subsidiary of UPL, was incorporated in Delaware in October 2015 and began operating in February 2016 (“UPI”).</w:t>
      </w:r>
    </w:p>
    <w:p>
      <w:pPr>
        <w:spacing w:after="0" w:line="15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UPL and UPI (together the “Company”) is a biotechnology company dedicated to developing and commercializing innovative solutions that treat urothelial and specialty cancers. Since commencing operations, the Company has devoted substantially all of its efforts to securing intellectual property rights, performing research and development activities, including conducting clinical trials and manufacturing activities, hiring personnel, launching the Company’s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clinical development of UGN-102, and raising capital to support and expand these activities.</w:t>
      </w:r>
    </w:p>
    <w:p>
      <w:pPr>
        <w:spacing w:after="0" w:line="170" w:lineRule="exact"/>
        <w:rPr>
          <w:sz w:val="20"/>
          <w:szCs w:val="20"/>
          <w:color w:val="auto"/>
        </w:rPr>
      </w:pPr>
    </w:p>
    <w:p>
      <w:pPr>
        <w:ind w:right="640"/>
        <w:spacing w:after="0" w:line="245" w:lineRule="auto"/>
        <w:rPr>
          <w:sz w:val="20"/>
          <w:szCs w:val="20"/>
          <w:color w:val="auto"/>
        </w:rPr>
      </w:pPr>
      <w:r>
        <w:rPr>
          <w:rFonts w:ascii="Arial" w:cs="Arial" w:eastAsia="Arial" w:hAnsi="Arial"/>
          <w:sz w:val="18"/>
          <w:szCs w:val="18"/>
          <w:color w:val="auto"/>
        </w:rPr>
        <w:t xml:space="preserve">On April 15, 2020, the U.S. Food and Drug Administration (“FDA”) granted expedited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first-in -class treatment indicated for adults with low-grade upper tract urothelial cancer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It has been designed to enable longer exposure of urinary tract tissue to mitomycin, thereby enabling the treatment of tumors by non-surgical means.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in accordance with the instructions to Form 10-Q and Article 10 of Regulation S-X. Accordingly, they do not include all the information and footnotes required by GAAP for complete financial statements. In the opinion of the Company’s management, the accompanying condensed consolidated financial statements contain all adjustments (consisting of normal recurring accruals and adjustments) necessary for fair statement of its financial position, results of operations and cash flows of the Company at the dates and for the periods indicated. Interim results are not necessarily indicative of results for the full fiscal year. The year-end condensed consolidated balance sheet data was derived from audited financial statements but does not include all disclosures required by accounting principles generally accepted in the United States. The unaudited condensed consolidated financial statements should be read in conjunction with the consolidated financial statements and the notes thereto contained in the Company’s Annual Report on Form 10-K for the year ended December 31, 2022, as filed with the U.S. Securities and Exchange Commission (“SEC”) on March 24, 2023.</w:t>
      </w:r>
    </w:p>
    <w:p>
      <w:pPr>
        <w:spacing w:after="0" w:line="18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The Company has experienced net losses since its inception and has an accumulated deficit of $653.3 million and $577.1 million as of September 30, 2023 and December 31, 2022, respectively. The Company expects to incur losses and have negative net cash flows from operating activities as it executes on its strategy including engaging in further research and development activities, particularly conducting non-clinical studies and clinical trials. The success of the Company depends on the ability to successfully commercialize its technologies to support its operations and strategic plan.</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accordance with the accounting guidance related to the presentation of financial statements, management evaluates whether there are conditions or events, considered in the aggregate, that raise substantial doubt about the Company’s ability to continue as a going concern for the next 12 months from the date the financial statements are issued. The accompanying condensed consolidated financial statements have been prepared assuming that the Company will continue as a going concern, and do not include any adjustments relating to the carrying amounts and classification of assets and liabilities that may be necessary should the Company be unable to continue as a going concern. The Company’s ability to continue as a going concern is expected to be impacted by its ability to raise additional capital to fund its operations, produce cash inflows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product sales and develop UGN-102.</w:t>
      </w:r>
    </w:p>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July 26, 2023, the Company entered into a private placement transaction with certain institutional and other accredited investors pursuant to which the Company agreed to sell its ordinary shares and pre-funded warrants to purchase ordinary shares to the investors, for aggregate gross proceeds of $120.0 million. See Note 14 for further discussion regarding the private placement transaction.</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on the Company's cash, cash equivalents and marketable securities as of September 30, 2023, together with management’s cash flow projections, the Company believes that it has sufficient cash and cash equivalents to fund its operations beyond one year from the issuance of these financial statements. The Company will need to raise additional capital in the future. There can be no assurances that the Company will be able to secure such additional financing if at all, or on terms that are satisfactory to the Company, and that it will be sufficient to meet its needs. In the event the Company is not successful in obtaining sufficient funding, this could force us to delay, limit, or reduce our product development, commercialization efforts or other operations.</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0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Company's condensed consolidated financial statements include the accounts of UPL and its subsidiary, UPI. Intercompany balances and transactions have been eliminated during consolidation.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may differ from those estimates. As applicable to the unaudited condensed consolidated financial statements, the critical accounting estimates relate to the fair value of share-based compensation, measurement of revenue, estimate of uncertain tax positions, and measurement of liabilities accounted for under the interest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U.S. dollar (“Dollar”) is the currency of the primary economic environment in which the operations of the Company are conducted.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Therefore, the functional currency of the Company is the Dollar.</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condensed consolidated statements of operations as “Interest and other income,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Marketable Securities</w:t>
      </w:r>
    </w:p>
    <w:p>
      <w:pPr>
        <w:spacing w:after="0" w:line="20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Company presents all highly liquid investments with an original maturity of three months or less when purchased as cash equivalents. Cash and cash equivalents generally consist of money market funds and bank money market accounts and are stated at cost, which approximates fair value.</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Cash and cash equivalents and marketable securities totaled $153.9 million as of September 30, 2023. The Company accounts for its investments, which include cash equivalents and marketable securities, as available-for-sale in accordance with the Financial Accounting Standards Board (“FASB”) Accounting Standards Codification (“ASC”) Topic 320, “Investments — Debt and Equity Securities”. Available-for-sale debt securities are carried at fair value with unrealized gains and losses reported in other comprehensive income/loss within shareholders’ equity. Realized gains and losses are recorded as a component of interest and other income, net. The cost of securities sold is based on the specific-identification method.</w:t>
      </w:r>
    </w:p>
    <w:p>
      <w:pPr>
        <w:spacing w:after="0" w:line="18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Certain short-term investments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The majority of these assumptions are observable in the marketplace, can be derived from observable data or are supported by observable levels at which transactions are executed in the marketplace.</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For individual debt securities classified as available-for-sale securities where there has been a decline in fair value below amortized cost, the Company determines whether the decline resulted from a credit loss or other factors. The Company records impairment relating to credit losses through an allowance for credit losses, limited by the amount that the fair value is less than the amortized cost basis. Impairment that has not been recorded through an allowance for credit losses is recorded through other comprehensive income, net of applicable taxes.</w:t>
      </w:r>
    </w:p>
    <w:p>
      <w:pPr>
        <w:spacing w:after="0" w:line="174"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Restricted cash is related primarily to cash held to secure corporate credit cards; restricted deposits are related to cash held to secure leases.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0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not enter into any investment transaction for trading or speculative purposes.</w:t>
      </w:r>
    </w:p>
    <w:p>
      <w:pPr>
        <w:spacing w:after="0" w:line="17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Federal Deposit Insurance Corporation and concentrated within a limited number of financial institutions. The accounts are monitored by management to mitigate the risk.</w:t>
      </w:r>
    </w:p>
    <w:p>
      <w:pPr>
        <w:spacing w:after="0" w:line="1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Company’s product sales are recognized through the Company's arrangement with a single customer, a third-party national specialty distributor. The Company assesses the need for an allowance for doubtful accounts primarily based on creditworthiness, historical payment experience and general economic conditions. The Company has not experienced any credit losses related to this customer and has not currently recognized any allowance for doubtful accounts.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 provides for income taxes based on pretax income, if any, and applicable tax rates available in the various jurisdictions in which it operates, including Israel and the United States.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17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follows a two-step approach in recognizing and measuring uncertain tax positions. After concluding that a particular filing position can be recognized (i.e., has a more-likely-than-not chance of being sustained), ASC 740-10-30-7 requires that the amount of benefit recognized be measured using a methodology based on the concept of cumulative probability. Under this methodology, the amount of benefit recorded represents the largest amount of tax benefit that is greater than 50% likely to be realized upon settlement with a taxing authority that has full knowledge of all relevant information. See Note 16 for further discussion related to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0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w:t>
      </w:r>
      <w:r>
        <w:rPr>
          <w:rFonts w:ascii="Arial" w:cs="Arial" w:eastAsia="Arial" w:hAnsi="Arial"/>
          <w:sz w:val="18"/>
          <w:szCs w:val="18"/>
          <w:i w:val="1"/>
          <w:iCs w:val="1"/>
          <w:color w:val="auto"/>
        </w:rPr>
        <w:t>Jelmyto</w:t>
      </w:r>
      <w:r>
        <w:rPr>
          <w:rFonts w:ascii="Arial" w:cs="Arial" w:eastAsia="Arial" w:hAnsi="Arial"/>
          <w:sz w:val="18"/>
          <w:szCs w:val="18"/>
          <w:color w:val="auto"/>
        </w:rPr>
        <w:t>, the Company commenced capitalization of inventory at the receipt of FDA approval.</w:t>
      </w:r>
    </w:p>
    <w:p>
      <w:pPr>
        <w:spacing w:after="0" w:line="174"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auto"/>
        </w:rPr>
        <w:t>The Company values its inventory at the lower of cost or net realizable value. The Company measures inventory approximating actual cost under a first-in, first-out basis. The Company assesses recoverability of inventory each reporting period to determine any write down to net realizable value resulting from excess or obsolete inventories</w:t>
      </w:r>
      <w:r>
        <w:rPr>
          <w:rFonts w:ascii="Arial" w:cs="Arial" w:eastAsia="Arial" w:hAnsi="Arial"/>
          <w:sz w:val="18"/>
          <w:szCs w:val="18"/>
          <w:i w:val="1"/>
          <w:i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Property and equipment are recorded at historical cost, net of accumulated depreciation, amortization and, if applicable, impairment charges. The Company reviews its property and equipment assets for impairment whenever events or changes in circumstances indicate that the carrying amount of an asset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depreciated over the following useful lives (in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Useful Lives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Computers and software</w:t>
            </w:r>
          </w:p>
        </w:tc>
        <w:tc>
          <w:tcPr>
            <w:tcW w:w="5660" w:type="dxa"/>
            <w:vAlign w:val="bottom"/>
            <w:gridSpan w:val="2"/>
            <w:shd w:val="clear" w:color="auto" w:fill="CCEEFF"/>
          </w:tcPr>
          <w:p>
            <w:pPr>
              <w:jc w:val="center"/>
              <w:ind w:left="4310"/>
              <w:spacing w:after="0" w:line="196" w:lineRule="exact"/>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5660" w:type="dxa"/>
            <w:vAlign w:val="bottom"/>
            <w:gridSpan w:val="2"/>
          </w:tcPr>
          <w:p>
            <w:pPr>
              <w:jc w:val="center"/>
              <w:ind w:left="4330"/>
              <w:spacing w:after="0" w:line="202" w:lineRule="exact"/>
              <w:rPr>
                <w:sz w:val="20"/>
                <w:szCs w:val="20"/>
                <w:color w:val="auto"/>
              </w:rPr>
            </w:pPr>
            <w:r>
              <w:rPr>
                <w:rFonts w:ascii="Arial" w:cs="Arial" w:eastAsia="Arial" w:hAnsi="Arial"/>
                <w:sz w:val="18"/>
                <w:szCs w:val="18"/>
                <w:color w:val="auto"/>
              </w:rPr>
              <w:t>3 - 6.5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w:t>
            </w:r>
          </w:p>
        </w:tc>
        <w:tc>
          <w:tcPr>
            <w:tcW w:w="5660" w:type="dxa"/>
            <w:vAlign w:val="bottom"/>
            <w:gridSpan w:val="2"/>
            <w:shd w:val="clear" w:color="auto" w:fill="CCEEFF"/>
          </w:tcPr>
          <w:p>
            <w:pPr>
              <w:jc w:val="center"/>
              <w:ind w:left="4330"/>
              <w:spacing w:after="0" w:line="202" w:lineRule="exact"/>
              <w:rPr>
                <w:sz w:val="20"/>
                <w:szCs w:val="20"/>
                <w:color w:val="auto"/>
              </w:rPr>
            </w:pPr>
            <w:r>
              <w:rPr>
                <w:rFonts w:ascii="Arial" w:cs="Arial" w:eastAsia="Arial" w:hAnsi="Arial"/>
                <w:sz w:val="18"/>
                <w:szCs w:val="18"/>
                <w:color w:val="auto"/>
                <w:w w:val="98"/>
              </w:rPr>
              <w:t>5 - 16.5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112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5660" w:type="dxa"/>
            <w:vAlign w:val="bottom"/>
            <w:gridSpan w:val="2"/>
          </w:tcPr>
          <w:p>
            <w:pPr>
              <w:jc w:val="center"/>
              <w:ind w:left="4310"/>
              <w:spacing w:after="0"/>
              <w:rPr>
                <w:sz w:val="20"/>
                <w:szCs w:val="20"/>
                <w:color w:val="auto"/>
              </w:rPr>
            </w:pPr>
            <w:r>
              <w:rPr>
                <w:rFonts w:ascii="Arial" w:cs="Arial" w:eastAsia="Arial" w:hAnsi="Arial"/>
                <w:sz w:val="18"/>
                <w:szCs w:val="18"/>
                <w:color w:val="auto"/>
                <w:w w:val="99"/>
              </w:rPr>
              <w:t>2 - 10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2"/>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0" w:type="dxa"/>
            <w:vAlign w:val="bottom"/>
          </w:tcPr>
          <w:p>
            <w:pPr>
              <w:jc w:val="right"/>
              <w:ind w:right="2990"/>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 See Note 8 for further discussion regarding property and equipment.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Obligation</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Company is party to a transaction with RTW Investments (the “RTW Transaction”) in which the Company received funds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tiered, future cash payments based on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by the FDA. The net proceeds received under the RTW Transaction were recognized as a long-term liability. The Company recognizes the current cash payable amounts under the arrangement within other current liabilities on the condensed consolidated balance sheets. The subsequent measurement for the liability follows the accounting principles defined in ASC Topic 835-30, “Imputation of Interest”. See Note 9 for further discussion related to the prepaid forward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0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Company is party to a loan agreement with funds managed by Pharmakon Advisors, L.P. (“Pharmakon”). The Company recognizes interest expense in current earnings, and accrued interest within other current liabilities on the condensed consolidated balance sheets. The Company recognizes capitalized financing expenses as a direct offset to the long-term debt on the Company's condensed consolidated balance sheets, and amortizes them over the term of the debt using the effective interest method. See Note 10 for further discussion related to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is a lessee in several noncancelable operating leases, primarily for office space, office equipment and vehicles. The Company currently has no finance leases.</w:t>
      </w:r>
    </w:p>
    <w:p>
      <w:pPr>
        <w:spacing w:after="0" w:line="15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Company accounts for leases in accordance with ASC Topic 842, “Leases”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determines if an arrangement is a lease at inception. Right-of-use (“ROU”) assets and operating lease liabilities are recognized based on the present value of lease payments over the lease term as of the commencement date. Operating lease ROU assets are presented as operating lease right-of-use assets on the condensed consolidated balance sheets. The current portion of operating lease liabilities is included in other current liabilities and the long-term portion is presented separately as operating lease liabilities on the condensed consolidated balance sheets.</w:t>
      </w:r>
    </w:p>
    <w:p>
      <w:pPr>
        <w:spacing w:after="0" w:line="177"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Lease expense is recognized on a straight-line basis for operating leases. Variable lease payments associated with the Company’s leases are recognized when the event, activity, or circumstance in the lease agreement on which those payments are assessed occurs. Variable lease payments are presented as operating expense on the condensed consolidated statements of operations in the same line item as expense arising from fixed lease payments.</w:t>
      </w:r>
    </w:p>
    <w:p>
      <w:pPr>
        <w:spacing w:after="0" w:line="17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Company’s lease terms may include options to extend the lease. The lease extensions are included in the measurement of the right-of-use asset and lease liability when it is reasonably certain that it will exercise that option.</w:t>
      </w:r>
    </w:p>
    <w:p>
      <w:pPr>
        <w:spacing w:after="0" w:line="15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rate of interest it would have to pay on a collateralized basis to borrow an amount equal to the lease payments under similar terms.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ROU assets for operating leases are periodically reviewed for impairment losses under ASC 360-10, “Property, Plant, and Equipment”, to determine whether an ROU asset is impaired, and if so, the amount of the impairment loss to recognize.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Product sales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as revenue under ASC 606 at the point in time that control of the product has been transferred to the customer, generally at the point the product has been delivered to the treating physician. All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through the Company's arrangement with a single customer, a third-party national specialty distributor. Net revenue recognized includes gross revenue and management’s estimate of returns, consideration paid to the customer, chargebacks relating to differences between the wholesale acquisition cost and the contracted price offered to the end consumer, chargebacks relating to 340b drug pricing programs and other government sponsored programs, Medicaid drug rebate programs, the Company’s copay assistance program, and Medicare refund for discarded drug, which are estimated based on the Company’s historical experience.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Research and development costs are expensed as incurred and consist primarily of the cost of salaries, share-based compensation expenses, payroll taxes and other employee benefits, subcontractors and materials used for research and development activities, including nonclinical studies, clinical trials, manufacturing costs and professional services. The costs of services performed by others in connection with the research and development activities of the Company, including research and development conducted by others on behalf of the Company, shall be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such development milestone results are achieved.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Selling, general and administrative expenses consist primarily of personnel costs (including share-based compensation related to directors, employees and consultants). Other significant costs include commercial, medical affairs, external professional service costs, facility costs, accounting and audit services, legal services and other consulting fees. Selling,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Share-based compensation cost is measured at the grant date based on the fair value of the award and is recognized as expense over the required service period, which is equal to the vesting period. For performance stock units (“PSUs”), cost is measured at the grant date based on the fair value of the award and is recognized over any relevant service period as expense when the achievement of the performance condition is probable. The fair value of options is determined using the Black-Scholes option-pricing model. The fair value of a restricted stock unit (“RSU”) or a PSU equals the closing price of the Company’s ordinary shares on the grant date. The Company accounts for forfeitures as they occur in accordance with ASC Topic 718, “Compensation—Stock Compensation”.</w:t>
      </w:r>
    </w:p>
    <w:p>
      <w:pPr>
        <w:spacing w:after="0" w:line="181"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straight-line method and to value the awards based on the single-option award approach.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issued pre-funded warrants in connection with a private placement transaction that are accounted for as a freestanding equity-linked financial instrument that meets the criteria for equity classification under ASC 480, “Distinguishing Liabilities from Equity,” and ASC 815, “Derivatives and Hedging.” Accordingly, the Company classifies the pre-funded warrants as a component of permanent stockholders’ equity within additional paid-in capital and records them at the issuance date using a relative fair value allocation method. The Company valued the pre-funded warrants at issuance, concluding that their sales price approximated their fair value, and allocated the net sales proceeds from the private placement transaction proportionately to the ordinary shares and pre-funded warrants. See Note 14 for further discussion related to the private placement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08"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Basic net loss per share is computed by dividing the net loss attributable to ordinary shareholders by the weighted-average number of ordinary shares outstanding. Diluted net loss per share is computed similarly to basic net loss per share except that the denominator is increased to include the number of additional ordinary shares that would have been outstanding if the potential ordinary shares had been issued and if the additional ordinary shares were dilutive.</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For all periods presented, potentially dilutive securities are excluded from the computation of fully diluted loss per share as their effect is anti-dilutive.</w:t>
      </w:r>
    </w:p>
    <w:p>
      <w:pPr>
        <w:spacing w:after="0" w:line="15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Company’s pre-funded warrants requires the holder to pay nominal consideration to receive the Company’s ordinary shares and are therefore considered outstanding shares in determining basic and diluted earnings per share in accordance with ASC Topic 260, “Earnings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Issued Pronouncements</w:t>
      </w:r>
    </w:p>
    <w:p>
      <w:pPr>
        <w:spacing w:after="0" w:line="208"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The Company has reviewed the Accounting Standards Updates recently issued by the Financial Accounting Standards Board, and determined that they are not applicable to the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Other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as of September 30, 2023 and December 31, 2022 (in thousands):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4,041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5,527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sales reserves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2,710</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expenses</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1,566</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2,853</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1,349</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1,285</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selling, general and administrative expenses</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2,601</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1,609</w:t>
            </w:r>
          </w:p>
        </w:tc>
      </w:tr>
      <w:tr>
        <w:trPr>
          <w:trHeight w:val="202"/>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other expenses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1,816</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491</w:t>
            </w:r>
          </w:p>
        </w:tc>
      </w:tr>
      <w:tr>
        <w:trPr>
          <w:trHeight w:val="20"/>
        </w:trPr>
        <w:tc>
          <w:tcPr>
            <w:tcW w:w="6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14,083</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12,383</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of the following for the nine months ended September 30, 2023 and 2022 (in thousands):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3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6"/>
          </w:tcPr>
          <w:p>
            <w:pPr>
              <w:ind w:left="20"/>
              <w:spacing w:after="0"/>
              <w:rPr>
                <w:sz w:val="20"/>
                <w:szCs w:val="20"/>
                <w:color w:val="auto"/>
              </w:rPr>
            </w:pPr>
            <w:r>
              <w:rPr>
                <w:rFonts w:ascii="Arial" w:cs="Arial" w:eastAsia="Arial" w:hAnsi="Arial"/>
                <w:sz w:val="18"/>
                <w:szCs w:val="18"/>
                <w:b w:val="1"/>
                <w:bCs w:val="1"/>
                <w:color w:val="auto"/>
              </w:rPr>
              <w:t>Nine Months Ended September</w:t>
            </w:r>
          </w:p>
        </w:tc>
      </w:tr>
      <w:tr>
        <w:trPr>
          <w:trHeight w:val="225"/>
        </w:trPr>
        <w:tc>
          <w:tcPr>
            <w:tcW w:w="3340" w:type="dxa"/>
            <w:vAlign w:val="bottom"/>
          </w:tcPr>
          <w:p>
            <w:pPr>
              <w:spacing w:after="0"/>
              <w:rPr>
                <w:sz w:val="19"/>
                <w:szCs w:val="19"/>
                <w:color w:val="auto"/>
              </w:rPr>
            </w:pPr>
          </w:p>
        </w:tc>
        <w:tc>
          <w:tcPr>
            <w:tcW w:w="2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33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835</w:t>
            </w:r>
          </w:p>
        </w:tc>
        <w:tc>
          <w:tcPr>
            <w:tcW w:w="900" w:type="dxa"/>
            <w:vAlign w:val="bottom"/>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1,915</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469</w:t>
            </w:r>
          </w:p>
        </w:tc>
      </w:tr>
      <w:tr>
        <w:trPr>
          <w:trHeight w:val="202"/>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w:t>
            </w:r>
          </w:p>
        </w:tc>
      </w:tr>
      <w:tr>
        <w:trPr>
          <w:trHeight w:val="20"/>
        </w:trPr>
        <w:tc>
          <w:tcPr>
            <w:tcW w:w="3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interest and other income, net</w:t>
            </w: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478</w:t>
            </w:r>
          </w:p>
        </w:tc>
        <w:tc>
          <w:tcPr>
            <w:tcW w:w="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1,941</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604</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as of September 30, 2023 and December 31, 2022 (in thousands):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Raw materials </w:t>
            </w:r>
            <w:r>
              <w:rPr>
                <w:rFonts w:ascii="Arial" w:cs="Arial" w:eastAsia="Arial" w:hAnsi="Arial"/>
                <w:sz w:val="14"/>
                <w:szCs w:val="14"/>
                <w:color w:val="auto"/>
              </w:rPr>
              <w:t>(1)</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4,948</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4,676</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1,735</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2,019</w:t>
            </w:r>
          </w:p>
        </w:tc>
      </w:tr>
      <w:tr>
        <w:trPr>
          <w:trHeight w:val="20"/>
        </w:trPr>
        <w:tc>
          <w:tcPr>
            <w:tcW w:w="6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6,683</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6,695</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left="220" w:right="480"/>
        <w:spacing w:after="0" w:line="269"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$1.7 million and $2.4 million of raw materials are included within other non-current assets on the condensed consolidated balance</w:t>
      </w:r>
      <w:r>
        <w:rPr>
          <w:rFonts w:ascii="Arial" w:cs="Arial" w:eastAsia="Arial" w:hAnsi="Arial"/>
          <w:sz w:val="15"/>
          <w:szCs w:val="15"/>
          <w:color w:val="auto"/>
        </w:rPr>
        <w:t xml:space="preserve"> </w:t>
      </w:r>
      <w:r>
        <w:rPr>
          <w:rFonts w:ascii="Arial" w:cs="Arial" w:eastAsia="Arial" w:hAnsi="Arial"/>
          <w:sz w:val="17"/>
          <w:szCs w:val="17"/>
          <w:color w:val="auto"/>
        </w:rPr>
        <w:t>sheets at September 30, 2023 and December 31, 2022, respectively. Changes in non-current assets are reflected on the condensed consolidated statements of cash flows within the caption of other non-current assets.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2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As a basis for considering such assumptions, a three-tier fair value hierarchy has been established, which prioritizes the inputs used in measuring fair value as follows:</w:t>
      </w:r>
    </w:p>
    <w:p>
      <w:pPr>
        <w:spacing w:after="0" w:line="159"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Observable inputs such as quoted prices (unadjusted) in active markets for identical assets or liabilities.</w:t>
      </w:r>
    </w:p>
    <w:p>
      <w:pPr>
        <w:spacing w:after="0" w:line="198" w:lineRule="exact"/>
        <w:rPr>
          <w:sz w:val="20"/>
          <w:szCs w:val="20"/>
          <w:color w:val="auto"/>
        </w:rPr>
      </w:pPr>
    </w:p>
    <w:p>
      <w:pPr>
        <w:jc w:val="both"/>
        <w:ind w:left="1260" w:right="100" w:hanging="1120"/>
        <w:spacing w:after="0" w:line="247"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71"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reporting entity’s own assumptions.</w:t>
      </w:r>
    </w:p>
    <w:p>
      <w:pPr>
        <w:spacing w:after="0" w:line="19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carrying amounts of the Company’s cash, restricted cash, other current assets, accounts payable and accrued liabilities are generally considered to be representative of their fair value because of the short-term nature of these assets and liabilities.</w:t>
      </w:r>
    </w:p>
    <w:p>
      <w:pPr>
        <w:spacing w:after="0" w:line="159"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The carrying value of the prepaid forward obligation (See Note 9 - Prepaid Forward Obligation) approximates its fair value. The Company estimated the fair value of the prepaid forward obligation using Level 3 inputs, including internally developed financial forecasts and management's estimate of probability of success related to product candidates, and determined that the effective interest rate in the obligation approximates market rates for loans with similar terms and risk characteristics.</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estimated the fair value of long-term debt (see Note 10 - Long-Term Debt) using the income approach with Level 3 inputs. The Company estimated future floating rate interest payments using a forward curve of a three-month benchmark rate, and estimated fair value based on publicly available data reported in the financial statements of publicly traded venture lending companies. Based on a reasonable range of yields for debt instruments of similar tenor in a similar industry, the Company determined that the carrying value of the long-term debt on the Company's balance sheet approximates its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 transfers between levels have occurred during the periods presented.</w:t>
      </w:r>
    </w:p>
    <w:p>
      <w:pPr>
        <w:spacing w:after="0" w:line="19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September 30, 2023 are as follows (in thousands):</w:t>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5"/>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2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2,976</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18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17,567</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Marketable securities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17,022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17,022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bonds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7,026</w:t>
            </w: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Certificates of deposit</w:t>
            </w:r>
          </w:p>
        </w:tc>
        <w:tc>
          <w:tcPr>
            <w:tcW w:w="1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8"/>
                <w:szCs w:val="18"/>
                <w:color w:val="auto"/>
              </w:rPr>
              <w:t>Total marketable securities</w:t>
            </w:r>
          </w:p>
        </w:tc>
        <w:tc>
          <w:tcPr>
            <w:tcW w:w="18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34,621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17,599</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 at fair value</w:t>
            </w:r>
          </w:p>
        </w:tc>
        <w:tc>
          <w:tcPr>
            <w:tcW w:w="1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55,164</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34,589</w:t>
            </w:r>
          </w:p>
        </w:tc>
        <w:tc>
          <w:tcPr>
            <w:tcW w:w="3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20,575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December 31, 2022 are as follows (in thousands):</w:t>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5"/>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28,693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28,693</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9,392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9,392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4,084</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980" w:type="dxa"/>
            <w:vAlign w:val="bottom"/>
            <w:gridSpan w:val="2"/>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44,556</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28,693</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15,863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Company’s investments in U.S. government bonds and money market funds are measured based on publicly available quoted market prices for identical securities as of September 30, 2023 and December 31, 2022. The Company's investments in corporate bonds, commercial paper and certificates of deposits are measured based on quotes from market makers for similar items in active markets.</w:t>
      </w:r>
    </w:p>
    <w:p>
      <w:pPr>
        <w:sectPr>
          <w:pgSz w:w="11900" w:h="16838" w:orient="portrait"/>
          <w:cols w:equalWidth="0" w:num="1">
            <w:col w:w="11200"/>
          </w:cols>
          <w:pgMar w:left="320" w:top="126" w:right="379" w:bottom="1101" w:gutter="0" w:footer="0" w:header="0"/>
        </w:sectPr>
      </w:pP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101"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September 30, 2023 (in thousands):</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2,976</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14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Marketable securities: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17,089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17,022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bonds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7,025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34,754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(134)</w:t>
            </w: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34,621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 at fair value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55,299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41"/>
              <w:spacing w:after="0" w:line="182" w:lineRule="exact"/>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55,165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classifies its investments as available-for-sale, and they consist entirely of debt securities. As of September 30, 2023, the amortized cost of investments included an immaterial amount of accrued interest. As of September 30, 2023, marketable securities were in a net unrealized loss position. Unrealized gains and losses on available-for-sale debt securities are included as a component of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aggregate fair value of investments held by the Company in an unrealized loss position was $32.7</w:t>
      </w:r>
    </w:p>
    <w:p>
      <w:pPr>
        <w:spacing w:after="0" w:line="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million which consisted of 40 securities. The unrealized loss was primarily driven by rising interest rates. The Company does not expect to settle the debentures at a price less than the amortized cost basis of the investment; the Company expects to recover the entire amortized cost basis of the security. In accordance with the Company’s general investment strategy, the Company does not intend to sell the investments before maturity. As of September 30, 2023, the Company believes the cost basis for its marketable securities were recoverable in all material aspects and no allowance for credit losses were recognized in the period.</w:t>
      </w:r>
    </w:p>
    <w:p>
      <w:pPr>
        <w:spacing w:after="0" w:line="17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Company’s investments as of September 30, 2023 mature at various dates through January 2026. The fair values of investments by contractual maturity consist of the following (in thousands):</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Maturities within one year</w:t>
            </w:r>
          </w:p>
        </w:tc>
        <w:tc>
          <w:tcPr>
            <w:tcW w:w="210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49,635</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44,556</w:t>
            </w:r>
          </w:p>
        </w:tc>
        <w:tc>
          <w:tcPr>
            <w:tcW w:w="100" w:type="dxa"/>
            <w:vAlign w:val="bottom"/>
            <w:shd w:val="clear" w:color="auto" w:fill="CCEEFF"/>
          </w:tcPr>
          <w:p>
            <w:pPr>
              <w:spacing w:after="0"/>
              <w:rPr>
                <w:sz w:val="17"/>
                <w:szCs w:val="17"/>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Maturities after one year through three years</w:t>
            </w:r>
          </w:p>
        </w:tc>
        <w:tc>
          <w:tcPr>
            <w:tcW w:w="1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5,529</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investments</w:t>
            </w:r>
          </w:p>
        </w:tc>
        <w:tc>
          <w:tcPr>
            <w:tcW w:w="210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55,164</w:t>
            </w:r>
          </w:p>
        </w:tc>
        <w:tc>
          <w:tcPr>
            <w:tcW w:w="46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44,556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September 30, 2023 and December 31, 2022 (in thousands):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459</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2,168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Manufacturing equipment</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4,585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4,447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(3,762)</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(3,150)</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200" w:type="dxa"/>
            <w:vAlign w:val="bottom"/>
            <w:gridSpan w:val="2"/>
          </w:tcPr>
          <w:p>
            <w:pPr>
              <w:spacing w:after="0" w:line="18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823</w:t>
            </w:r>
          </w:p>
        </w:tc>
        <w:tc>
          <w:tcPr>
            <w:tcW w:w="18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1,297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Depreciation and amortization expense was $0.2 million and $0.6 million for the three and nine months ended September 30, 2023 and $0.2 million and $0.7 million for the three and nine months ended September 30, 2022.</w:t>
      </w:r>
    </w:p>
    <w:p>
      <w:pPr>
        <w:sectPr>
          <w:pgSz w:w="11900" w:h="16838" w:orient="portrait"/>
          <w:cols w:equalWidth="0" w:num="1">
            <w:col w:w="11240"/>
          </w:cols>
          <w:pgMar w:left="320" w:top="126" w:right="339"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Prepaid Forward Obligation</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March 2021, the Company entered into a prepaid forward agreement with RTW Investments (“RTW”). Under the terms of the RTW Transaction, the Company received $75.0 million ($72.4 million net of transaction costs)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the transferred funds, RTW is entitled to receive tiered, future cash payments based on aggregate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an amount equal to: (i) 9.5% of annual net sales up to $200 million, (ii) 3.0% of annual net sales for annual net sales between $200 million and $300 million, and (iii) 1.0% of annual net sales for annual net sales above $300 million. If certain revenue thresholds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are not met, the future cash payments to RTW with respect to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annual net sales up to $200 million will increase by 3.5%, and may decrease back to 9.5% dependent on the Company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subsequent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thresholds. The rate in effect for the nine months ended September 30, 2023 for annual net sales up to $200 million was 13.0%.</w:t>
      </w:r>
    </w:p>
    <w:p>
      <w:pPr>
        <w:spacing w:after="0" w:line="17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 xml:space="preserve">In addition, subject to FDA approval of UGN-102, RTW is entitled to receive tiered, future cash payments based on aggregate worldwide annual net product sales of UGN-102 in an amount equal to: (i) 2.5% of annual net sales up to $200 million, (ii) 1.0% of annual net sales for annual net sales between $200 million and $ 300 million, and (iii) 0.5% of annual net sales for annual net sales above $300 million. If the Company does not receive FDA approval for UGN-102 by a specified date, the future cash payments to RTW with respect to aggregate worldwide annual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across all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annual net sales tiers will increase by 1.5%.</w:t>
      </w:r>
    </w:p>
    <w:p>
      <w:pPr>
        <w:spacing w:after="0" w:line="17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In accordance with the prepaid forward agreement, the Company will be required to make payments of amounts owed to RTW each calendar quarter, through and until the quarter in which the aggregate cash payments received by RTW are equal to or greater than $300 million. As security for the payment and fulfilment of these amounts throughout the arrangement, the Company has granted RTW a first priority security interest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including the regulatory approvals, intellectual property, material agreements, proceeds and accounts receivable related to these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2021</w:t>
      </w:r>
      <w:r>
        <w:rPr>
          <w:rFonts w:ascii="Arial" w:cs="Arial" w:eastAsia="Arial" w:hAnsi="Arial"/>
          <w:sz w:val="18"/>
          <w:szCs w:val="18"/>
          <w:i w:val="1"/>
          <w:iCs w:val="1"/>
          <w:color w:val="auto"/>
        </w:rPr>
        <w:t>,</w:t>
      </w:r>
      <w:r>
        <w:rPr>
          <w:rFonts w:ascii="Arial" w:cs="Arial" w:eastAsia="Arial" w:hAnsi="Arial"/>
          <w:sz w:val="18"/>
          <w:szCs w:val="18"/>
          <w:color w:val="auto"/>
        </w:rPr>
        <w:t xml:space="preserve"> following the receipt of necessary regulatory approvals, the Company received the $75.0 million prepaid forward payment</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($72.4 million net of transaction costs) from RTW and recognized an associated prepaid forward obligation liability. Each period the Company makes a payment to RTW, an expense is recognized related to financing on the prepaid forward obligation based on an imputed rate derived from the expected future payments. Management reassesses the effective rate each period based on the current carrying value of the obligation and the revised estimated future payments. Changes in future payments from previous estimates are included in future financing expense. The Company does not expect to make any principal payments in the next 12 months.</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following table shows the activity with respect to the carrying value of the prepaid forward liability for the year ended December 31, 2022 and for the nine months ended September 30, 2023, in thousands:</w:t>
      </w:r>
    </w:p>
    <w:p>
      <w:pPr>
        <w:sectPr>
          <w:pgSz w:w="11900" w:h="16838" w:orient="portrait"/>
          <w:cols w:equalWidth="0" w:num="1">
            <w:col w:w="11240"/>
          </w:cols>
          <w:pgMar w:left="320" w:top="126" w:right="339" w:bottom="1440" w:gutter="0" w:footer="0" w:header="0"/>
        </w:sectPr>
      </w:pPr>
    </w:p>
    <w:p>
      <w:pPr>
        <w:spacing w:after="0" w:line="159" w:lineRule="exact"/>
        <w:rPr>
          <w:sz w:val="20"/>
          <w:szCs w:val="20"/>
          <w:color w:val="auto"/>
        </w:rPr>
      </w:pPr>
    </w:p>
    <w:p>
      <w:pPr>
        <w:ind w:left="560" w:right="2626"/>
        <w:spacing w:after="0" w:line="249" w:lineRule="auto"/>
        <w:rPr>
          <w:sz w:val="20"/>
          <w:szCs w:val="20"/>
          <w:color w:val="auto"/>
        </w:rPr>
      </w:pPr>
      <w:r>
        <w:rPr>
          <w:rFonts w:ascii="Arial" w:cs="Arial" w:eastAsia="Arial" w:hAnsi="Arial"/>
          <w:sz w:val="18"/>
          <w:szCs w:val="18"/>
          <w:color w:val="auto"/>
        </w:rPr>
        <w:t>Carrying value of prepaid forward obligation as of December 31, 2021 Financing on prepaid forward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-264160</wp:posOffset>
            </wp:positionV>
            <wp:extent cx="64122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-6985</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line="235" w:lineRule="auto"/>
        <w:rPr>
          <w:sz w:val="20"/>
          <w:szCs w:val="20"/>
          <w:color w:val="auto"/>
        </w:rPr>
      </w:pPr>
      <w:r>
        <w:rPr>
          <w:rFonts w:ascii="Arial" w:cs="Arial" w:eastAsia="Arial" w:hAnsi="Arial"/>
          <w:sz w:val="18"/>
          <w:szCs w:val="18"/>
          <w:color w:val="auto"/>
        </w:rPr>
        <w:t xml:space="preserve">Amounts paid and payable </w:t>
      </w:r>
      <w:r>
        <w:rPr>
          <w:rFonts w:ascii="Arial" w:cs="Arial" w:eastAsia="Arial" w:hAnsi="Arial"/>
          <w:sz w:val="14"/>
          <w:szCs w:val="14"/>
          <w:color w:val="auto"/>
        </w:rPr>
        <w:t>(1)</w:t>
      </w:r>
    </w:p>
    <w:p>
      <w:pPr>
        <w:spacing w:after="0" w:line="1" w:lineRule="exact"/>
        <w:rPr>
          <w:sz w:val="20"/>
          <w:szCs w:val="20"/>
          <w:color w:val="auto"/>
        </w:rPr>
      </w:pPr>
    </w:p>
    <w:p>
      <w:pPr>
        <w:ind w:left="560" w:right="2626"/>
        <w:spacing w:after="0" w:line="242" w:lineRule="auto"/>
        <w:rPr>
          <w:sz w:val="20"/>
          <w:szCs w:val="20"/>
          <w:color w:val="auto"/>
        </w:rPr>
      </w:pPr>
      <w:r>
        <w:rPr>
          <w:rFonts w:ascii="Arial" w:cs="Arial" w:eastAsia="Arial" w:hAnsi="Arial"/>
          <w:sz w:val="18"/>
          <w:szCs w:val="18"/>
          <w:color w:val="auto"/>
        </w:rPr>
        <w:t>Carrying value of prepaid forward obligation as of December 31, 2022 Financing on prepaid forward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-135255</wp:posOffset>
            </wp:positionV>
            <wp:extent cx="64122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 xml:space="preserve">Amounts paid and payable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Carrying value of prepaid forward obligation as of September 30, 2023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554" w:hanging="554"/>
        <w:spacing w:after="0"/>
        <w:tabs>
          <w:tab w:leader="none" w:pos="554" w:val="left"/>
        </w:tabs>
        <w:numPr>
          <w:ilvl w:val="0"/>
          <w:numId w:val="3"/>
        </w:numPr>
        <w:rPr>
          <w:rFonts w:ascii="Arial" w:cs="Arial" w:eastAsia="Arial" w:hAnsi="Arial"/>
          <w:sz w:val="18"/>
          <w:szCs w:val="18"/>
          <w:color w:val="auto"/>
        </w:rPr>
      </w:pPr>
      <w:r>
        <w:rPr>
          <w:rFonts w:ascii="Arial" w:cs="Arial" w:eastAsia="Arial" w:hAnsi="Arial"/>
          <w:sz w:val="18"/>
          <w:szCs w:val="18"/>
          <w:color w:val="auto"/>
        </w:rPr>
        <w:t>85,713</w:t>
      </w:r>
    </w:p>
    <w:p>
      <w:pPr>
        <w:spacing w:after="0" w:line="7" w:lineRule="exact"/>
        <w:rPr>
          <w:rFonts w:ascii="Arial" w:cs="Arial" w:eastAsia="Arial" w:hAnsi="Arial"/>
          <w:sz w:val="18"/>
          <w:szCs w:val="18"/>
          <w:color w:val="auto"/>
        </w:rPr>
      </w:pPr>
    </w:p>
    <w:p>
      <w:pPr>
        <w:ind w:left="554"/>
        <w:spacing w:after="0" w:line="234" w:lineRule="auto"/>
        <w:rPr>
          <w:rFonts w:ascii="Arial" w:cs="Arial" w:eastAsia="Arial" w:hAnsi="Arial"/>
          <w:sz w:val="18"/>
          <w:szCs w:val="18"/>
          <w:color w:val="auto"/>
        </w:rPr>
      </w:pPr>
      <w:r>
        <w:rPr>
          <w:rFonts w:ascii="Arial" w:cs="Arial" w:eastAsia="Arial" w:hAnsi="Arial"/>
          <w:sz w:val="18"/>
          <w:szCs w:val="18"/>
          <w:color w:val="auto"/>
        </w:rPr>
        <w:t>21,559</w:t>
      </w:r>
    </w:p>
    <w:p>
      <w:pPr>
        <w:ind w:left="594"/>
        <w:spacing w:after="0"/>
        <w:rPr>
          <w:rFonts w:ascii="Arial" w:cs="Arial" w:eastAsia="Arial" w:hAnsi="Arial"/>
          <w:sz w:val="18"/>
          <w:szCs w:val="18"/>
          <w:color w:val="auto"/>
        </w:rPr>
      </w:pPr>
      <w:r>
        <w:rPr>
          <w:rFonts w:ascii="Arial" w:cs="Arial" w:eastAsia="Arial" w:hAnsi="Arial"/>
          <w:sz w:val="18"/>
          <w:szCs w:val="18"/>
          <w:color w:val="auto"/>
        </w:rPr>
        <w:t>(8,349)</w:t>
      </w:r>
    </w:p>
    <w:p>
      <w:pPr>
        <w:spacing w:after="0" w:line="9" w:lineRule="exact"/>
        <w:rPr>
          <w:rFonts w:ascii="Arial" w:cs="Arial" w:eastAsia="Arial" w:hAnsi="Arial"/>
          <w:sz w:val="18"/>
          <w:szCs w:val="18"/>
          <w:color w:val="auto"/>
        </w:rPr>
      </w:pPr>
    </w:p>
    <w:p>
      <w:pPr>
        <w:ind w:left="554"/>
        <w:spacing w:after="0" w:line="234" w:lineRule="auto"/>
        <w:rPr>
          <w:rFonts w:ascii="Arial" w:cs="Arial" w:eastAsia="Arial" w:hAnsi="Arial"/>
          <w:sz w:val="18"/>
          <w:szCs w:val="18"/>
          <w:color w:val="auto"/>
        </w:rPr>
      </w:pPr>
      <w:r>
        <w:rPr>
          <w:rFonts w:ascii="Arial" w:cs="Arial" w:eastAsia="Arial" w:hAnsi="Arial"/>
          <w:sz w:val="18"/>
          <w:szCs w:val="18"/>
          <w:color w:val="auto"/>
        </w:rPr>
        <w:t>98,923</w:t>
      </w:r>
    </w:p>
    <w:p>
      <w:pPr>
        <w:ind w:left="554"/>
        <w:spacing w:after="0" w:line="234" w:lineRule="auto"/>
        <w:rPr>
          <w:rFonts w:ascii="Arial" w:cs="Arial" w:eastAsia="Arial" w:hAnsi="Arial"/>
          <w:sz w:val="18"/>
          <w:szCs w:val="18"/>
          <w:color w:val="auto"/>
        </w:rPr>
      </w:pPr>
      <w:r>
        <w:rPr>
          <w:rFonts w:ascii="Arial" w:cs="Arial" w:eastAsia="Arial" w:hAnsi="Arial"/>
          <w:sz w:val="18"/>
          <w:szCs w:val="18"/>
          <w:color w:val="auto"/>
        </w:rPr>
        <w:t>16,047</w:t>
      </w:r>
    </w:p>
    <w:p>
      <w:pPr>
        <w:ind w:left="594"/>
        <w:spacing w:after="0"/>
        <w:rPr>
          <w:rFonts w:ascii="Arial" w:cs="Arial" w:eastAsia="Arial" w:hAnsi="Arial"/>
          <w:sz w:val="18"/>
          <w:szCs w:val="18"/>
          <w:color w:val="auto"/>
        </w:rPr>
      </w:pPr>
      <w:r>
        <w:rPr>
          <w:rFonts w:ascii="Arial" w:cs="Arial" w:eastAsia="Arial" w:hAnsi="Arial"/>
          <w:sz w:val="18"/>
          <w:szCs w:val="18"/>
          <w:color w:val="auto"/>
        </w:rPr>
        <w:t>(7,694)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02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454" w:hanging="454"/>
        <w:spacing w:after="0"/>
        <w:tabs>
          <w:tab w:leader="none" w:pos="454"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107,276</w:t>
      </w:r>
    </w:p>
    <w:p>
      <w:pPr>
        <w:spacing w:after="0" w:line="226" w:lineRule="exact"/>
        <w:rPr>
          <w:sz w:val="20"/>
          <w:szCs w:val="20"/>
          <w:color w:val="auto"/>
        </w:rPr>
      </w:pPr>
    </w:p>
    <w:p>
      <w:pPr>
        <w:sectPr>
          <w:pgSz w:w="11900" w:h="16838" w:orient="portrait"/>
          <w:cols w:equalWidth="0" w:num="2">
            <w:col w:w="8746" w:space="720"/>
            <w:col w:w="1774"/>
          </w:cols>
          <w:pgMar w:left="320" w:top="126" w:right="339" w:bottom="1440" w:gutter="0" w:footer="0" w:header="0"/>
          <w:type w:val="continuous"/>
        </w:sectPr>
      </w:pPr>
    </w:p>
    <w:p>
      <w:pPr>
        <w:ind w:right="20"/>
        <w:spacing w:after="0" w:line="289"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$2.7 million and $2.3 million of the Amounts paid and payable are included as current portion of the prepaid forward obligation within other</w:t>
      </w:r>
      <w:r>
        <w:rPr>
          <w:rFonts w:ascii="Arial" w:cs="Arial" w:eastAsia="Arial" w:hAnsi="Arial"/>
          <w:sz w:val="15"/>
          <w:szCs w:val="15"/>
          <w:color w:val="auto"/>
        </w:rPr>
        <w:t xml:space="preserve"> </w:t>
      </w:r>
      <w:r>
        <w:rPr>
          <w:rFonts w:ascii="Arial" w:cs="Arial" w:eastAsia="Arial" w:hAnsi="Arial"/>
          <w:sz w:val="17"/>
          <w:szCs w:val="17"/>
          <w:color w:val="auto"/>
        </w:rPr>
        <w:t>current liabilities on the condensed consolidated balance sheets as of September 30, 2023 and December 31, 2022, respectively.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On March 7, 2022, the Company entered into a loan agreement with Pharmakon for a senior secured term loan of up to $100 million</w:t>
      </w:r>
    </w:p>
    <w:p>
      <w:pPr>
        <w:spacing w:after="0" w:line="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two tranches. The first tranche of $75 million was funded in March 2022. The second tranche of $25 million was funded in December 2022. The facility will mature five years from initial funding and can be prepaid in whole at the Company's discretion, at any time, subject to prepayment premiums and make-whole amounts. The loan will require interest-only payments for the first 48 months followed by principal and interest payments with interest accruing using 3-month London Inter-Bank Offered Rate (“LIBOR”) (with a 1.25% floor) plus 8.25%. On June 29, 2023, the loan agreement with Pharmakon was amended to replace the benchmark governing the interest rate with a rate based on the secured overnight financing rate ("SOFR") published by the Federal Reserve Bank of New York. Effective July 2023, the loan will accrue interest using a benchmark rate of 3-month SOFR plus a 0.26161% adjustment. The Company is not required to maintain any financial covenants.</w:t>
      </w:r>
    </w:p>
    <w:p>
      <w:pPr>
        <w:spacing w:after="0" w:line="18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Company incurred financing expenses of $4.2 million which are recognized as a direct offset to the long-term debt on the Company's condensed consolidated balance sheets. These debt issuance costs are amortized over the term of the debt using the effective interest method, and are recorded in the condensed consolidated statements of operations as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with respect to the carrying value of the long-term debt, in thousands:</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at closing of Pharmakon loan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Capitalized costs and discounts</w:t>
            </w:r>
          </w:p>
        </w:tc>
        <w:tc>
          <w:tcPr>
            <w:tcW w:w="5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(4,217)</w:t>
            </w: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8,438</w:t>
            </w:r>
          </w:p>
        </w:tc>
        <w:tc>
          <w:tcPr>
            <w:tcW w:w="8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Amounts paid</w:t>
            </w:r>
          </w:p>
        </w:tc>
        <w:tc>
          <w:tcPr>
            <w:tcW w:w="5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(6,685)</w:t>
            </w:r>
          </w:p>
        </w:tc>
      </w:tr>
      <w:tr>
        <w:trPr>
          <w:trHeight w:val="196"/>
        </w:trPr>
        <w:tc>
          <w:tcPr>
            <w:tcW w:w="7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Carrying value of Pharmakon loan as of December 31, 2022</w:t>
            </w: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97,537</w:t>
            </w:r>
          </w:p>
        </w:tc>
        <w:tc>
          <w:tcPr>
            <w:tcW w:w="8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11,129</w:t>
            </w:r>
          </w:p>
        </w:tc>
        <w:tc>
          <w:tcPr>
            <w:tcW w:w="80" w:type="dxa"/>
            <w:vAlign w:val="bottom"/>
          </w:tcPr>
          <w:p>
            <w:pPr>
              <w:spacing w:after="0"/>
              <w:rPr>
                <w:sz w:val="17"/>
                <w:szCs w:val="17"/>
                <w:color w:val="auto"/>
              </w:rPr>
            </w:pP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paid</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(10,147)</w:t>
            </w:r>
          </w:p>
        </w:tc>
      </w:tr>
      <w:tr>
        <w:trPr>
          <w:trHeight w:val="196"/>
        </w:trPr>
        <w:tc>
          <w:tcPr>
            <w:tcW w:w="736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Carrying value of Pharmakon loan as of September 30, 2023</w:t>
            </w:r>
          </w:p>
        </w:tc>
        <w:tc>
          <w:tcPr>
            <w:tcW w:w="50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98,518</w:t>
            </w:r>
          </w:p>
        </w:tc>
        <w:tc>
          <w:tcPr>
            <w:tcW w:w="80" w:type="dxa"/>
            <w:vAlign w:val="bottom"/>
            <w:tcBorders>
              <w:top w:val="single" w:sz="8" w:color="CCEEFF"/>
            </w:tcBorders>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office and laboratory facility leases as of September 30, 2023:</w:t>
      </w:r>
    </w:p>
    <w:p>
      <w:pPr>
        <w:spacing w:after="0" w:line="198" w:lineRule="exact"/>
        <w:rPr>
          <w:sz w:val="20"/>
          <w:szCs w:val="20"/>
          <w:color w:val="auto"/>
        </w:rPr>
      </w:pPr>
    </w:p>
    <w:p>
      <w:pPr>
        <w:ind w:left="660" w:right="120" w:hanging="328"/>
        <w:spacing w:after="0" w:line="24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UPL signed an addendum to its November 2014 lease agreement for the Company’s offices located in Israel, in order to increase the office space rented and to extend the rent period for an additional three years until August 2022. In July 2022, the Company signed a lease extension agreement for the Company’s offices located in Israel, extending the term of the lease through September 2025. The Company's remaining contractual obligation under this lease is approximately $0.5 million as of September 30, 2023.</w:t>
      </w:r>
    </w:p>
    <w:p>
      <w:pPr>
        <w:spacing w:after="0" w:line="175" w:lineRule="exact"/>
        <w:rPr>
          <w:rFonts w:ascii="Arial" w:cs="Arial" w:eastAsia="Arial" w:hAnsi="Arial"/>
          <w:sz w:val="18"/>
          <w:szCs w:val="18"/>
          <w:color w:val="auto"/>
        </w:rPr>
      </w:pPr>
    </w:p>
    <w:p>
      <w:pPr>
        <w:ind w:left="660" w:right="100" w:hanging="328"/>
        <w:spacing w:after="0" w:line="23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2018, UPI entered into a new lease agreement for an office in Los Angeles, California. The lease commencement date was July 10, 2018 and terminates in March 2024. The landlord provided a tenant allowance for leasehold improvements of $0.2 million that was accounted for as a lease incentive. The Company’s remaining contractual obligation under this lease is approximately $0.1 million as of September 30, 2023. In November 2019, UPI entered into a sublease for this office space, with a lease commencement date of January 1, 2020 and continuing until the end of the lease term in March 2024. The subtenants exercised their early access clause and moved into the premises at the end of November 2019. The remaining rental payments to be received over the lease term is approximately $0.1 million as of September 30, 2023. The Company accounts for the sublease as an operating lease in accordance with ASC 842.</w:t>
      </w:r>
    </w:p>
    <w:p>
      <w:pPr>
        <w:spacing w:after="0" w:line="180" w:lineRule="exact"/>
        <w:rPr>
          <w:rFonts w:ascii="Arial" w:cs="Arial" w:eastAsia="Arial" w:hAnsi="Arial"/>
          <w:sz w:val="18"/>
          <w:szCs w:val="18"/>
          <w:color w:val="auto"/>
        </w:rPr>
      </w:pPr>
    </w:p>
    <w:p>
      <w:pPr>
        <w:ind w:left="660" w:hanging="328"/>
        <w:spacing w:after="0" w:line="24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November 2019, UPI entered into a new lease agreement for an office in Princeton, New Jersey, which the Company now uses as its headquarters. The lease commencement date was November 29, 2019 with an original lease term of 38 months, expiring January 31, 2023. In June 2022, the Company signed a lease extension for the Princeton office, extending the term of the lease through January 31, 2026. The Company’s remaining contractual obligation under this lease is approximately $1.3 million as of September 30, 2023.</w:t>
      </w:r>
    </w:p>
    <w:p>
      <w:pPr>
        <w:spacing w:after="0" w:line="17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addition, the Company has other operating office equipment and vehicle leases. The Company’s operating leases may require minimum rent payments, contingent rent payments adjusted periodically for inflation, or rent payments equal to the greater of a minimum rent or contingent rent. The Company’s leases do not contain any residual value guarantees or material restrictive covenants. The Company’s leases expire at various dates from 2023 through 2026, with varying renewal and termination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nine months ended September 30, 2023 and 2022 were as follows (in thousands):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86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w:t>
            </w: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60" w:type="dxa"/>
            <w:vAlign w:val="bottom"/>
            <w:gridSpan w:val="2"/>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940" w:type="dxa"/>
            <w:vAlign w:val="bottom"/>
            <w:gridSpan w:val="2"/>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593</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20"/>
          </w:cols>
          <w:pgMar w:left="320" w:top="126" w:right="359" w:bottom="899" w:gutter="0" w:footer="0" w:header="0"/>
        </w:sect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899"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as of September 30, 2023 and December 31, 2022 were as follows (in thousands):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Right-of-use assets</w:t>
            </w:r>
          </w:p>
        </w:tc>
        <w:tc>
          <w:tcPr>
            <w:tcW w:w="28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1,905</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2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no impairment losses have been recognized.</w:t>
      </w:r>
    </w:p>
    <w:p>
      <w:pPr>
        <w:spacing w:after="0" w:line="19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Supplemental information related to leases for the nine months ended September 30, 2023 and 2022 is as follows (in thousands, except for lease terms and discount rate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30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of operating leases (in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 of operating leases</w:t>
            </w:r>
          </w:p>
        </w:tc>
        <w:tc>
          <w:tcPr>
            <w:tcW w:w="156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10.16%</w:t>
            </w:r>
          </w:p>
        </w:tc>
        <w:tc>
          <w:tcPr>
            <w:tcW w:w="14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10.21%</w:t>
            </w: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As of September 30, 2023, maturities of lease liabilities were as follows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Operating</w:t>
            </w:r>
          </w:p>
        </w:tc>
      </w:tr>
      <w:tr>
        <w:trPr>
          <w:trHeight w:val="225"/>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Leases</w:t>
            </w: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Remainder of 2023</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813</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2027 and thereafter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5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Less: Interest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(200)</w:t>
            </w:r>
          </w:p>
        </w:tc>
      </w:tr>
      <w:tr>
        <w:trPr>
          <w:trHeight w:val="236"/>
        </w:trPr>
        <w:tc>
          <w:tcPr>
            <w:tcW w:w="580" w:type="dxa"/>
            <w:vAlign w:val="bottom"/>
          </w:tcPr>
          <w:p>
            <w:pPr>
              <w:spacing w:after="0"/>
              <w:rPr>
                <w:sz w:val="20"/>
                <w:szCs w:val="20"/>
                <w:color w:val="auto"/>
              </w:rPr>
            </w:pPr>
          </w:p>
        </w:tc>
        <w:tc>
          <w:tcPr>
            <w:tcW w:w="7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Subleases</w:t>
      </w:r>
    </w:p>
    <w:p>
      <w:pPr>
        <w:spacing w:after="0" w:line="20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As of September 30, 2023, undiscounted cash flows to be received under the Company’s operating sublease on an annual basis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520" w:type="dxa"/>
            <w:vAlign w:val="bottom"/>
            <w:gridSpan w:val="4"/>
          </w:tcPr>
          <w:p>
            <w:pPr>
              <w:ind w:left="4900"/>
              <w:spacing w:after="0"/>
              <w:rPr>
                <w:sz w:val="20"/>
                <w:szCs w:val="20"/>
                <w:color w:val="auto"/>
              </w:rPr>
            </w:pPr>
            <w:r>
              <w:rPr>
                <w:rFonts w:ascii="Arial" w:cs="Arial" w:eastAsia="Arial" w:hAnsi="Arial"/>
                <w:sz w:val="18"/>
                <w:szCs w:val="18"/>
                <w:b w:val="1"/>
                <w:bCs w:val="1"/>
                <w:color w:val="auto"/>
              </w:rPr>
              <w:t>Operating Leases</w:t>
            </w: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49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Remainder of 2023</w:t>
            </w:r>
          </w:p>
        </w:tc>
        <w:tc>
          <w:tcPr>
            <w:tcW w:w="5560" w:type="dxa"/>
            <w:vAlign w:val="bottom"/>
            <w:gridSpan w:val="2"/>
          </w:tcPr>
          <w:p>
            <w:pPr>
              <w:ind w:left="49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1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2025 and thereafter</w:t>
            </w:r>
          </w:p>
        </w:tc>
        <w:tc>
          <w:tcPr>
            <w:tcW w:w="49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490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419"/>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900" w:type="dxa"/>
            <w:vAlign w:val="bottom"/>
          </w:tcPr>
          <w:p>
            <w:pPr>
              <w:jc w:val="right"/>
              <w:ind w:right="325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From Product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 for the three and nine months ended September 30, 2023 and 2022 (in thousands):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tcPr>
          <w:p>
            <w:pPr>
              <w:ind w:left="4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Jelmyto</w:t>
            </w:r>
          </w:p>
        </w:tc>
        <w:tc>
          <w:tcPr>
            <w:tcW w:w="22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w w:val="94"/>
              </w:rPr>
              <w:t>20,852</w:t>
            </w:r>
          </w:p>
        </w:tc>
        <w:tc>
          <w:tcPr>
            <w:tcW w:w="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16,097</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59,183</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46,265</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Net revenue recognized includes gross revenue and management’s estimate of returns, consideration paid to the customer, chargebacks relating to differences between the wholesale acquisition cost and the contracted price offered to the end consumer, chargebacks relating to 340b drug pricing programs and other government sponsored programs, Medicaid drug rebate programs, the Company’s copay assistance program, and Medicare refund for discarded drug, which are estimated based on the Company’s historical experience. Reserves related to items that are contractually able to be net settled are recognized as contra accounts receivable while other remaining reserves are recognized within other current liabilities on the condensed consolidated balance sheets. The following table shows the activity with respect to sales reserves for period ended of September 30, 2023 (in thousands):</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Reserves related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to government</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sponsored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Total accrued</w:t>
            </w:r>
          </w:p>
        </w:tc>
      </w:tr>
      <w:tr>
        <w:trPr>
          <w:trHeight w:val="225"/>
        </w:trPr>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programs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reserves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sales reserves</w:t>
            </w:r>
          </w:p>
        </w:tc>
        <w:tc>
          <w:tcPr>
            <w:tcW w:w="80" w:type="dxa"/>
            <w:vAlign w:val="bottom"/>
          </w:tcPr>
          <w:p>
            <w:pPr>
              <w:spacing w:after="0"/>
              <w:rPr>
                <w:sz w:val="19"/>
                <w:szCs w:val="19"/>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847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1,437</w:t>
            </w:r>
          </w:p>
        </w:tc>
      </w:tr>
      <w:tr>
        <w:trPr>
          <w:trHeight w:val="203"/>
        </w:trPr>
        <w:tc>
          <w:tcPr>
            <w:tcW w:w="3960" w:type="dxa"/>
            <w:vAlign w:val="bottom"/>
          </w:tcPr>
          <w:p>
            <w:pPr>
              <w:ind w:left="18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8,224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8,276</w:t>
            </w:r>
          </w:p>
        </w:tc>
        <w:tc>
          <w:tcPr>
            <w:tcW w:w="14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16,500</w:t>
            </w:r>
          </w:p>
        </w:tc>
      </w:tr>
      <w:tr>
        <w:trPr>
          <w:trHeight w:val="203"/>
        </w:trPr>
        <w:tc>
          <w:tcPr>
            <w:tcW w:w="3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Utilizations</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(7,418)</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(5,979)</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(13,397)</w:t>
            </w:r>
          </w:p>
        </w:tc>
      </w:tr>
      <w:tr>
        <w:trPr>
          <w:trHeight w:val="20"/>
        </w:trPr>
        <w:tc>
          <w:tcPr>
            <w:tcW w:w="3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9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as of September 30, 2023</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1,396</w:t>
            </w:r>
          </w:p>
        </w:tc>
        <w:tc>
          <w:tcPr>
            <w:tcW w:w="16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3,144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4,540</w:t>
            </w: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License and Collaboration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In November 2019, the Company entered into a license agreement with Agenus Inc., pursuant to which Agenus granted to the Company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UGN-301 is a formulation of zalifrelimab administered using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that is in Phase 1 clinical development for high-grade non-muscle invasive bladder cancer ("high-grade NMIBC").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January 2021, the Company announced that it entered into a three-year strategic research collaboration agreement with MD Anderson focusing on the sequential use of UGN-201 and UGN-301 as an investigational treatment for high-grade NMIBC. Pursuant to the agreement, the Company has made bi-annual payments totaling $2.0 million to MD Anderson to fund the collaboration, recognized evenly over the associated period through research and development expenses. In July 2022, the Company determined that it had achieved the objectives that it established when the agreement was initiated, and notified MD Anderson that it was exercising its right to conclude the collaboration in 2022 as the Company did not foresee initiating further development activities as part of the collaboration, although the Company will continue to collaborate on existing joint projects. As a result of this notification, the Company is not responsible for any further fixed bi-annual funding payments in 2023, although the Company will be responsible for costs related to existing joint projects to the extent they exceed the payments already made to MD Anderson.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0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had 100.0 million ordinary shares authorized for issuance as of September 30, 2023 and December 31, 2022. The Company had 30.9 million and 23.1 million ordinary shares issued and outstanding as of September 30, 2023 and December 31, 2022, respectively. Each ordinary share is entitled to one vote. The holders of ordinary shares are also entitled to receive dividends whenever funds are legally available, when and if declared by the Board of Directors (the “Board”). Since its inception, the Board has not declared any dividends.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26, 2023, the Company entered into a Securities Purchase Agreement (the “Purchase Agreement”) with certain institutional and other accredited investors (the “Purchasers”), pursuant to which the Company agreed to sell and issue to the Purchasers 7,300,380 ordinary shares of the Company (“Shares”) and 5,278,776 of pre-funded warrants to purchase ordinary shares of the Company at a purchase price of $9.54 per Share or $9.539 for each ordinary share underlying a pre-funded warrant, in a private placement transaction that closed on July 28, 2023 and August 9, 2023 (the “Private Placement”) for aggregate gross proceeds of $120.0 million, before deducting fees to placement agents and financial advisors and before other expenses paid by the Company. Each pre-funded warrant has an exercise price of $0.001 per ordinary share, subject to customary adjustments, became exercisable upon original issuance and will not expire until exercised in full.</w:t>
      </w:r>
    </w:p>
    <w:p>
      <w:pPr>
        <w:spacing w:after="0" w:line="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pre-funded warrants may not be exercised if the aggregate number of ordinary shares beneficially owned by the holder thereof immediately following such exercise would exceed a specified beneficial ownership limitation. The aggregate fee paid by the Company to placement agents and financial advisors was $3.6 million, plus the reimbursement of certain expenses.</w:t>
      </w:r>
    </w:p>
    <w:p>
      <w:pPr>
        <w:spacing w:after="0" w:line="177" w:lineRule="exact"/>
        <w:rPr>
          <w:sz w:val="20"/>
          <w:szCs w:val="20"/>
          <w:color w:val="auto"/>
        </w:rPr>
      </w:pPr>
    </w:p>
    <w:p>
      <w:pPr>
        <w:ind w:right="720"/>
        <w:spacing w:after="0" w:line="247" w:lineRule="auto"/>
        <w:rPr>
          <w:sz w:val="20"/>
          <w:szCs w:val="20"/>
          <w:color w:val="auto"/>
        </w:rPr>
      </w:pPr>
      <w:r>
        <w:rPr>
          <w:rFonts w:ascii="Arial" w:cs="Arial" w:eastAsia="Arial" w:hAnsi="Arial"/>
          <w:sz w:val="18"/>
          <w:szCs w:val="18"/>
          <w:color w:val="auto"/>
        </w:rPr>
        <w:t>The Shares and the ordinary shares issuable upon exercise of the pre-funded warrants were registered pursuant to the Company’s registration statement on Form S-3 (File No. 333-274423) filed with the SEC on September 8, 2023, which was declared effective on September 15, 2023.</w:t>
      </w:r>
    </w:p>
    <w:p>
      <w:pPr>
        <w:spacing w:after="0" w:line="17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Monograph Capital Partners I, L.P. (“Monograph”), a life sciences venture firm that is affiliated with Fred Cohen, M.D., a director of the Company, purchased 1,572,327 of the Shares in the Private Placement, for an aggregate purchase price of $15.0 million. Dr. Cohen is the Chair and Chief Investment Officer of Monograph.</w:t>
      </w:r>
    </w:p>
    <w:p>
      <w:pPr>
        <w:sectPr>
          <w:pgSz w:w="11900" w:h="16838" w:orient="portrait"/>
          <w:cols w:equalWidth="0" w:num="1">
            <w:col w:w="11240"/>
          </w:cols>
          <w:pgMar w:left="320" w:top="126" w:right="33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Share-Based Compensation</w:t>
      </w:r>
    </w:p>
    <w:p>
      <w:pPr>
        <w:spacing w:after="0" w:line="2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October 2010, the Board approved a share option plan (the "2010 Plan") for grants to Company employees, consultants, directors, and other service providers. Subsequently, in March 2017, the Board adopted the 2017 Equity Incentive Plan (the "2017 Plan" and, together with the 2010 Plan, the "Plans"), which was approved by the shareholders in April 2017. The 2017 Plan provides for the grant of stock options, stock appreciation rights, restricted stock awards, RSU awards, performance share awards, performance cash awards, and other forms of share awards to the Company's employees, directors and consultants.</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grant of options to Israeli employees under the Plans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Plans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Plans, including amounts recorded as salary benefits in the Company’s accounts, with the exception of the work-income benefit component, if any, determined on grant date. For non-employees and for non-Israeli employees, the Plans is subject to Section 3(i) of the Israeli Income Tax Ordinance.</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Employees are typically granted stock options and/or restricted stock units ("RSUs"), upon commencement of employment. Also, eligible employees may receive an annual grant of options or RSUs. Non-employee members of the Board typically receive a grant of stock options upon initial appointment to the Board, and/or stock options annually. The term of any option granted under the Plans cannot exceed 10 years. Options shall not have an exercise price less than 100% of the fair market value of the Company’s ordinary shares on the grant date, and generally vest over a period of three years. If the individual possesses more than 10% of the combined voting power of all classes of equity of the Company, the exercise price shall not be less than 110% of the fair market value of an ordinary share on the date of grant.</w:t>
      </w:r>
    </w:p>
    <w:p>
      <w:pPr>
        <w:spacing w:after="0" w:line="18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Company’s RSU and option grants provide for accelerated or continued vesting in certain circumstances as defined in the plans and related grant agreements, including a termination in connection with a change in control. RSUs generally vest in a 33% increment upon the first anniversary of grant, and in either equal quarterly or annual amounts for the two years following the one-year anniversary of the grant date. Options generally vest in a 33% increment upon the first anniversary of the grant date, and in either equal quarterly or annual amounts for the two years following the one-year anniversary of the grant date.</w:t>
      </w:r>
    </w:p>
    <w:p>
      <w:pPr>
        <w:spacing w:after="0" w:line="17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expected volatility is based on a mix of the Company’s historical volatility, and the historical volatility of comparable companies with similar attributes to the Company, including industry, stage of life cycle, size and financial leverage. The risk-free interest rate assumption is based on observed interest rates appropriate for the expected term of the options granted. The expected term is the length of time until the expected dates of exercising the options and is estimated for employees using the simplified method due to insufficient specific historical information of employees’ exercise behavior, and for non-employees, and directors using the contractual term.</w:t>
      </w:r>
    </w:p>
    <w:p>
      <w:pPr>
        <w:spacing w:after="0" w:line="17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January 31, 2023, the Board approved a performance stock unit ("PSU") award of 100,000 shares under the 2017 Plan to the Company's Chief Executive Officer, subject to shareholder approval. Vesting of these PSUs will depend upon obtaining regulatory approval for the Company’s lead product candidate UGN-102 in the three years following the grant. The PSU award was approved by the Company’s shareholders at the 2023 Annual Shareholders’ Meeting on September 7, 2023.</w:t>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maximum number of ordinary shares that was initially authorized for issuance under the 2017 Plan was 1,400,000. On January 1, 2018, the share reserve increased by 250,167 to 1,650,167 shares. On October 12, 2018, the Company increased the number of ordinary shares authorized for issuance under the 2017 Plan by 1,900,000 to 3,550,167 shares. On June 8, 2020, the Company’s shareholders approved an increase to the number of ordinary shares authorized for issuance under the 2017 Plan by 400,000 to 3,950,167 shares. On June 7, 2021, the Company’s shareholders approved an increase to the number of ordinary shares authorized for issuance under the 2017 Plan by 400,000 to 4,350,167 shares. On June 8, 2022, the Company's shareholders approved an increase to the number of ordinary shares authorized for issuance under the 2017 Plan by 400,000 to 4,750,167 shares. On September 7, 2023, the Company's shareholders approved an increase to the number of ordinary shares authorized for issuance under the 2017 Plan by 450,000 to 5,200,167 shares.</w:t>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May 2019, the Company adopted the UroGen Pharma Ltd. 2019 Inducement Plan (the “Inducement Plan”). Under the Inducement Plan, the Company is authorized to issue up to 900,000 ordinary shares pursuant to inducement awards. The only persons eligible to receive grants under the Inducement Plan are individuals who satisfy the standards for inducement grants under Nasdaq Marketplace Rule 5635(c)</w:t>
      </w:r>
    </w:p>
    <w:p>
      <w:pPr>
        <w:spacing w:after="0" w:line="1" w:lineRule="exact"/>
        <w:rPr>
          <w:sz w:val="20"/>
          <w:szCs w:val="20"/>
          <w:color w:val="auto"/>
        </w:rPr>
      </w:pPr>
    </w:p>
    <w:p>
      <w:pPr>
        <w:ind w:firstLine="8"/>
        <w:spacing w:after="0"/>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In December 2021, the Board approved a 300,000 increase in the share reserve of the Inducement Plan.</w:t>
      </w:r>
    </w:p>
    <w:p>
      <w:pPr>
        <w:spacing w:after="0" w:line="38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As of September 30, 2023, 3,781,335 ordinary shares are subject to outstanding awards under the Company's share-based compensation plans and 1,498,367 ordinary shares remain available for future awards.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The following table illustrates the effect of share-based compensation on the condensed consolidated statements of operations (in thousands):</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642</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1,436</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7"/>
                <w:szCs w:val="17"/>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5,296</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6,172</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share-based compensation expense</w:t>
            </w:r>
          </w:p>
        </w:tc>
        <w:tc>
          <w:tcPr>
            <w:tcW w:w="7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2,224</w:t>
            </w:r>
          </w:p>
        </w:tc>
        <w:tc>
          <w:tcPr>
            <w:tcW w:w="4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2,440</w:t>
            </w:r>
          </w:p>
        </w:tc>
        <w:tc>
          <w:tcPr>
            <w:tcW w:w="4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6,732</w:t>
            </w:r>
          </w:p>
        </w:tc>
        <w:tc>
          <w:tcPr>
            <w:tcW w:w="4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total unrecognized compensation cost of options and RSUs at September 30, 2023 is $15.6 million with a weighted average recognition period of 2.0 years.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UroGen Pharma Ltd. is taxed under Israeli tax laws. As of September 30, 2023, the Company continues to maintain a full valuation allowance against deferred tax assets for all jurisdictions. In evaluating the need for a valuation allowance, the Company considers all sources of taxable income available to realize the deferred tax asset, including the future reversal of existing temporary differences, forecasts of future taxable income, and tax planning strategies. The Company has cumulative global pretax losses for the years ended 2022, 2021 and 2020, and for the nine months ended September 30, 2023. The Company will continue to assess the extent to which its deferred tax assets may be realized in the future and will adjust the valuation allowance as needed.</w:t>
      </w:r>
    </w:p>
    <w:p>
      <w:pPr>
        <w:spacing w:after="0" w:line="18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Company has a liability for uncertain tax positions of $3.0 million as of September 30, 2023, for tax positions relating to transfer pricing between affiliated entities. The Company recognizes interest accrued and penalties related to uncertain tax positions as a component of income tax expense. As of September 30, 2023, the Company’s liability for uncertain tax positions includes $1.1 million of accrued interest and penalties.</w:t>
      </w:r>
    </w:p>
    <w:p>
      <w:pPr>
        <w:spacing w:after="0" w:line="17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operates on a global basis and is subject to tax laws and regulations in the United States and Israel. The estimate of the Company’s tax liabilities relating to uncertain tax positions requires management to assess uncertainties and to make judgments about the application of complex tax laws and regulations, expectations regarding the outcome of tax authority examinations, as well as the ultimate measurement of potential liabilities.</w:t>
      </w:r>
    </w:p>
    <w:p>
      <w:pPr>
        <w:spacing w:after="0" w:line="1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uncertain tax positions are reviewed quarterly and adjusted as events occur that could affect potential liabilities for additional taxes, including lapsing of applicable statutes of limitations, correspondence with tax authorities, proposed assessments by tax authorities, identification of new issues, and issuance of new legislation or regulations. The Company believes that adequate amounts of tax have been provided in income tax expense for any adjustments that may result from its uncertain tax positions. Based upon the information currently available, the Company does not reasonably expect changes in its existing uncertain tax positions in the next 12 months and has recorded the gross uncertain tax positions as a long-term liability.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208"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See Note 14 for discussion regarding an affiliated investor in the private placement transaction for the nine months ended September 30, 2023. There were no related party transactions for the nine months ended September 30, 2022.</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0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2023 and December 31, 2022. The Company does not anticipate recognizing any significant losses relating to these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discussion regarding lease commitments.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19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and determined there were no subsequent events.</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and the audited financial statements and notes thereto as of and for the year ended December 31, 2022 and the related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both of which are contained in our Annual Report on Form 10-K for the year ended December 31, 2022 (</w:t>
      </w:r>
      <w:r>
        <w:rPr>
          <w:rFonts w:ascii="Arial" w:cs="Arial" w:eastAsia="Arial" w:hAnsi="Arial"/>
          <w:sz w:val="18"/>
          <w:szCs w:val="18"/>
          <w:color w:val="auto"/>
        </w:rPr>
        <w:t>“</w:t>
      </w:r>
      <w:r>
        <w:rPr>
          <w:rFonts w:ascii="Arial" w:cs="Arial" w:eastAsia="Arial" w:hAnsi="Arial"/>
          <w:sz w:val="18"/>
          <w:szCs w:val="18"/>
          <w:i w:val="1"/>
          <w:iCs w:val="1"/>
          <w:color w:val="auto"/>
        </w:rPr>
        <w:t>Annual Report</w:t>
      </w:r>
      <w:r>
        <w:rPr>
          <w:rFonts w:ascii="Arial" w:cs="Arial" w:eastAsia="Arial" w:hAnsi="Arial"/>
          <w:sz w:val="18"/>
          <w:szCs w:val="18"/>
          <w:color w:val="auto"/>
        </w:rPr>
        <w:t>”</w:t>
      </w:r>
      <w:r>
        <w:rPr>
          <w:rFonts w:ascii="Arial" w:cs="Arial" w:eastAsia="Arial" w:hAnsi="Arial"/>
          <w:sz w:val="18"/>
          <w:szCs w:val="18"/>
          <w:i w:val="1"/>
          <w:iCs w:val="1"/>
          <w:color w:val="auto"/>
        </w:rPr>
        <w:t>), which was filed with the SEC on March 24, 2023. The information in this discussion contains forward-looking statements and information within the meaning of Section 27A of the Securities Act of 1933, as amended (</w:t>
      </w: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w:t>
      </w:r>
      <w:r>
        <w:rPr>
          <w:rFonts w:ascii="Arial" w:cs="Arial" w:eastAsia="Arial" w:hAnsi="Arial"/>
          <w:sz w:val="18"/>
          <w:szCs w:val="18"/>
          <w:i w:val="1"/>
          <w:iCs w:val="1"/>
          <w:color w:val="auto"/>
        </w:rPr>
        <w:t>),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xml:space="preserve">), which are subject to the </w:t>
      </w:r>
      <w:r>
        <w:rPr>
          <w:rFonts w:ascii="Arial" w:cs="Arial" w:eastAsia="Arial" w:hAnsi="Arial"/>
          <w:sz w:val="18"/>
          <w:szCs w:val="18"/>
          <w:color w:val="auto"/>
        </w:rPr>
        <w:t>“</w:t>
      </w: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created by those sections. These forward-looking statements include, but are not limited to, statements concerning our strategy, future operations, future financial position, future revenues, trends, seasonality, projected costs, prospects and plans and objectives of management. The words </w:t>
      </w:r>
      <w:r>
        <w:rPr>
          <w:rFonts w:ascii="Arial" w:cs="Arial" w:eastAsia="Arial" w:hAnsi="Arial"/>
          <w:sz w:val="18"/>
          <w:szCs w:val="18"/>
          <w:color w:val="auto"/>
        </w:rPr>
        <w:t>“</w:t>
      </w:r>
      <w:r>
        <w:rPr>
          <w:rFonts w:ascii="Arial" w:cs="Arial" w:eastAsia="Arial" w:hAnsi="Arial"/>
          <w:sz w:val="18"/>
          <w:szCs w:val="18"/>
          <w:i w:val="1"/>
          <w:iCs w:val="1"/>
          <w:color w:val="auto"/>
        </w:rPr>
        <w:t>anticipates,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believes,</w:t>
      </w:r>
      <w:r>
        <w:rPr>
          <w:rFonts w:ascii="Arial" w:cs="Arial" w:eastAsia="Arial" w:hAnsi="Arial"/>
          <w:sz w:val="18"/>
          <w:szCs w:val="18"/>
          <w:color w:val="auto"/>
        </w:rPr>
        <w:t>” “</w:t>
      </w:r>
      <w:r>
        <w:rPr>
          <w:rFonts w:ascii="Arial" w:cs="Arial" w:eastAsia="Arial" w:hAnsi="Arial"/>
          <w:sz w:val="18"/>
          <w:szCs w:val="18"/>
          <w:i w:val="1"/>
          <w:iCs w:val="1"/>
          <w:color w:val="auto"/>
        </w:rPr>
        <w:t>estimates,</w:t>
      </w:r>
      <w:r>
        <w:rPr>
          <w:rFonts w:ascii="Arial" w:cs="Arial" w:eastAsia="Arial" w:hAnsi="Arial"/>
          <w:sz w:val="18"/>
          <w:szCs w:val="18"/>
          <w:color w:val="auto"/>
        </w:rPr>
        <w:t>” “</w:t>
      </w:r>
      <w:r>
        <w:rPr>
          <w:rFonts w:ascii="Arial" w:cs="Arial" w:eastAsia="Arial" w:hAnsi="Arial"/>
          <w:sz w:val="18"/>
          <w:szCs w:val="18"/>
          <w:i w:val="1"/>
          <w:iCs w:val="1"/>
          <w:color w:val="auto"/>
        </w:rPr>
        <w:t>expects,</w:t>
      </w:r>
      <w:r>
        <w:rPr>
          <w:rFonts w:ascii="Arial" w:cs="Arial" w:eastAsia="Arial" w:hAnsi="Arial"/>
          <w:sz w:val="18"/>
          <w:szCs w:val="18"/>
          <w:color w:val="auto"/>
        </w:rPr>
        <w:t>” “</w:t>
      </w:r>
      <w:r>
        <w:rPr>
          <w:rFonts w:ascii="Arial" w:cs="Arial" w:eastAsia="Arial" w:hAnsi="Arial"/>
          <w:sz w:val="18"/>
          <w:szCs w:val="18"/>
          <w:i w:val="1"/>
          <w:iCs w:val="1"/>
          <w:color w:val="auto"/>
        </w:rPr>
        <w:t>intends,</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plans,</w:t>
      </w:r>
      <w:r>
        <w:rPr>
          <w:rFonts w:ascii="Arial" w:cs="Arial" w:eastAsia="Arial" w:hAnsi="Arial"/>
          <w:sz w:val="18"/>
          <w:szCs w:val="18"/>
          <w:color w:val="auto"/>
        </w:rPr>
        <w:t>” “</w:t>
      </w:r>
      <w:r>
        <w:rPr>
          <w:rFonts w:ascii="Arial" w:cs="Arial" w:eastAsia="Arial" w:hAnsi="Arial"/>
          <w:sz w:val="18"/>
          <w:szCs w:val="18"/>
          <w:i w:val="1"/>
          <w:iCs w:val="1"/>
          <w:color w:val="auto"/>
        </w:rPr>
        <w:t>projects,</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In addition, statements that </w:t>
      </w:r>
      <w:r>
        <w:rPr>
          <w:rFonts w:ascii="Arial" w:cs="Arial" w:eastAsia="Arial" w:hAnsi="Arial"/>
          <w:sz w:val="18"/>
          <w:szCs w:val="18"/>
          <w:color w:val="auto"/>
        </w:rPr>
        <w:t>“</w:t>
      </w:r>
      <w:r>
        <w:rPr>
          <w:rFonts w:ascii="Arial" w:cs="Arial" w:eastAsia="Arial" w:hAnsi="Arial"/>
          <w:sz w:val="18"/>
          <w:szCs w:val="18"/>
          <w:i w:val="1"/>
          <w:iCs w:val="1"/>
          <w:color w:val="auto"/>
        </w:rPr>
        <w:t>we believe</w:t>
      </w:r>
      <w:r>
        <w:rPr>
          <w:rFonts w:ascii="Arial" w:cs="Arial" w:eastAsia="Arial" w:hAnsi="Arial"/>
          <w:sz w:val="18"/>
          <w:szCs w:val="18"/>
          <w:color w:val="auto"/>
        </w:rPr>
        <w:t>”</w:t>
      </w:r>
      <w:r>
        <w:rPr>
          <w:rFonts w:ascii="Arial" w:cs="Arial" w:eastAsia="Arial" w:hAnsi="Arial"/>
          <w:sz w:val="18"/>
          <w:szCs w:val="18"/>
          <w:i w:val="1"/>
          <w:iCs w:val="1"/>
          <w:color w:val="auto"/>
        </w:rPr>
        <w:t xml:space="preser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 forward-looking statements are applicable only as of the date on which they are made, and we do not assume any obligation to update any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are a biotechnology company dedicated to developing and commercializing innovative solutions that treat urothelial and specialty cancers. We have developed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reverse-thermal hydrogel, a proprietary sustained release, hydrogel-based technology that has the potential to improve therapeutic profiles of existing drugs. Our technology is designed to enable longer exposure of the urinary tract tissue to medications, making local therapy a potentially more effective treatment option.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and our investigational candidate, UGN-102 (mitomycin) for intravesical solution, are designed to ablate tumors by non-surgical means and to treat several forms of non-muscle invasive urothelial cancer, including low-grade upper tract urothelial cancer (“low-grade UTUC”) and low-grade intermediate risk non-muscle invasive bladder cancer (“low-grade intermediate risk NMIBC”), respectively. In addition, our immuno-uro-oncology pipeline includes UGN-301 (zalifrelimab), an anti-CTLA-4 antibody, which we intend to study as both monotherapy and in combination therapy.</w:t>
      </w:r>
    </w:p>
    <w:p>
      <w:pPr>
        <w:spacing w:after="0" w:line="178"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We estimate that the annual treatable patient population of low-grade UTUC in the United States is approximately 6,000 to 7,000 and the annual treatable population of low-grade intermediate risk NMIBC is approximately 80,000.</w:t>
      </w:r>
    </w:p>
    <w:p>
      <w:pPr>
        <w:spacing w:after="0" w:line="153"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is a novel proprietary polymeric biocompatible, reverse thermal gelation hydrogel technology, which, unlike the general characteristics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most 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dissolves over time while preventing rapid excretion, providing for increased dwell time. </w:t>
      </w:r>
      <w:r>
        <w:rPr>
          <w:rFonts w:ascii="Arial" w:cs="Arial" w:eastAsia="Arial" w:hAnsi="Arial"/>
          <w:sz w:val="18"/>
          <w:szCs w:val="18"/>
          <w:i w:val="1"/>
          <w:iCs w:val="1"/>
          <w:color w:val="auto"/>
        </w:rPr>
        <w:t>RTGel</w:t>
      </w:r>
      <w:r>
        <w:rPr>
          <w:rFonts w:ascii="Arial" w:cs="Arial" w:eastAsia="Arial" w:hAnsi="Arial"/>
          <w:sz w:val="18"/>
          <w:szCs w:val="18"/>
          <w:color w:val="auto"/>
        </w:rPr>
        <w:t xml:space="preserve"> leverages the physiologic flow of urine to provide a natural exit from the body.</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RTGel</w:t>
      </w:r>
      <w:r>
        <w:rPr>
          <w:rFonts w:ascii="Arial" w:cs="Arial" w:eastAsia="Arial" w:hAnsi="Arial"/>
          <w:sz w:val="18"/>
          <w:szCs w:val="18"/>
          <w:color w:val="auto"/>
        </w:rPr>
        <w:t xml:space="preserve">,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 w:cs="Arial" w:eastAsia="Arial" w:hAnsi="Arial"/>
          <w:sz w:val="18"/>
          <w:szCs w:val="18"/>
          <w:i w:val="1"/>
          <w:iCs w:val="1"/>
          <w:color w:val="auto"/>
        </w:rPr>
        <w:t>RTGel</w:t>
      </w:r>
      <w:r>
        <w:rPr>
          <w:rFonts w:ascii="Arial" w:cs="Arial" w:eastAsia="Arial" w:hAnsi="Arial"/>
          <w:sz w:val="18"/>
          <w:szCs w:val="18"/>
          <w:color w:val="auto"/>
        </w:rPr>
        <w:t xml:space="preserve"> achieves this by:</w:t>
      </w:r>
    </w:p>
    <w:p>
      <w:pPr>
        <w:spacing w:after="0" w:line="169" w:lineRule="exact"/>
        <w:rPr>
          <w:sz w:val="20"/>
          <w:szCs w:val="20"/>
          <w:color w:val="auto"/>
        </w:rPr>
      </w:pPr>
    </w:p>
    <w:p>
      <w:pPr>
        <w:jc w:val="both"/>
        <w:ind w:left="660" w:right="240" w:hanging="328"/>
        <w:spacing w:after="0" w:line="26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aqueous mitomycin formulation, currently used as adjuvant treatment, in the upper urinary tract is approximately five minutes, compared to up to six hours when mitomycin is formulated with </w:t>
      </w:r>
      <w:r>
        <w:rPr>
          <w:rFonts w:ascii="Arial" w:cs="Arial" w:eastAsia="Arial" w:hAnsi="Arial"/>
          <w:sz w:val="17"/>
          <w:szCs w:val="17"/>
          <w:i w:val="1"/>
          <w:iCs w:val="1"/>
          <w:color w:val="auto"/>
        </w:rPr>
        <w:t>RTGel</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660" w:right="120" w:hanging="328"/>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administering higher doses of an active drug than would otherwise be possible using standard water-based formulations. For instance, it is only possible to dissolve 0.5 mg of mitomycin in 1 mL of water while it is possible to formulate up to 8 mg of mitomycin with 1 mL of </w:t>
      </w:r>
      <w:r>
        <w:rPr>
          <w:rFonts w:ascii="Arial" w:cs="Arial" w:eastAsia="Arial" w:hAnsi="Arial"/>
          <w:sz w:val="18"/>
          <w:szCs w:val="18"/>
          <w:i w:val="1"/>
          <w:iCs w:val="1"/>
          <w:color w:val="auto"/>
        </w:rPr>
        <w:t>RTGel</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the active drug’s molecular structure and mode of action.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enable sustained release of mitomycin in the urinary tract for both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Further,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be particularly effective in the bladder and upper urinary tract where tumor visibility and access are challenging, and where there exists a significant amount of urine flow and voiding. We believe that 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prove useful for the local delivery of active drugs to other bodily cavities in addition to the bladder and upper urinary 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Jelmyto</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On April 15, 2020, the U.S. Food and Drug Administration ("FDA") approved our new drug application (“NDA”)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for the treatment of adult patients with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It has been designed to prolong exposure of urinary tract tissue to mitomycin, thereby enabling the treatment of tumors by non-surgical means. New product exclusivity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expired on April 15, 2023, however, Orphan Drug exclusivity extends until April 15, 2027, as well as a composition of matter patents set to expire in early 2031. The main patents that protect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are set to expire in January 2031. These patents were listed in the FDA's Orange Book (Approved Drug Products with Therapeutic Equivalence Evaluations).</w:t>
      </w:r>
    </w:p>
    <w:p>
      <w:pPr>
        <w:spacing w:after="0" w:line="17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Low-grade UTUC is a rare cancer that develops in the lining of the upper urinary tract, ureters and kidneys. In the United States, there are approximately 6,000 - 7,000 new or recurrent low-grade UTUC patients annually. It is a challenging condition to treat due to the complex anatomy of the urinary tract system. Prior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current standard of care included endoscopic resection(s) and radical nephroureterectomy, the latter which involves the removal of the renal pelvis, kidney, ureter and bladder cuff. Treatment is further complicated by the fact that low-grade UTUC is most commonly diagnosed in patients over 70 years of age, who may already have compromised kidney function and may suffer further complications as a result of a major surgery. We are focused on changing the way urothelial cancers are treated, an area in which there has been no significant advancements in recent years.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therapy of its kind, providing an alternative to endoscopic resection(s) and/or radical nephroureterectomy.</w:t>
      </w:r>
    </w:p>
    <w:p>
      <w:pPr>
        <w:spacing w:after="0" w:line="17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The FDA approval is based on results from our Phase 3 OLYMPUS trial showing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achieved clinically significant disease eradication in adults with low-grade UTUC. Findings from the final study results include:</w:t>
      </w:r>
    </w:p>
    <w:p>
      <w:pPr>
        <w:spacing w:after="0" w:line="153" w:lineRule="exact"/>
        <w:rPr>
          <w:sz w:val="20"/>
          <w:szCs w:val="20"/>
          <w:color w:val="auto"/>
        </w:rPr>
      </w:pPr>
    </w:p>
    <w:p>
      <w:pPr>
        <w:ind w:left="660" w:right="28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response (“CR”) (primary endpoint) of 58% (41/71) in the intent-to-treat population and in the sub-population of patients who were deemed not capable of surgical removal at diagnosis.</w:t>
      </w:r>
    </w:p>
    <w:p>
      <w:pPr>
        <w:spacing w:after="0" w:line="159"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12-month time point for assessment of durability, 23 patients remained in CR of a total of 41 patients, eight had experienced recurrence of disease and ten patients were unable to be evaluated.</w:t>
      </w:r>
    </w:p>
    <w:p>
      <w:pPr>
        <w:spacing w:after="0" w:line="159"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Durability of response was estimated to be 81.8% at 12 months by Kaplan-Meier analysis. The median duration of response was not reached.</w:t>
      </w:r>
    </w:p>
    <w:p>
      <w:pPr>
        <w:spacing w:after="0" w:line="159" w:lineRule="exact"/>
        <w:rPr>
          <w:rFonts w:ascii="Arial" w:cs="Arial" w:eastAsia="Arial" w:hAnsi="Arial"/>
          <w:sz w:val="18"/>
          <w:szCs w:val="18"/>
          <w:color w:val="auto"/>
        </w:rPr>
      </w:pPr>
    </w:p>
    <w:p>
      <w:pPr>
        <w:ind w:left="660" w:right="660" w:hanging="328"/>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most commonly reported adverse events (≥ 20%) were ureteric obstruction, flank pain, urinary tract infection, hematuria, abdominal pain, fatigue, renal dysfunction, nausea, dysuria and vomiting. Most adverse events were mild to moderate and manageable. No treatment-related deaths occurred.</w:t>
      </w:r>
    </w:p>
    <w:p>
      <w:pPr>
        <w:spacing w:after="0" w:line="165" w:lineRule="exact"/>
        <w:rPr>
          <w:sz w:val="20"/>
          <w:szCs w:val="20"/>
          <w:color w:val="auto"/>
        </w:rPr>
      </w:pPr>
    </w:p>
    <w:p>
      <w:pPr>
        <w:ind w:right="160"/>
        <w:spacing w:after="0" w:line="209" w:lineRule="exact"/>
        <w:rPr>
          <w:sz w:val="20"/>
          <w:szCs w:val="20"/>
          <w:color w:val="auto"/>
        </w:rPr>
      </w:pPr>
      <w:r>
        <w:rPr>
          <w:rFonts w:ascii="Arial" w:cs="Arial" w:eastAsia="Arial" w:hAnsi="Arial"/>
          <w:sz w:val="18"/>
          <w:szCs w:val="18"/>
          <w:color w:val="auto"/>
        </w:rPr>
        <w:t>In December 2022, we presented new data from a follow up study to the OLYMPUS trial designed to obtain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data on </w:t>
      </w:r>
      <w:r>
        <w:rPr>
          <w:rFonts w:ascii="Arial" w:cs="Arial" w:eastAsia="Arial" w:hAnsi="Arial"/>
          <w:sz w:val="18"/>
          <w:szCs w:val="18"/>
          <w:i w:val="1"/>
          <w:iCs w:val="1"/>
          <w:color w:val="auto"/>
        </w:rPr>
        <w:t>Jelmyto</w:t>
      </w:r>
      <w:r>
        <w:rPr>
          <w:rFonts w:ascii="Arial" w:cs="Arial" w:eastAsia="Arial" w:hAnsi="Arial"/>
          <w:sz w:val="18"/>
          <w:szCs w:val="18"/>
          <w:color w:val="auto"/>
        </w:rPr>
        <w:t>. Based on data available for 16 of the 23 patients who had remained in CR at the end of the OLYMPUS study, the median duration of response in that subset of patients was 28.9 months. Thirteen patients remained in CR, two patients had recurrence of low grade</w:t>
      </w:r>
      <w:r>
        <w:rPr>
          <w:rFonts w:ascii="MS PGothic" w:cs="MS PGothic" w:eastAsia="MS PGothic" w:hAnsi="MS PGothic"/>
          <w:sz w:val="18"/>
          <w:szCs w:val="18"/>
          <w:color w:val="auto"/>
        </w:rPr>
        <w:t>‐</w:t>
      </w:r>
      <w:r>
        <w:rPr>
          <w:rFonts w:ascii="Arial" w:cs="Arial" w:eastAsia="Arial" w:hAnsi="Arial"/>
          <w:sz w:val="18"/>
          <w:szCs w:val="18"/>
          <w:color w:val="auto"/>
        </w:rPr>
        <w:t>UTUC on the same side as treated in OLYMPUS, and one patient underwent RNU due to ureteral stricture without evidence of UTUC at the time of surgery. No patient had progressed to high</w:t>
      </w:r>
      <w:r>
        <w:rPr>
          <w:rFonts w:ascii="MS PGothic" w:cs="MS PGothic" w:eastAsia="MS PGothic" w:hAnsi="MS PGothic"/>
          <w:sz w:val="18"/>
          <w:szCs w:val="18"/>
          <w:color w:val="auto"/>
        </w:rPr>
        <w:t>‐</w:t>
      </w:r>
      <w:r>
        <w:rPr>
          <w:rFonts w:ascii="Arial" w:cs="Arial" w:eastAsia="Arial" w:hAnsi="Arial"/>
          <w:sz w:val="18"/>
          <w:szCs w:val="18"/>
          <w:color w:val="auto"/>
        </w:rPr>
        <w:t>grade disease.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June 2020, we initiated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We have staffed, trained and prepared a customer-facing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team that includes territory business managers with deep experience in both urology and oncology. These territory business manager</w:t>
      </w:r>
    </w:p>
    <w:p>
      <w:pPr>
        <w:spacing w:after="0" w:line="234" w:lineRule="auto"/>
        <w:rPr>
          <w:sz w:val="20"/>
          <w:szCs w:val="20"/>
          <w:color w:val="auto"/>
        </w:rPr>
      </w:pPr>
      <w:r>
        <w:rPr>
          <w:rFonts w:ascii="Arial" w:cs="Arial" w:eastAsia="Arial" w:hAnsi="Arial"/>
          <w:sz w:val="18"/>
          <w:szCs w:val="18"/>
          <w:color w:val="auto"/>
        </w:rPr>
        <w:t>positions are led by seven regional business director positions, who are in turn supported by seven regional operations manager</w:t>
      </w:r>
    </w:p>
    <w:p>
      <w:pPr>
        <w:spacing w:after="0" w:line="235" w:lineRule="auto"/>
        <w:rPr>
          <w:sz w:val="20"/>
          <w:szCs w:val="20"/>
          <w:color w:val="auto"/>
        </w:rPr>
      </w:pPr>
      <w:r>
        <w:rPr>
          <w:rFonts w:ascii="Arial" w:cs="Arial" w:eastAsia="Arial" w:hAnsi="Arial"/>
          <w:sz w:val="18"/>
          <w:szCs w:val="18"/>
          <w:color w:val="auto"/>
        </w:rPr>
        <w:t>positions. Each region is additionally supported by one to two clinical nurse educators to provide education and training around instillation, as</w:t>
      </w:r>
    </w:p>
    <w:p>
      <w:pPr>
        <w:spacing w:after="0" w:line="235" w:lineRule="auto"/>
        <w:rPr>
          <w:sz w:val="20"/>
          <w:szCs w:val="20"/>
          <w:color w:val="auto"/>
        </w:rPr>
      </w:pPr>
      <w:r>
        <w:rPr>
          <w:rFonts w:ascii="Arial" w:cs="Arial" w:eastAsia="Arial" w:hAnsi="Arial"/>
          <w:sz w:val="18"/>
          <w:szCs w:val="18"/>
          <w:color w:val="auto"/>
        </w:rPr>
        <w:t>well as a field reimbursement manager to help ensure access and reimbursement for appropriate patients. In addition, our organization</w:t>
      </w:r>
    </w:p>
    <w:p>
      <w:pPr>
        <w:ind w:right="980"/>
        <w:spacing w:after="0"/>
        <w:rPr>
          <w:sz w:val="20"/>
          <w:szCs w:val="20"/>
          <w:color w:val="auto"/>
        </w:rPr>
      </w:pPr>
      <w:r>
        <w:rPr>
          <w:rFonts w:ascii="Arial" w:cs="Arial" w:eastAsia="Arial" w:hAnsi="Arial"/>
          <w:sz w:val="18"/>
          <w:szCs w:val="18"/>
          <w:color w:val="auto"/>
        </w:rPr>
        <w:t xml:space="preserve">currently includes several medical science liaisons who appropriately engage with physicians interested in learning more about UroGen,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technology, both in person and virtually. In total, our customer-facing team comprises approximately 80 representatives.</w:t>
      </w:r>
    </w:p>
    <w:p>
      <w:pPr>
        <w:spacing w:after="0" w:line="17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We are committed to helping patients 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market access teams have laid the foundation for coverage and reimbursement, meeting multiple times with payors. Medicare patients are covered and the vast majority of commercial plans have policies in place, in whole covering over 150 million lives. In addition to reimbursement and access, we have also been focused on ensuring seamless integration into physician practices. We have implemented processes to help make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preparation and administration seamless for practitioners and patients, including entering into an agreement with a major national specialty pharmacy under which the pharmacy, following receipt of a patient prescription, prepares and dispenses the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admixture on our behalf. In September 2022, the FDA authorized an extension of the in-use period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admixture from eight hours to 96 hours (four days) following reconstitution of the product, adding convenience and flexibility in managing patient care.</w:t>
      </w:r>
    </w:p>
    <w:p>
      <w:pPr>
        <w:spacing w:after="0" w:line="17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Centers for Medicare &amp; Medicaid Services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and replaced the C-Code. We have also launched a registry to capture data and evaluate real world outcomes in patients with low-grade UTUC that have been or will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purpose of the registry is to study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clinical practice in the United States and address specific clinical questions.</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the first three fiscal years beginning after the initiation of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June 2020, we have experienced a moderate decline in revenue during the third quarter from the preceding quarter. We believe this result is primarily attributable to the nature of low-grade disease, which does not require immediate treatment and therefore we believe there is an impact in the summer months. However, it is too early to say with confidence whether this seasonality trend will continue in future periods. Moreover, our future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revenue will be impacted by various factors and we expect our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revenue to fluctuate quarter-to-quarter for the foreseeable future.</w:t>
      </w:r>
    </w:p>
    <w:p>
      <w:pPr>
        <w:sectPr>
          <w:pgSz w:w="11900" w:h="16838" w:orient="portrait"/>
          <w:cols w:equalWidth="0" w:num="1">
            <w:col w:w="11220"/>
          </w:cols>
          <w:pgMar w:left="320" w:top="125" w:right="359" w:bottom="345"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345"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UGN-102 (mitomycin) for intravesical solution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UGN-102 is our sustained-release formulation of mitomycin that we are developing for the treatment of low-grade intermediate risk NMIBC.</w:t>
      </w:r>
    </w:p>
    <w:p>
      <w:pPr>
        <w:spacing w:after="0" w:line="19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October 2021, we reported final data from the Phase 2b OPTIMA II trial. The single-arm, open label trial completed enrollment of 63 patients at clinical sites across the United States and Israel in September 2019. Patients were treated with six weekly instillations of UGN-102 and underwent assessment of CR (the primary endpoint) four to six weeks following the last instillation; 65%, or 41 out of 63 patients, treated with UGN-102 achieved a CR three months after the start of therapy. In this subset of patients, 39 (95%), 30 (73%), and 25 (61%) remained disease-free at six, nine, and 12 months after treatment initiation, respectively. The probability of durable response nine months after CR (12 months after treatment initiation) was estimated to be 72.5% by Kaplan-Meier analysis. Thirteen patients had documented recurrences. Fifty-seven of 63 (90%) patients completed all six instillations of UGN-102 according to the study protocol. Median duration of response was not reached. The most common adverse events, greater than 10%, were most often reported as mild to moderate in severity and include dysuria, hematuria, urinary frequency, fatigue, urgency and urinary tract infection. The final data was published online in The Journal of Urology in October 2021 and was included in the January 2022 print edition.</w:t>
      </w:r>
    </w:p>
    <w:p>
      <w:pPr>
        <w:spacing w:after="0" w:line="18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December 2022 we presented new data from a follow up study to the OPTIMA II study designed to obtain long-term data on UGN-102 that shows median duration of response of 24.4 months based on available data for 15 out of 25 patients who achieved a CR in OPTIMA</w:t>
      </w:r>
    </w:p>
    <w:p>
      <w:pPr>
        <w:spacing w:after="0" w:line="1" w:lineRule="exact"/>
        <w:rPr>
          <w:sz w:val="20"/>
          <w:szCs w:val="20"/>
          <w:color w:val="auto"/>
        </w:rPr>
      </w:pPr>
    </w:p>
    <w:p>
      <w:pPr>
        <w:ind w:right="40" w:firstLine="8"/>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patients remained in CR, six patients had recurrence of low-grade disease, one patient had progression to high-grade disease and one patient withdrew consent but remained in CR at the last evaluation prior to discontinuation. All patients were alive at the last contact, and five patients were known to have had post-study treatment with transurethral resection of the bladder tumors or fulguration.</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UGN-102 is administered locally using the standard practice of intravesical instillation directly into the bladder via a catheter. The instillation into the bladder is expected to take place in a physician’s office as a non-operative same-day treatment, in comparison with trans-urethral resection of bladder tumor ("TURBT") or similar surgical procedures, which are operations conducted under general anesthesia and may require an overnight stay. Surgical tumor removal often has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initiated our Phase 3 ATLAS trial in December 2020 and until November 2021, were enrolling patients in this trial comparing UGN-102 with or without TURBT to standard of care, TURBT. In parallel, we continued to engage in discussions with the FDA and based on this dialogue, we designed a trial in order to demonstrate the efficacy and safety of UGN-102. This Phase 3 ENVISION trial is a single-arm, multinational, multicenter study evaluating the efficacy and safety of UGN-102 as primary chemoablative therapy in patients with low-grade intermediate risk NMIBC. The design of the Phase 3 ENVISION trial is similar to our Phase 2 OPTIMA II trial in that the patient population has similar clinical characteristics, receives the same investigational treatment regimen and undergoes similar efficacy and safety assessments and qualitative follow-up. Study participants receive six once-weekly intravesical instillations of UGN-102. The primary endpoint is CR rate at three months after the first instillation, and the key secondary endpoint is durability of response in patients who achieve CR at the three-month assessment.</w:t>
      </w:r>
    </w:p>
    <w:p>
      <w:pPr>
        <w:spacing w:after="0" w:line="17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February 2022, we announced the initiation of the Phase 3 ENVISION trial, targeting enrollment of 220 patients across 90 sites. In December 2022, we completed our target enrollment of the Phase 3 ENVISION trial. As a result of the FDA's acceptance of a single arm approach, we stopped enrollment of the Phase 3 ATLAS trial. However, at the time enrollment was stopped, any patients who had signed an informed consent were able to complete screening, and if eligible were randomized into the trial.</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July 27, 2023, we announced topline data from our Phase 3 trials, ATLAS and ENVISION. In the ATLAS trial, UGN-102 met its primary endpoint of disease-free survival, reducing risk of recurrence, progression, or death by 55%. UGN-102 also showed a 64.8% CR rate at three months for patients who only received UGN-102, compared to a 63.6% CR rate at three months for patients who only received a TURBT. The ENVISION trial met its primary endpoint by demonstrating that patients treated with UGN-102 had a 79.2% rate of CR at 3-months following the initial treatment. Additional data evaluating the secondary endpoint of duration of response from ENVISION is anticipated in 2024. In both trials, the safety profile of UGN-102 was acceptable, with a adverse reaction profile similar to that of previous clinical trials of UGN-102.</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also initiated a Phase 3b study with the objective of demonstrating whether UGN-102 can be administered at home by a qualified home health professional, avoiding the need for repeated visits to a healthcare setting for instillation. As per the study design, patients in this study received six once-weekly intravesical instillations of UGN-102 with the initial treatment visit occurring at the investigative site and instillation performed by a qualified physician. Treatment visits two to six took place at the patient's home and instillation were performed by a properly trained and qualified home health professional. The primary endpoints of the study include safety and tolerability, discontinuations from at home study treatment and feedback from patients, home health professionals and investigators via standardized questionnaires. The study completed enrollment with a total of eight patients across four centers and all study visits for these enrolled patients have been completed. Preliminary results were reported through a press release in February 2023, finding that UGN-102 was suitable to administer at home by a visiting nurse under the supervision of a treating physician and resulted in 75% of patients achieving a CR, defined as no detectable disease three months after starting treatment. Patients, nurses and investigators also completed home instillation feasibility questionnaires. These standardized feasibility questionnaires highlighted that all eight patients preferred at-home to in-office treatment, and five of six patients recommended UGN-102 home instillation instead of TURBT. Home instillation was reported as feasible for visiting nurses, and three of four investigators considered at-home treatment “not different” than in-office treatment. We believe establishing the precedent for a convenient at home solution may facilitate access to care and address quality of life issues that certain patients may face with the current standard of care.</w:t>
      </w:r>
    </w:p>
    <w:p>
      <w:pPr>
        <w:spacing w:after="0" w:line="1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October 2023 we announced our agreement with the FDA on plans for submission of an NDA for UGN-102 (mitomycin) for intravesical solution. The FDA indicated that the current clinical development plan for UGN -102, which includes evaluation of duration of CR at 12 months from the pivotal ENVISION trial, will support submission of an NDA for the treatment of low-grade intermediate risk NMIBC. The FDA indicated that it may seek the advice of the Oncology Drug Advisory Committee as part of the NDA review process. The FDA also agreed that the UGN-102 NDA can utilize a rolling review, allowing for early submission of the Chemistry, Manufacturing and Controls ("CMC") sections of the NDA, which is planned for January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UGN-301 (zalifrelimab) intravesical solution</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immuno-uro-oncology pipeline includes UGN-301, an anti-CTLA-4 monoclonal antibody, which we intend to study as a standalone agent and as a combination therapy. Non-human primate toxicity studies supported the initiation of a multi-arm Phase 1 study of UGN-301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combination with other agents. We believe that this approach leverages our unique drug delivery technology and provides an opportunity</w:t>
      </w:r>
    </w:p>
    <w:p>
      <w:pPr>
        <w:sectPr>
          <w:pgSz w:w="11900" w:h="16838" w:orient="portrait"/>
          <w:cols w:equalWidth="0" w:num="1">
            <w:col w:w="11240"/>
          </w:cols>
          <w:pgMar w:left="320" w:top="125" w:right="339" w:bottom="0" w:gutter="0" w:footer="0" w:header="0"/>
        </w:sectPr>
      </w:pPr>
    </w:p>
    <w:bookmarkStart w:id="25" w:name="page26"/>
    <w:bookmarkEnd w:id="25"/>
    <w:p>
      <w:pPr>
        <w:ind w:right="420"/>
        <w:spacing w:after="0" w:line="261" w:lineRule="auto"/>
        <w:rPr>
          <w:sz w:val="20"/>
          <w:szCs w:val="20"/>
          <w:color w:val="auto"/>
        </w:rPr>
      </w:pPr>
      <w:r>
        <w:rPr>
          <w:rFonts w:ascii="Arial" w:cs="Arial" w:eastAsia="Arial" w:hAnsi="Arial"/>
          <w:sz w:val="18"/>
          <w:szCs w:val="18"/>
          <w:color w:val="auto"/>
        </w:rPr>
        <w:t>to evaluate intravesical delivery of UGN-301 in combination with other immuno-modulators, chemotherapies, gene therapy and innate immune stimulators.</w:t>
      </w:r>
    </w:p>
    <w:p>
      <w:pPr>
        <w:spacing w:after="0" w:line="158"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High-grade non-muscle invasive bladder cancer ("high-grade NMIBC") is a highly aggressive form of bladder cancer. TURBT followed by adjuvant intravesical immunotherapy with Bacillus of Calmette and Guerin ("BCG") is the current standard of care therapy for high-grade NMIBC. However, the high rates of recurrence and significant risk of progression to muscle-invasive tumors are particularly dangerous.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Radical cystectomy, or bladder removal is strongly advocated in patients with BCG-unresponsive NMIBC (i.e., patients with BCG-refractory and BCG-relapsing tumors in whom further BCG therapy is not recommended) or for patients who cannot tolerate BCG.</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first combination we are seeking to investigate clinically involves the sequential use of UGN-201 (imiquimod), a toll-like receptor-7 ("TLR 7") agonist, and UGN-301 in high-grade NMIBC. UGN-201 is a liquid formulation of imiquimod for intravesical administration that has been optimized for delivery in the urinary tract. The second combination we are seeking to investigate clinically involves the sequential administration of gemcitabine and UGN-301 to the bladder in high-grade NMIBC. Gemcitabine is a chemotherapy that is used intravesically to treat high grade NMIBC where it is administered as a liquid formulation. We believe that UGN-201 and gemcitabine may elicit an innate immune response in the presence of released bladder cancer antigens, which may translate into a long lasting acquired immune response. We believe these two combinations could elicit an innate as well as adaptive immune response and potentially represent a valid post-TURBT adjuvant treatment of high-grade NMIBC. UGN-301 is delivered using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which has been designed to significantly improve the effectiveness of certain intravesical therapy. In November 2019, we entered into a worldwide license agreement with Agenus Inc. to develop and commercialize zalifrelimab via intravesical delivery for the treatment of urinary tract cancers, initially in high-grade NMIBC. We believe that these combinations make local therapy a potentially more effective treatment option while minimizing systemic exposure and potential side effects.</w:t>
      </w:r>
    </w:p>
    <w:p>
      <w:pPr>
        <w:spacing w:after="0" w:line="18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March 2022, we announced FDA clearance of our Investigational New Drug application ("IND") to begin a novel Phase 1 clinical study of UGN-301 in patients with recurrent NMIBC. The novel study design utilizes a Master Protocol that we believe is a more efficient and streamlined approach to development. It will provide more flexibility to add study arms as the trial progresses and is expected to increase efficiency and potentially reduce costs. We expect the Master Protocol will allow us to more quickly evaluate safety, tolerability and dosing of UGN-301 in combination with additional immunomodulators and chemotherapies, with the goal of developing optimized treatment regimens for patients. The multi-arm Phase 1 study, which is expected to support the development of UGN-301 in high-grade NMIBC, was initiated in April 2022 and is actively enrolling.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and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In November 2019, we entered into a license agreement with Agenus Inc. ("Agenus"), pursuant to which Agenus granted us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UGN-301 is a formulation of zalifrelimab administered using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that is in Phase 1 clinical development for high-grade NMIBC.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January 2021, we announced that we had entered into a three-year strategic research collaboration agreement with MD Anderson focusing on the sequential use of UGN-201 and UGN-301 as an investigational treatment for high-grade NMIBC. Pursuant to the agreement, we have made bi-annual payments totaling $2.0 million to MD Anderson to fund the collaboration, recognized evenly over the associated period through research and development expenses. In July 2022, we determined that we had achieved the objectives that we established when the agreement was initiated, and notified MD Anderson that we were exercising our right to conclude the collaboration in 2022 as</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did not foresee initiating further development activities as part of the collaboration, although we will continue to collaborate on existing joint projects. As a result of this notification, we are not responsible for any further fixed bi-annual funding payments in 2023, although we will be responsible for costs related to existing joint projects to the extent they exceed the payments already made to MD Anderson.</w:t>
      </w:r>
    </w:p>
    <w:p>
      <w:pPr>
        <w:spacing w:after="0" w:line="17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For additional information regarding our research and development and license agreements, see Note 13 to our condensed consolidated financial statements appearing elsewhere in this Quarterly Report.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During the three and nine months ended September 30, 2023, we recognized $20.9 million and $59.2 million of revenue, respectively from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Cost of revenue consists primarily of inventory and related costs associated with the manufacturing, distribution, warehousing and preparation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inventory write-downs.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net consists primarily of:</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salaries and related costs, including share-based compensation expense, for our personnel in research and development functions;</w:t>
      </w:r>
    </w:p>
    <w:p>
      <w:pPr>
        <w:spacing w:after="0" w:line="238"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 incurred under agreements with third parties, including clinical research organizations (“CROs”), subcontractors, suppliers and consultants, nonclinical studies and clinical trials;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 incurred to acquire, develop and manufacture nonclinical study and clinical trial materials;</w:t>
      </w:r>
    </w:p>
    <w:p>
      <w:pPr>
        <w:spacing w:after="0" w:line="238" w:lineRule="exact"/>
        <w:rPr>
          <w:rFonts w:ascii="Arial" w:cs="Arial" w:eastAsia="Arial" w:hAnsi="Arial"/>
          <w:sz w:val="18"/>
          <w:szCs w:val="18"/>
          <w:color w:val="auto"/>
        </w:rPr>
      </w:pPr>
    </w:p>
    <w:p>
      <w:pPr>
        <w:ind w:left="660" w:right="120" w:hanging="328"/>
        <w:spacing w:after="0" w:line="241" w:lineRule="auto"/>
        <w:tabs>
          <w:tab w:leader="none" w:pos="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expense incurred to purchase active pharmaceutical ingredient (“API”) in support of R&amp;D activities and other related manufacturing costs; and</w:t>
      </w:r>
    </w:p>
    <w:p>
      <w:pPr>
        <w:spacing w:after="0" w:line="175" w:lineRule="exact"/>
        <w:rPr>
          <w:rFonts w:ascii="Courier New" w:cs="Courier New" w:eastAsia="Courier New" w:hAnsi="Courier New"/>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facility and equipment costs, including depreciation expense, maintenance and allocated direct and indirect overhead costs.</w:t>
      </w:r>
    </w:p>
    <w:p>
      <w:pPr>
        <w:spacing w:after="0" w:line="23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We expense all research and development costs as incurred. We estimate nonclinical study and clinical trial expense based on the services performed pursuant to contracts with research institutions and contract research organizations that conduct and manage nonclinical studies and clinical trials on our behalf based on actual time and expense incurred by them.</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recognize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such development milestone results are achieved.</w:t>
      </w:r>
    </w:p>
    <w:p>
      <w:pPr>
        <w:spacing w:after="0" w:line="174"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We are currently focused on advancing our product candidates, and our future research and development expense will depend on their clinical success. Research and development expense will continue to be significant.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expenses required for us to reach commercialization of our product candidates. Due to the inherently unpredictable nature of nonclinical and clinical development, we are unable to estimate with certainty the costs we will incur and the timelines that will be required in the continued development and approval of our product candidates. Clinical and nonclinical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 to increase over the next several years as our clinical programs progress and as we seek to initiate clinical trials of additional product candidates. We also expect to incur increased research and development expense as we selectively identify and develop additional product candidates.</w:t>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15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39" w:lineRule="exact"/>
        <w:rPr>
          <w:sz w:val="20"/>
          <w:szCs w:val="20"/>
          <w:color w:val="auto"/>
        </w:rPr>
      </w:pPr>
    </w:p>
    <w:p>
      <w:pPr>
        <w:jc w:val="both"/>
        <w:ind w:right="420"/>
        <w:spacing w:after="0" w:line="269"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 xml:space="preserve">Other than </w:t>
      </w:r>
      <w:r>
        <w:rPr>
          <w:rFonts w:ascii="Arial" w:cs="Arial" w:eastAsia="Arial" w:hAnsi="Arial"/>
          <w:sz w:val="18"/>
          <w:szCs w:val="18"/>
          <w:i w:val="1"/>
          <w:iCs w:val="1"/>
          <w:color w:val="auto"/>
        </w:rPr>
        <w:t>Jelmyto</w:t>
      </w:r>
      <w:r>
        <w:rPr>
          <w:rFonts w:ascii="Arial" w:cs="Arial" w:eastAsia="Arial" w:hAnsi="Arial"/>
          <w:sz w:val="18"/>
          <w:szCs w:val="18"/>
          <w:color w:val="auto"/>
        </w:rPr>
        <w:t>, which was approved by the FDA in April 2020, we have not received approval of any of our product candidates. UGN-102 and UGN-301 are still in clinical development. As such,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License fees and development milestone payments related to in-licensed products and technology are expensed as incurred, or achieved in the case of milestones, if it is determined at that point that they have no established alternative future use.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0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To date, selling and marketing expenses consist primarily of commercial personnel costs (including share-based compensation) along with pre-commercialization and commercialization activities related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formerly known as UGN-101.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General and administrative expenses consist primarily of personnel costs (including share -based compensation related to directors, executives, finance, medical affairs, business development, investor relations, and human resource functions). Other significant costs include medical affairs services, external professional service costs, facility costs, accounting and audit services, legal services, and other consulting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on Prepaid Forward Obligation</w:t>
      </w:r>
    </w:p>
    <w:p>
      <w:pPr>
        <w:spacing w:after="0" w:line="20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Financing on prepaid forward obligation is comprised of financing expense related to the RTW Transaction (see Note 9 to our condensed consolidated financial statements appearing elsewhere in this Quarterly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Interest expense is comprised of interest related to our long-term debt with Pharmakon (see Note 10 to our condensed consolidated financial statements appearing elsewhere in this Quarterly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primarily of interest income, net losses on foreign exchange and bank commissions.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have yet to generate taxable income in Israel. We have historically incurred operating losses resulting in carry forward tax losses totaling approximately $ 419.1 million as of December 31, 2022.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 Income tax expense also consists of our estimate of uncertain tax positions, and related interest and penalties. See Note 16 to our condensed consolidated financial statements appearing elsewhere in this Quarterly Report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The preparation of our unaudited condensed consolidated financial statements requires us to make estimates, judgments and assumptions that affect the reported amounts of assets and liabilities, disclosure of contingent assets and liabilities, and the revenue and expense incurred during the reported periods. In accordance with U.S. generally accepted accounting principles ("GAAP"), we base our estimates on historical experience and on various other factors that we believe are reasonable under the circumstances at the time such estimates are made. Actual results may differ from these estimates under different assumptions or conditions. We discussed the critical accounting policies used in the preparation of our financial statements in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 xml:space="preserve"> included in our Annual Report as well as in the Note 3 to the condensed consolidated financial statements included in this Quarterly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2023 and 2022.</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2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20,852</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16,097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31,985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32,164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(18,087)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(21,888)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7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(21,879)</w:t>
            </w:r>
          </w:p>
        </w:tc>
        <w:tc>
          <w:tcPr>
            <w:tcW w:w="3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(25,831)</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4" w:lineRule="exact"/>
        <w:rPr>
          <w:sz w:val="20"/>
          <w:szCs w:val="20"/>
          <w:color w:val="auto"/>
        </w:rPr>
      </w:pPr>
    </w:p>
    <w:p>
      <w:pPr>
        <w:jc w:val="both"/>
        <w:ind w:right="620"/>
        <w:spacing w:after="0" w:line="260" w:lineRule="auto"/>
        <w:rPr>
          <w:sz w:val="20"/>
          <w:szCs w:val="20"/>
          <w:color w:val="auto"/>
        </w:rPr>
      </w:pPr>
      <w:r>
        <w:rPr>
          <w:rFonts w:ascii="Arial" w:cs="Arial" w:eastAsia="Arial" w:hAnsi="Arial"/>
          <w:sz w:val="18"/>
          <w:szCs w:val="18"/>
          <w:color w:val="auto"/>
        </w:rPr>
        <w:t xml:space="preserve">Revenue was $20.9 million and $16.1 million for the three months ended September 30, 2023 and 2022, respectively. The increase in revenue of $4.8 million primarily reflects the increased volume of sales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04"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 xml:space="preserve">Cost of revenue was $2.4 million and $2.0 million for the three months ended September 30, 2023 and 2022, respectively.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expenses. The overall increase of $0.4 million is primarily attributable to the full depletion of inventories that we had expensed prior to receiving FDA approval and increased volume of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Research and development expenses were $10.2 million and $13.1 million for the three months ended September 30, 2023 and 2022, respectively. The overall decrease of $2.9 million is primarily attributable to lower research and development expenses due to the conclusion of the ATLAS trial, lower cost related to the Phase 3 ENVISION trial for UGN-102, and the ending of our collaboration with MD Anderson, partially offset by higher research and development expenses related to our Phase 1 study for UGN-301, cost incurred related to research into ingredient scale-up and production for UGN-102, and clinical compensation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Selling and marketing expenses were $12.6 million and $11.9 million for the three months ended September 30, 2023 and 2022, respectively. The increase in selling and marketing expenses of $0.7 million is primarily attributable to commercial operation conferences and trainings, market research related expenses, and commercial compensation expenses, partially offset by lower commercial back-office services and support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4"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General and administrative expenses were $9.2 million and $7.2 million for the three months ended September 30, 2023 and 2022, respectively. The increase in general and administrative expenses of $2.0 million resulted primarily from higher compensation expenses, recruiting fees, certain media and meeting expenses, and ongoing managed services.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2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Financing on prepaid forward obligation was $5.5 million and $4.8 million for the three months ended September 30, 2023 and 2022, respectively. The measurement of financing on prepaid forward obligation is an accounting estimate under the "imputed interest method" of accounting (see Note 3 to our condensed consolidated financial statements appearing elsewhere in this Quarterly Report) which is affected by estimated future payments to RTW, which are based on a percentage of revenues. The increase in financing on prepaid forward obligation of $0.7 million was driven primarily by changes in underlying assumptions for remeasuring the effective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Long-term Debt</w:t>
      </w:r>
    </w:p>
    <w:p>
      <w:pPr>
        <w:spacing w:after="0" w:line="2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Interest expense was $3.8 million and $2.7 million for the three months ended September 30, 2023 and 2022, respectively. The increase was primarily driven by increase in interest rates related to the Pharmakon loan and the funding of the second tranche of the Pharmakon loan in December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Interest and other income, net was $0.9 million and $0.5 million for the three months ended September 30, 2023 and 2022, respectively. The increase in interest and other income, net was primarily due to higher cash and investment balance earning interest and changes in the overall interest rate environment.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2023 and 2022.</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59,183</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46,265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12,918</w:t>
            </w:r>
          </w:p>
        </w:tc>
        <w:tc>
          <w:tcPr>
            <w:tcW w:w="10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11,234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(4,117)</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40,670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38,075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28,053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23,129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103,035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(50,927)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(58,759)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7,832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(11,129)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(5,914)</w:t>
            </w: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(76,162)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(79,848)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3,686</w:t>
            </w:r>
          </w:p>
        </w:tc>
        <w:tc>
          <w:tcPr>
            <w:tcW w:w="10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(76,228)</w:t>
            </w:r>
          </w:p>
        </w:tc>
        <w:tc>
          <w:tcPr>
            <w:tcW w:w="3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(80,914)</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4"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 xml:space="preserve">Revenue was $59.2 million and $ 46.3 million for the nine months ended September 30, 2023 and 2022, respectively. The increase in revenue of $12.9 million primarily reflects the increased volume of sales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04"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 xml:space="preserve">Cost of revenue was $7.1 million and $5.4 million for the nine months ended September 30, 2023 and 2022, respectively.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expenses. The overall increase of $1.7 million is primarily attributable to the full depletion of inventories that we had expensed prior to receiving FDA approval and increased volume of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Research and development expenses were $34.3 million and $38.4 million for the nine months ended September 30, 2023 and 2022, respectively. The overall decrease of $4.1 million is primarily attributable to lower research and development expenses due to the conclusion of the ATLAS trial, lower cost related to the Phase 3 ENVISION trial for UGN-102, and the ending of our collaboration with MD Anderson, partially offset by higher research and development expenses related to our Phase 1 study for UGN-301, cost incurred related to research into ingredient scale-up and production for UGN-102, and clinical compensation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Selling and marketing expenses were $40.7 million and $38.1 million for the nine months ended September 30, 2023 and 2022, respectively. The increase in selling and marketing expenses of $ 2.6 million is primarily attributable to brand marketing related expenses and commercial operation advertisement, conferences and trainings, and commercial compensation expenses, partially offset by lower commercial back-office services and support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4"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General and administrative expenses were $28.1 million and $23.1 million for the nine months ended September 30, 2023 and 2022, respectively. The increase in general and administrative expenses of $5.0 million resulted primarily from higher compensation expenses, recruiting fees, certain media and meeting expenses, third-party advisory providers, and ongoing managed services.</w:t>
      </w:r>
    </w:p>
    <w:p>
      <w:pPr>
        <w:sectPr>
          <w:pgSz w:w="11900" w:h="16838" w:orient="portrait"/>
          <w:cols w:equalWidth="0" w:num="1">
            <w:col w:w="11240"/>
          </w:cols>
          <w:pgMar w:left="320" w:top="125" w:right="3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20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Financing on prepaid forward obligation was $16.0 million and $16.5 million for the nine months ended September 30, 2023 and 2022, respectively. The measurement of financing on prepaid forward obligation is an accounting estimate under the "imputed interest method" of accounting (see Note 3 to our condensed consolidated financial statements appearing elsewhere in this Quarterly Report) which is affected by estimated future payments to RTW, which are based on a percentage of revenues. The decrease in financing on prepaid forward obligation of $0.5 million was driven primarily by changes in underlying assumptions for remeasuring the effective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Long-term Debt</w:t>
      </w:r>
    </w:p>
    <w:p>
      <w:pPr>
        <w:spacing w:after="0" w:line="20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Interest expense was $ 11.1 million and $5.2 million for the nine months ended September 30, 2023 and 2022, respectively. The cost in 2023 relates to interest expense on the Pharmakon loan for three full quarters versus the prior year given the loan closed in March 2022. In addition, the increase was attributable to increase in interest rates related to the Pharmakon loan and the funding of the second tranche of the Pharmakon loan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Interest and other income, net was $1.9 million and $0.6 million for the nine months ended September 30, 2023 and 2022, respectively. The increase in interest and other income, net was primarily due to higher cash and investment balance earning interest and changes in the overall interest rate environment.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color w:val="auto"/>
        </w:rPr>
        <w:t>As of September 30, 2023, we had $153.9 million in cash and cash equivalents and marketable securities. Cash in excess of immediate requirements is invested in accordance with our investment policy, primarily with a view to liquidity and capital preservation, and is held primarily in U.S. dollars.</w:t>
      </w:r>
    </w:p>
    <w:p>
      <w:pPr>
        <w:spacing w:after="0" w:line="17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Through September 30, 2023, we funded our operations primarily through public equity offerings, private placements of equity securities and our funding arrangements with RTW and Pharmakon.</w:t>
      </w:r>
    </w:p>
    <w:p>
      <w:pPr>
        <w:spacing w:after="0" w:line="15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December 2019, we entered into a sales agreement (the “ATM Sales Agreement”) with Cowen and Company, LLC (“Cowen”) pursuant to which we may from time to time offer and sell our ordinary shares having an aggregate offering price of up to $100.0 million. The remaining capacity under the ATM Sales Agreement is approximately $83.4 million as of September 30, 2023. The shares will be offered and sold pursuant to our shelf registration statement on Form S-3 filed with the SEC on November 15, 2022, which was declared effective on November 29, 2022.</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 xml:space="preserve">In March 2021, we entered into a prepaid forward agreement with RTW, pursuant to which RTW agreed to provide us with an upfront cash payment of $75.0 million to support the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the development of UGN-102, and we agreed to provide RTW with tiered future payments based on global annual net product sales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UGN-102, if approved. In May 2021, following the receipt of necessary regulatory approvals, we received the $75.0 million prepaid forward payment ($72.4 million net of transaction costs) from RTW.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On March 7, 2022, we entered into a loan agreement ("Loan Agreement") with Pharmakon for a senior secured term loan of up to $100.0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million in two tranches. The first tranche of $75.0 million ($72.6 million of proceeds were received, $70.8 million net of additional transaction</w:t>
      </w:r>
    </w:p>
    <w:p>
      <w:pPr>
        <w:spacing w:after="0" w:line="234" w:lineRule="auto"/>
        <w:rPr>
          <w:sz w:val="20"/>
          <w:szCs w:val="20"/>
          <w:color w:val="auto"/>
        </w:rPr>
      </w:pPr>
      <w:r>
        <w:rPr>
          <w:rFonts w:ascii="Arial" w:cs="Arial" w:eastAsia="Arial" w:hAnsi="Arial"/>
          <w:sz w:val="18"/>
          <w:szCs w:val="18"/>
          <w:color w:val="auto"/>
        </w:rPr>
        <w:t>costs) was funded in March 2022, and the second tranche of $25.0 million was funded in December 2022. The Pharmakon loan will</w:t>
      </w:r>
    </w:p>
    <w:p>
      <w:pPr>
        <w:spacing w:after="0" w:line="235" w:lineRule="auto"/>
        <w:rPr>
          <w:sz w:val="20"/>
          <w:szCs w:val="20"/>
          <w:color w:val="auto"/>
        </w:rPr>
      </w:pPr>
      <w:r>
        <w:rPr>
          <w:rFonts w:ascii="Arial" w:cs="Arial" w:eastAsia="Arial" w:hAnsi="Arial"/>
          <w:sz w:val="18"/>
          <w:szCs w:val="18"/>
          <w:color w:val="auto"/>
        </w:rPr>
        <w:t>mature five years from initial funding and can be prepaid in whole at our discretion, at any time, subject to prepayment premiums and make-</w:t>
      </w:r>
    </w:p>
    <w:p>
      <w:pPr>
        <w:spacing w:after="0" w:line="235" w:lineRule="auto"/>
        <w:rPr>
          <w:sz w:val="20"/>
          <w:szCs w:val="20"/>
          <w:color w:val="auto"/>
        </w:rPr>
      </w:pPr>
      <w:r>
        <w:rPr>
          <w:rFonts w:ascii="Arial" w:cs="Arial" w:eastAsia="Arial" w:hAnsi="Arial"/>
          <w:sz w:val="18"/>
          <w:szCs w:val="18"/>
          <w:color w:val="auto"/>
        </w:rPr>
        <w:t>whole amounts. The Pharmakon loan will require interest-only payments for the first 48 months followed by principal and interest payments</w:t>
      </w:r>
    </w:p>
    <w:p>
      <w:pPr>
        <w:spacing w:after="0" w:line="235" w:lineRule="auto"/>
        <w:rPr>
          <w:sz w:val="20"/>
          <w:szCs w:val="20"/>
          <w:color w:val="auto"/>
        </w:rPr>
      </w:pPr>
      <w:r>
        <w:rPr>
          <w:rFonts w:ascii="Arial" w:cs="Arial" w:eastAsia="Arial" w:hAnsi="Arial"/>
          <w:sz w:val="18"/>
          <w:szCs w:val="18"/>
          <w:color w:val="auto"/>
        </w:rPr>
        <w:t>with interest accruing using 3-month LIBOR (with a 1.25% floor) plus 8.25%. On June 29, 2023, the Loan Agreement was amended to</w:t>
      </w:r>
    </w:p>
    <w:p>
      <w:pPr>
        <w:spacing w:after="0" w:line="235" w:lineRule="auto"/>
        <w:rPr>
          <w:sz w:val="20"/>
          <w:szCs w:val="20"/>
          <w:color w:val="auto"/>
        </w:rPr>
      </w:pPr>
      <w:r>
        <w:rPr>
          <w:rFonts w:ascii="Arial" w:cs="Arial" w:eastAsia="Arial" w:hAnsi="Arial"/>
          <w:sz w:val="18"/>
          <w:szCs w:val="18"/>
          <w:color w:val="auto"/>
        </w:rPr>
        <w:t>replace the benchmark governing the interest rate with a rate based on the secured overnight financing rate ("SOFR") published by the</w:t>
      </w:r>
    </w:p>
    <w:p>
      <w:pPr>
        <w:spacing w:after="0" w:line="234" w:lineRule="auto"/>
        <w:rPr>
          <w:sz w:val="20"/>
          <w:szCs w:val="20"/>
          <w:color w:val="auto"/>
        </w:rPr>
      </w:pPr>
      <w:r>
        <w:rPr>
          <w:rFonts w:ascii="Arial" w:cs="Arial" w:eastAsia="Arial" w:hAnsi="Arial"/>
          <w:sz w:val="18"/>
          <w:szCs w:val="18"/>
          <w:color w:val="auto"/>
        </w:rPr>
        <w:t>Federal Reserve Bank of New York. Effective July 2023, the loan will accrue interest using a benchmark rate of 3-month SOFR 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0.26161% adjustment.</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July 26, 2023, we entered into a Securities Purchase Agreement (the “Purchase Agreement”) with certain institutional and other accredited investors (the “Purchasers”), pursuant to which we agreed to sell and issue to the Purchasers 12,579,156 ordinary shares of the Company (“Shares”) (or in lieu of Shares, pre-funded warrants to purchase ordinary shares of the Company) at a purchase price of $9.54 per Share (or $9.539 for each ordinary share underlying a pre-funded warrant), in a private placement transaction that closed on July 28, 2023 and August 9, 2023 (the “Private Placement”) for aggregate gross proceeds of $120.0 million, before deducting fees to placement agents and financial advisors and before other expenses. Each pre-funded warrant has an exercise price of $0.001 per ordinary share, subject to customary adjustments, and became exercisable upon original issuance and will not expire until exercised in full. The pre-funded warrants may not be exercised if the aggregate number of ordinary shares beneficially owned by the holder thereof immediately following such exercise would exceed a specified beneficial ownership limitation. The aggregate fee paid by us to placement agents and financial advisors was $3.6 million, plus the reimbursement of certain expenses.</w:t>
      </w:r>
    </w:p>
    <w:p>
      <w:pPr>
        <w:spacing w:after="0" w:line="18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We have incurred losses since our inception and negative cash flows from our operations, and as of September 30, 2023 we had an accumulated deficit of $ 653.3 million. We anticipate that we will continue to incur losses for the reasonably foreseeable future. Our primary uses of capital are, and we expect will continue to be, commercialization activities, research and development expense, including third-party clinical research and development services, laboratory and related supplies, clinical costs, including manufacturing costs, legal and other regulatory expense and general and administrative costs, partially offset by proceeds from sales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We routinely evaluate our liquidity needs, including assessment of our current financial condition, sources of liquidity including current cash and cash equivalents and marketable securities and management’s cash flow projections. Our ability to continue as a going concern is expected to be impacted by our ability to raise additional capital to fund our operations, produce cash inflows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product sales and develop UGN-102.</w:t>
      </w:r>
    </w:p>
    <w:p>
      <w:pPr>
        <w:spacing w:after="0" w:line="1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cannot estimate the actual amounts necessary to successfully commercialize any approved products, or whether, or when, we may achieve profitability. Until such time, if ever, as we can generate substantial product revenue, we expect to finance our cash needs through a combination of equity or debt financings and collaboration arrangements.</w:t>
      </w:r>
    </w:p>
    <w:p>
      <w:pPr>
        <w:sectPr>
          <w:pgSz w:w="11900" w:h="16838" w:orient="portrait"/>
          <w:cols w:equalWidth="0" w:num="1">
            <w:col w:w="11240"/>
          </w:cols>
          <w:pgMar w:left="320" w:top="125" w:right="3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p>
    <w:p>
      <w:pPr>
        <w:sectPr>
          <w:pgSz w:w="11900" w:h="16838" w:orient="portrait"/>
          <w:cols w:equalWidth="0" w:num="1">
            <w:col w:w="11240"/>
          </w:cols>
          <w:pgMar w:left="320" w:top="125" w:right="339" w:bottom="0" w:gutter="0" w:footer="0" w:header="0"/>
          <w:type w:val="continuous"/>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and material cash requirements will depend on many factors, including, among other things:</w:t>
      </w:r>
    </w:p>
    <w:p>
      <w:pPr>
        <w:spacing w:after="0" w:line="198" w:lineRule="exact"/>
        <w:rPr>
          <w:sz w:val="20"/>
          <w:szCs w:val="20"/>
          <w:color w:val="auto"/>
        </w:rPr>
      </w:pPr>
    </w:p>
    <w:p>
      <w:pPr>
        <w:ind w:left="1700" w:hanging="329"/>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timing and completion of clinical trials for UGN-102 and UGN-301;</w:t>
      </w:r>
    </w:p>
    <w:p>
      <w:pPr>
        <w:spacing w:after="0" w:line="198" w:lineRule="exact"/>
        <w:rPr>
          <w:rFonts w:ascii="Arial" w:cs="Arial" w:eastAsia="Arial" w:hAnsi="Arial"/>
          <w:sz w:val="18"/>
          <w:szCs w:val="18"/>
          <w:color w:val="auto"/>
        </w:rPr>
      </w:pPr>
    </w:p>
    <w:p>
      <w:pPr>
        <w:ind w:left="1700" w:hanging="329"/>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nonclinical studies and clinical trials for any of our other product candidates;</w:t>
      </w:r>
    </w:p>
    <w:p>
      <w:pPr>
        <w:spacing w:after="0" w:line="198" w:lineRule="exact"/>
        <w:rPr>
          <w:rFonts w:ascii="Arial" w:cs="Arial" w:eastAsia="Arial" w:hAnsi="Arial"/>
          <w:sz w:val="18"/>
          <w:szCs w:val="18"/>
          <w:color w:val="auto"/>
        </w:rPr>
      </w:pPr>
    </w:p>
    <w:p>
      <w:pPr>
        <w:ind w:left="1700" w:hanging="329"/>
        <w:spacing w:after="0" w:line="24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obtaining regulatory approval UGN-102 and UGN-301 and any of our other product candidates, and any delays we may encounter as a result of regulatory requirements or adverse clinical trial results with respect to any of these product candidates;</w:t>
      </w:r>
    </w:p>
    <w:p>
      <w:pPr>
        <w:spacing w:after="0" w:line="164" w:lineRule="exact"/>
        <w:rPr>
          <w:rFonts w:ascii="Arial" w:cs="Arial" w:eastAsia="Arial" w:hAnsi="Arial"/>
          <w:sz w:val="18"/>
          <w:szCs w:val="18"/>
          <w:color w:val="auto"/>
        </w:rPr>
      </w:pPr>
    </w:p>
    <w:p>
      <w:pPr>
        <w:jc w:val="both"/>
        <w:ind w:left="1700" w:right="340" w:hanging="329"/>
        <w:spacing w:after="0" w:line="250"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selling, marketing and patent-related activities undertaken in connection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and any of our other product candidates, and costs involved in the continued development of an effective sales and marketing organization;</w:t>
      </w:r>
    </w:p>
    <w:p>
      <w:pPr>
        <w:spacing w:after="0" w:line="169" w:lineRule="exact"/>
        <w:rPr>
          <w:rFonts w:ascii="Arial" w:cs="Arial" w:eastAsia="Arial" w:hAnsi="Arial"/>
          <w:sz w:val="18"/>
          <w:szCs w:val="18"/>
          <w:color w:val="auto"/>
        </w:rPr>
      </w:pPr>
    </w:p>
    <w:p>
      <w:pPr>
        <w:ind w:left="1700" w:right="340" w:hanging="329"/>
        <w:spacing w:after="0" w:line="24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170" w:lineRule="exact"/>
        <w:rPr>
          <w:rFonts w:ascii="Arial" w:cs="Arial" w:eastAsia="Arial" w:hAnsi="Arial"/>
          <w:sz w:val="18"/>
          <w:szCs w:val="18"/>
          <w:color w:val="auto"/>
        </w:rPr>
      </w:pPr>
    </w:p>
    <w:p>
      <w:pPr>
        <w:ind w:left="1700" w:hanging="329"/>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new product candidates we identify and attempt to develop;</w:t>
      </w:r>
    </w:p>
    <w:p>
      <w:pPr>
        <w:spacing w:after="0" w:line="192" w:lineRule="exact"/>
        <w:rPr>
          <w:rFonts w:ascii="Arial" w:cs="Arial" w:eastAsia="Arial" w:hAnsi="Arial"/>
          <w:sz w:val="18"/>
          <w:szCs w:val="18"/>
          <w:color w:val="auto"/>
        </w:rPr>
      </w:pPr>
    </w:p>
    <w:p>
      <w:pPr>
        <w:ind w:left="1700" w:right="20" w:hanging="329"/>
        <w:spacing w:after="0" w:line="26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revenues we may derive either directly or in the form of royalty payments from future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UGN-301,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 thermal hydrogel technology and any other product candidates; and</w:t>
      </w:r>
    </w:p>
    <w:p>
      <w:pPr>
        <w:spacing w:after="0" w:line="152" w:lineRule="exact"/>
        <w:rPr>
          <w:rFonts w:ascii="Arial" w:cs="Arial" w:eastAsia="Arial" w:hAnsi="Arial"/>
          <w:sz w:val="18"/>
          <w:szCs w:val="18"/>
          <w:color w:val="auto"/>
        </w:rPr>
      </w:pPr>
    </w:p>
    <w:p>
      <w:pPr>
        <w:ind w:left="1700" w:hanging="329"/>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pacing w:after="0" w:line="212"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Accordingly, we will need to obtain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that further limit or restrict our ability to take specific actions, such as incurring additional debt, making capital expenditures or declaring dividends. In addition, the terms of the Forward Contract with RTW and the Loan Agreement limit our ability to take certain actions, including incurring additional indebtedness.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For more information as to the risks associated with our future funding needs, see Part II, Item 1A – Risk Factors. 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April 2016, we signed an addendum to our November 2014 lease agreement for our executive offices located in Israel, in order to increase the office space rented and to extend the rent period until 2019. In March 2019, we utilized the agreement extension option and extended the rent period for an additional three years until August 2022. In July 2022, we signed a lease extension agreement extending the term of the lease through September 2025.</w:t>
      </w:r>
    </w:p>
    <w:p>
      <w:pPr>
        <w:spacing w:after="0" w:line="17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April 2018, we entered into a new lease agreement for an office in Los Angeles, CA. The lease commencement date was July 10, 2018 and terminates in March 2024. In November 2019, we subleased our offices in Los Angeles, CA. The lease commencement date was January 1, 2020 and terminates in March 2024. The subtenants exercised their early access clause and moved into the premises at the end of November 2019.</w:t>
      </w:r>
    </w:p>
    <w:p>
      <w:pPr>
        <w:spacing w:after="0" w:line="17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Also, in November 2019, we entered into a new lease agreement, dated effective October 31, 2019, for an office in Princeton, NJ. The lease commencement date was November 29, 2019 and the lease term is 38 months. In June 2022, we signed an amendment to our November 2019 lease agreement to extend the term for an additional three years through January 31, 2026.</w:t>
      </w:r>
    </w:p>
    <w:p>
      <w:pPr>
        <w:spacing w:after="0" w:line="17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total obligation for future minimum lease payments under our operating leases is $2.1 million as of September 30, 2023. See Note 11 to the condensed consolidated financial statements appearing elsewhere in this Quarterly Report for further information.</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March 2022, UroGen Pharma Ltd., UroGen Pharma, Inc., as the borrower ("Borrower"), and certain direct and indirect subsidiaries of the Company party thereto from time to time, as guarantors ("Guarantors" and, collectively with UroGen Pharma Ltd. and Borrower, "Credit Parties"), entered into the Loan Agreement with funds managed by Pharmakon Advisors, L.P., including BPCR Limited Partnership (as a "Lender"), BioPharma Credit Investments V (Master) LP (as a "Lender"), and BioPharma Credit PLC, as collateral agent for the Lenders (in such capacity, "Collateral Agent"), pursuant to which the Lenders agreed to make the Term Loans to the Borrower in an aggregate principal amount of up to $100.0 million to be funded in two tranches: (i) the Tranche A Loan of $ 75.0 million was advanced in March 2022 and (ii) the Tranche B Loan of $25.0 million was advanced in December 2022. The Term Loans will mature on the fifth-year anniversary of the Tranche A Closing Date (the “Maturity Date”). The Term Loans bear interest at 8.25% plus three-month LIBOR per annum with a LIBOR floor of 1.25%. On June 29, 2023, the Loan Agreement was amended ("Amended Loan Agreement") to replace the benchmark governing the interest rate with a rate based on the SOFR published by the Federal Reserve Bank of New York. Effective July 2023, the loan will accrue interest using a benchmark rate of 3-month SOFR plus a 0.26161% adjustment as described in the Amended Loan Agreement. Interest is payable quarterly in arrears. Repayment of outstanding principal of the Term Loans will be made in four equal quarterly payments of principal commencing after the 17th-quarter anniversary of the Tranche A Closing Date. 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9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Nine Months Ended September</w:t>
            </w: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5"/>
          </w:tcPr>
          <w:p>
            <w:pPr>
              <w:jc w:val="center"/>
              <w:ind w:right="400"/>
              <w:spacing w:after="0" w:line="196" w:lineRule="exact"/>
              <w:rPr>
                <w:sz w:val="20"/>
                <w:szCs w:val="20"/>
                <w:color w:val="auto"/>
              </w:rPr>
            </w:pPr>
            <w:r>
              <w:rPr>
                <w:rFonts w:ascii="Arial" w:cs="Arial" w:eastAsia="Arial" w:hAnsi="Arial"/>
                <w:sz w:val="18"/>
                <w:szCs w:val="18"/>
                <w:b w:val="1"/>
                <w:bCs w:val="1"/>
                <w:color w:val="auto"/>
                <w:w w:val="99"/>
              </w:rPr>
              <w:t>(in thousands)</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1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(63,380)</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(65,807)</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Investing activities</w:t>
            </w:r>
          </w:p>
        </w:tc>
        <w:tc>
          <w:tcPr>
            <w:tcW w:w="1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10,391</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(22,048)</w:t>
            </w: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Financing activities</w:t>
            </w:r>
          </w:p>
        </w:tc>
        <w:tc>
          <w:tcPr>
            <w:tcW w:w="1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116,891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71,766</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change in cash and cash equivalents</w:t>
            </w:r>
          </w:p>
        </w:tc>
        <w:tc>
          <w:tcPr>
            <w:tcW w:w="224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63,902</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(16,089)</w:t>
            </w: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Net cash used in operating activities was $63.4 million during the nine months ended September 30, 2023, compared to $65.8 million during the nine months ended September 30, 2022. The $2.4 million decrease was attributable primarily to timing of certain accruals, as well as increase in net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during 2023 and higher inventory purchases, including non-current inventory, in 2022, partially offset by increase in interest on long-term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Net cash provided by investing activities was $10.4 million during the nine months ended September 30, 2023, compared to net cash used in investing activities of $22.0 million during the nine months ended September 30, 2022. The net change of $32.4 million is attributable primarily to less investment of marketable securities in 2023 as compared to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Net cash provided by financing activities was $116.9 million during the nine months ended September 30, 2023, compared to $71.8 million during the nine months ended September 30, 2022. The increase of $45.1 million is attributable primarily to proceeds from the Private Placement in the current year as compared to proceeds from the Pharmakon loan in the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cash equivalents and marketable securities. As of September 30, 2023, we had $153.9 million in cash and cash equivalents and marketable securities. We invest our cash primarily in money market accounts, but from time to time may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 on September 30, 2023, this change would not have had a material effect on the fair value of our cash, cash equivalents and marketable securities as of that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Inflation generally may affect us by increasing our cost of labor and clinical trial costs. Inflation has not had a material effect on our business, financial condition or results of operations during the three and nine months ended September 30, 2023 or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the New Israeli Shekel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dollar appreciated against the NIS during 2022 by a total of 11.9%. If the dollar cost of our operations in Israel increases, our dollar-measured results of operations will be adversely affected. Our operations also could be adversely affected if we are unable to effectively hedge against currency fluctuations in the future. If a 10% change in NIS-to-Dollar exchange rates were to have occurred during the nine months ended September 30, 2023, this change would not have had a material effect on our operating expenses.</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principal executive officer and principal financial officer concluded that, as of such date, our disclosure controls and procedures were effective at a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8"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Changes in our internal control over financial reporting may include such activities as implementing new, more efficient systems, consolidating activities, and migrating processes. There were no changes in our internal control over financial reporting during the quarter ended September 30, 2023 that have materially affected, or are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i w:val="1"/>
          <w:iCs w:val="1"/>
          <w:color w:val="auto"/>
        </w:rPr>
        <w:t xml:space="preserve">Below is a summary of the material factors that make an investment in our ordinary shares speculative or risky. This summary does not address all of the risks that we face. Additional discussion of the risks summarized in this risk factor summary, and other risks that we face, can be found below under the heading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should be carefully considered, together with other information in this Quarterly Report and our other filings with the U.S. Securities and Exchange Commission ("SEC") before making investment decisions regarding our ordinary shares.</w:t>
      </w:r>
    </w:p>
    <w:p>
      <w:pPr>
        <w:spacing w:after="0" w:line="177" w:lineRule="exact"/>
        <w:rPr>
          <w:sz w:val="20"/>
          <w:szCs w:val="20"/>
          <w:color w:val="auto"/>
        </w:rPr>
      </w:pPr>
    </w:p>
    <w:p>
      <w:pPr>
        <w:jc w:val="both"/>
        <w:ind w:left="900" w:hanging="447"/>
        <w:spacing w:after="0" w:line="24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p>
      <w:pPr>
        <w:spacing w:after="0" w:line="164"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are highly dependent on the successful commercialization of our only approved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900" w:right="20" w:hanging="447"/>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have limited experience as an organization in marketing and distributing products and are therefore subject to certain risks in relation to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w:t>
      </w:r>
    </w:p>
    <w:p>
      <w:pPr>
        <w:spacing w:after="0" w:line="153" w:lineRule="exact"/>
        <w:rPr>
          <w:rFonts w:ascii="Arial" w:cs="Arial" w:eastAsia="Arial" w:hAnsi="Arial"/>
          <w:sz w:val="18"/>
          <w:szCs w:val="18"/>
          <w:color w:val="auto"/>
        </w:rPr>
      </w:pPr>
    </w:p>
    <w:p>
      <w:pPr>
        <w:ind w:left="900" w:right="160" w:hanging="447"/>
        <w:spacing w:after="0" w:line="26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market opportunities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smaller than we anticipate or limited to those patients who are ineligible for established therapies or for whom prior therapies have failed and may be small.</w:t>
      </w:r>
    </w:p>
    <w:p>
      <w:pPr>
        <w:spacing w:after="0" w:line="146" w:lineRule="exact"/>
        <w:rPr>
          <w:rFonts w:ascii="Arial" w:cs="Arial" w:eastAsia="Arial" w:hAnsi="Arial"/>
          <w:sz w:val="18"/>
          <w:szCs w:val="18"/>
          <w:color w:val="auto"/>
        </w:rPr>
      </w:pPr>
    </w:p>
    <w:p>
      <w:pPr>
        <w:ind w:left="900" w:right="320" w:hanging="447"/>
        <w:spacing w:after="0" w:line="26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may fail to achieve the broad degree of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use and market acceptance necessary for commercial success.</w:t>
      </w:r>
    </w:p>
    <w:p>
      <w:pPr>
        <w:spacing w:after="0" w:line="146" w:lineRule="exact"/>
        <w:rPr>
          <w:rFonts w:ascii="Arial" w:cs="Arial" w:eastAsia="Arial" w:hAnsi="Arial"/>
          <w:sz w:val="18"/>
          <w:szCs w:val="18"/>
          <w:color w:val="auto"/>
        </w:rPr>
      </w:pPr>
    </w:p>
    <w:p>
      <w:pPr>
        <w:ind w:left="900" w:right="120" w:hanging="447"/>
        <w:spacing w:after="0" w:line="26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our product candidates, if approved, will face significant competition with competing technologies and our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effectively may prevent us from achieving significant market penetration.</w:t>
      </w:r>
    </w:p>
    <w:p>
      <w:pPr>
        <w:spacing w:after="0" w:line="146" w:lineRule="exact"/>
        <w:rPr>
          <w:rFonts w:ascii="Arial" w:cs="Arial" w:eastAsia="Arial" w:hAnsi="Arial"/>
          <w:sz w:val="18"/>
          <w:szCs w:val="18"/>
          <w:color w:val="auto"/>
        </w:rPr>
      </w:pPr>
    </w:p>
    <w:p>
      <w:pPr>
        <w:ind w:left="900" w:right="680" w:hanging="447"/>
        <w:spacing w:after="0" w:line="26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Jelmyto</w:t>
      </w:r>
      <w:r>
        <w:rPr>
          <w:rFonts w:ascii="Arial" w:cs="Arial" w:eastAsia="Arial" w:hAnsi="Arial"/>
          <w:sz w:val="18"/>
          <w:szCs w:val="18"/>
          <w:color w:val="auto"/>
        </w:rPr>
        <w:t>, we are dependent on the success of our lead product candidate, UGN-102, and our other product candidates, including obtaining regulatory approval to market our product candidates in the United States.</w:t>
      </w:r>
    </w:p>
    <w:p>
      <w:pPr>
        <w:spacing w:after="0" w:line="152"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UGN-102 may not meet its secondary endpoint in the ongoing Phase 3 ENVISION trial.</w:t>
      </w:r>
    </w:p>
    <w:p>
      <w:pPr>
        <w:spacing w:after="0" w:line="198" w:lineRule="exact"/>
        <w:rPr>
          <w:rFonts w:ascii="Arial" w:cs="Arial" w:eastAsia="Arial" w:hAnsi="Arial"/>
          <w:sz w:val="18"/>
          <w:szCs w:val="18"/>
          <w:color w:val="auto"/>
        </w:rPr>
      </w:pPr>
    </w:p>
    <w:p>
      <w:pPr>
        <w:ind w:left="900" w:right="60" w:hanging="447"/>
        <w:spacing w:after="0" w:line="24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900" w:hanging="447"/>
        <w:spacing w:after="0" w:line="269"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52" w:lineRule="exact"/>
        <w:rPr>
          <w:rFonts w:ascii="Arial" w:cs="Arial" w:eastAsia="Arial" w:hAnsi="Arial"/>
          <w:sz w:val="17"/>
          <w:szCs w:val="17"/>
          <w:color w:val="auto"/>
        </w:rPr>
      </w:pPr>
    </w:p>
    <w:p>
      <w:pPr>
        <w:ind w:left="900" w:right="20" w:hanging="447"/>
        <w:spacing w:after="0" w:line="23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currently contract with third-party subcontractors and single-source suppliers for certain raw materials,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UGN-102, UGN-201 or UGN-301 or be able to obtain such quantities at an acceptable cost, which could delay, prevent or impair our development or commercialization efforts.</w:t>
      </w:r>
    </w:p>
    <w:p>
      <w:pPr>
        <w:spacing w:after="0" w:line="183" w:lineRule="exact"/>
        <w:rPr>
          <w:rFonts w:ascii="Arial" w:cs="Arial" w:eastAsia="Arial" w:hAnsi="Arial"/>
          <w:sz w:val="18"/>
          <w:szCs w:val="18"/>
          <w:color w:val="auto"/>
        </w:rPr>
      </w:pPr>
    </w:p>
    <w:p>
      <w:pPr>
        <w:ind w:left="900" w:right="134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may incur substantial liabilities and may be required to limit commercialization of any of our other products we develop.</w:t>
      </w:r>
    </w:p>
    <w:p>
      <w:pPr>
        <w:spacing w:after="0" w:line="159" w:lineRule="exact"/>
        <w:rPr>
          <w:rFonts w:ascii="Arial" w:cs="Arial" w:eastAsia="Arial" w:hAnsi="Arial"/>
          <w:sz w:val="18"/>
          <w:szCs w:val="18"/>
          <w:color w:val="auto"/>
        </w:rPr>
      </w:pPr>
    </w:p>
    <w:p>
      <w:pPr>
        <w:ind w:left="900" w:right="50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personnel, we may be unable to successfully develop our product candidates, conduct our clinical trials and commercialize any of the products we develop.</w:t>
      </w:r>
    </w:p>
    <w:p>
      <w:pPr>
        <w:spacing w:after="0" w:line="159" w:lineRule="exact"/>
        <w:rPr>
          <w:rFonts w:ascii="Arial" w:cs="Arial" w:eastAsia="Arial" w:hAnsi="Arial"/>
          <w:sz w:val="18"/>
          <w:szCs w:val="18"/>
          <w:color w:val="auto"/>
        </w:rPr>
      </w:pPr>
    </w:p>
    <w:p>
      <w:pPr>
        <w:ind w:left="900" w:right="380" w:hanging="447"/>
        <w:spacing w:after="0" w:line="24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70" w:lineRule="exact"/>
        <w:rPr>
          <w:rFonts w:ascii="Arial" w:cs="Arial" w:eastAsia="Arial" w:hAnsi="Arial"/>
          <w:sz w:val="18"/>
          <w:szCs w:val="18"/>
          <w:color w:val="auto"/>
        </w:rPr>
      </w:pPr>
    </w:p>
    <w:p>
      <w:pPr>
        <w:ind w:left="900" w:right="84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indebtedness resulting from our Loan Agreement could adversely affect our financial condition or restrict our future operations.</w:t>
      </w:r>
    </w:p>
    <w:p>
      <w:pPr>
        <w:spacing w:after="0" w:line="159" w:lineRule="exact"/>
        <w:rPr>
          <w:rFonts w:ascii="Arial" w:cs="Arial" w:eastAsia="Arial" w:hAnsi="Arial"/>
          <w:sz w:val="18"/>
          <w:szCs w:val="18"/>
          <w:color w:val="auto"/>
        </w:rPr>
      </w:pPr>
    </w:p>
    <w:p>
      <w:pPr>
        <w:ind w:left="900" w:right="18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59" w:lineRule="exact"/>
        <w:rPr>
          <w:rFonts w:ascii="Arial" w:cs="Arial" w:eastAsia="Arial" w:hAnsi="Arial"/>
          <w:sz w:val="18"/>
          <w:szCs w:val="18"/>
          <w:color w:val="auto"/>
        </w:rPr>
      </w:pPr>
    </w:p>
    <w:p>
      <w:pPr>
        <w:ind w:left="900" w:right="380" w:hanging="447"/>
        <w:spacing w:after="0" w:line="24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FDA does not conclude that UGN-102 satisfies the requirements under 505(b)(2), or if the requirements for our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74" w:lineRule="exact"/>
        <w:rPr>
          <w:rFonts w:ascii="Arial" w:cs="Arial" w:eastAsia="Arial" w:hAnsi="Arial"/>
          <w:sz w:val="18"/>
          <w:szCs w:val="18"/>
          <w:color w:val="auto"/>
        </w:rPr>
      </w:pPr>
    </w:p>
    <w:p>
      <w:pPr>
        <w:ind w:left="900" w:right="220" w:hanging="447"/>
        <w:spacing w:after="0" w:line="24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68"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ongoing regulatory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regulatory review, which may result in significant additional expenses, limit or withdraw regulatory approval and subject us to penalties if we fail to comply with applicable regulatory requirements.</w:t>
      </w:r>
    </w:p>
    <w:p>
      <w:pPr>
        <w:spacing w:after="0" w:line="169" w:lineRule="exact"/>
        <w:rPr>
          <w:rFonts w:ascii="Arial" w:cs="Arial" w:eastAsia="Arial" w:hAnsi="Arial"/>
          <w:sz w:val="18"/>
          <w:szCs w:val="18"/>
          <w:color w:val="auto"/>
        </w:rPr>
      </w:pPr>
    </w:p>
    <w:p>
      <w:pPr>
        <w:ind w:left="900" w:right="24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be difficult for us to profitably sell our product candidates if coverage and reimbursement for these products is limited by government authorities and/or third-party payor policies.</w:t>
      </w:r>
    </w:p>
    <w:p>
      <w:pPr>
        <w:spacing w:after="0" w:line="159" w:lineRule="exact"/>
        <w:rPr>
          <w:rFonts w:ascii="Arial" w:cs="Arial" w:eastAsia="Arial" w:hAnsi="Arial"/>
          <w:sz w:val="18"/>
          <w:szCs w:val="18"/>
          <w:color w:val="auto"/>
        </w:rPr>
      </w:pPr>
    </w:p>
    <w:p>
      <w:pPr>
        <w:ind w:left="900" w:right="6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research and development and other significant operations are located in Israel and, therefore, our results may be adversely affected by political, economic and military instability in Israel.</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i w:val="1"/>
          <w:iCs w:val="1"/>
          <w:color w:val="auto"/>
        </w:rPr>
        <w:t xml:space="preserve">You should carefully consider the following risk factors, as well as the other information in this Quarterly Report, before deciding whether to purchase, hold or sell shares of our ordinary shares. The occurrence of any of the following risks could harm our business, financial condition, results of operations and/or growth prospects or cause our actual results to differ materially from those contained in forward-looking statements we have made in this Quarterly Report and those we may make from time to time. When evaluating our business, you should consider all of the factors described as well as the other information in our Annual Report and this Quarterly Report, including our financial statements and the related notes,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i w:val="1"/>
          <w:iCs w:val="1"/>
          <w:color w:val="auto"/>
        </w:rPr>
        <w:t>Operation</w:t>
      </w:r>
      <w:r>
        <w:rPr>
          <w:rFonts w:ascii="Arial" w:cs="Arial" w:eastAsia="Arial" w:hAnsi="Arial"/>
          <w:sz w:val="18"/>
          <w:szCs w:val="18"/>
          <w:color w:val="auto"/>
        </w:rPr>
        <w:t>”</w:t>
      </w:r>
      <w:r>
        <w:rPr>
          <w:rFonts w:ascii="Arial" w:cs="Arial" w:eastAsia="Arial" w:hAnsi="Arial"/>
          <w:sz w:val="18"/>
          <w:szCs w:val="18"/>
          <w:i w:val="1"/>
          <w:iCs w:val="1"/>
          <w:color w:val="auto"/>
        </w:rPr>
        <w:t xml:space="preserve"> and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We have marked with an asterisk (*) those risk factors that did not appear as risk factors in, or contain changes to the similarly titled risk factors included in, Item 1A of our Annual Report. If any of the following risks actually occurs, our business, financial condition, results of operations and future growth prospects would likely be materially and adversely affected. In these circumstances, the market price of our ordinary shares would likely decline and you may lose all or part of your investment. Additional risks and uncertainties not presently known to us or that we currently deem immaterial also may impair our business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12" w:lineRule="exact"/>
        <w:rPr>
          <w:sz w:val="20"/>
          <w:szCs w:val="20"/>
          <w:color w:val="auto"/>
        </w:rPr>
      </w:pPr>
    </w:p>
    <w:p>
      <w:pPr>
        <w:jc w:val="both"/>
        <w:ind w:right="520"/>
        <w:spacing w:after="0" w:line="260"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 biotechnology company with a limited operating history upon which you can evaluate our business and prospects. We are not profitable and have incurred net losses in each period since we commenced operations in 2004, including net losses of $109.8 million for the year ended December 31, 2022 and a net loss of $76.3 million for the nine months ended September 30, 2023. As of September 30, 2023, we had an accumulated deficit of $653.3 million. We expect to continue to incur significant expenses and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nonclinical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nonclinical drug candidates and any other drug candidates that we may develop in the future. Other unanticipated costs may also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12"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and the costs involved in, clinical development and obtaining regulatory approvals for our product candidates;</w:t>
      </w:r>
    </w:p>
    <w:p>
      <w:pPr>
        <w:spacing w:after="0" w:line="198" w:lineRule="exact"/>
        <w:rPr>
          <w:rFonts w:ascii="Arial" w:cs="Arial" w:eastAsia="Arial" w:hAnsi="Arial"/>
          <w:sz w:val="18"/>
          <w:szCs w:val="18"/>
          <w:color w:val="auto"/>
        </w:rPr>
      </w:pPr>
    </w:p>
    <w:p>
      <w:pPr>
        <w:ind w:left="900" w:right="200" w:hanging="447"/>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during the development phase that can delay or force us to stop our activities related to any of our product candidates;</w:t>
      </w:r>
    </w:p>
    <w:p>
      <w:pPr>
        <w:spacing w:after="0" w:line="153" w:lineRule="exact"/>
        <w:rPr>
          <w:rFonts w:ascii="Arial" w:cs="Arial" w:eastAsia="Arial" w:hAnsi="Arial"/>
          <w:sz w:val="18"/>
          <w:szCs w:val="18"/>
          <w:color w:val="auto"/>
        </w:rPr>
      </w:pPr>
    </w:p>
    <w:p>
      <w:pPr>
        <w:ind w:left="900" w:right="500" w:hanging="447"/>
        <w:spacing w:after="0" w:line="26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cost of commercialization activities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products approved for sale, including marketing, sales and distribution costs;</w:t>
      </w:r>
    </w:p>
    <w:p>
      <w:pPr>
        <w:spacing w:after="0" w:line="146"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degree of success in commercializing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third-party manufacturing of our products candidates and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any other product candidates we develop or acquire;</w:t>
      </w:r>
    </w:p>
    <w:p>
      <w:pPr>
        <w:spacing w:after="0" w:line="198" w:lineRule="exact"/>
        <w:rPr>
          <w:rFonts w:ascii="Arial" w:cs="Arial" w:eastAsia="Arial" w:hAnsi="Arial"/>
          <w:sz w:val="18"/>
          <w:szCs w:val="18"/>
          <w:color w:val="auto"/>
        </w:rPr>
      </w:pPr>
    </w:p>
    <w:p>
      <w:pPr>
        <w:ind w:left="900" w:right="320" w:hanging="447"/>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commercialization arrangements, and the terms and timing of such arrangements;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and rate of market acceptance of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98" w:lineRule="exact"/>
        <w:rPr>
          <w:rFonts w:ascii="Arial" w:cs="Arial" w:eastAsia="Arial" w:hAnsi="Arial"/>
          <w:sz w:val="18"/>
          <w:szCs w:val="18"/>
          <w:color w:val="auto"/>
        </w:rPr>
      </w:pPr>
    </w:p>
    <w:p>
      <w:pPr>
        <w:ind w:left="900" w:right="380" w:hanging="447"/>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and other intellectual property claims, including potential litigation costs, and the outcome of such litigation;</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future approved products, if any;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 or business arrangements;</w:t>
      </w:r>
    </w:p>
    <w:p>
      <w:pPr>
        <w:spacing w:after="0" w:line="198" w:lineRule="exact"/>
        <w:rPr>
          <w:rFonts w:ascii="Arial" w:cs="Arial" w:eastAsia="Arial" w:hAnsi="Arial"/>
          <w:sz w:val="18"/>
          <w:szCs w:val="18"/>
          <w:color w:val="auto"/>
        </w:rPr>
      </w:pPr>
    </w:p>
    <w:p>
      <w:pPr>
        <w:ind w:left="900" w:right="260" w:hanging="447"/>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scientific breakthroughs in the field of urothelial cancer treatment and diagnosis that could significantly diminish the demand for our product candidates or make them obsolete; and</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or other laws, regulations or policies that could have a negative impact on our future revenue stream.</w:t>
      </w:r>
    </w:p>
    <w:p>
      <w:pPr>
        <w:sectPr>
          <w:pgSz w:w="11900" w:h="16838" w:orient="portrait"/>
          <w:cols w:equalWidth="0" w:num="1">
            <w:col w:w="11240"/>
          </w:cols>
          <w:pgMar w:left="320" w:top="126" w:right="339" w:bottom="305"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305"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In addition, we have limited experience and have not yet demonstrated an ability to successfully overcome many of the risks and uncertainties frequently encountered by companies in new and rapidly evolving fields, particularly in the biotechnology industry. Drug development is a highly speculative undertaking and involves a substantial degree of risk. To date, we have not obtained regulatory approval for or commercialized any product except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4"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b w:val="1"/>
          <w:bCs w:val="1"/>
          <w:i w:val="1"/>
          <w:iCs w:val="1"/>
          <w:color w:val="auto"/>
        </w:rPr>
        <w:t>We will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p>
      <w:pPr>
        <w:spacing w:after="0" w:line="147"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 xml:space="preserve">We are not profitable and have had negative cash flow from operations since our inception. Since our inception, almost all our resources have been dedicated to the nonclinical and clinical development of our first commercial product,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our lead product candidate UGN-102. As of September 30, 2023, we had cash and cash equivalents and marketable securities of $153.9 million. To fund our operations and develop our product candidates and commercialize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we have relied primarily on equity and debt financings and, following the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June 2020, revenue generated from sales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March 2021, we announced a transaction with RTW Investments ("RTW") totaling $75 million in funding for our company, which was received in May 2021, to support the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the development of UGN-102. In return for the upfront cash payment, RTW is entitled to receive tiered future payments based on global annual net product sales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UGN-102, if approved. In March 2022, we entered into the Loan Agreement, pursuant to which the Lenders agreed to make the Term Loans to Borrower in an aggregate principal amount of up to $100 million to be funded in two tranches. The first tranche of $75.0 million ($72.6 million of proceeds were received, $70.8 million net of additional transaction costs) was funded</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March 2022, and the second tranche of $25.0 million was funded in December 2022. In July 2023, we entered into a private placement transaction with certain institutional and other accredited investors pursuant to which the Company agreed to sell its ordinary shares and pre-funded warrants to purchase ordinary shares to the investors, for aggregate gross proceeds of $120.0 million ($ 116.1 million net of issuance cost), $115.0 million of which closed on July 28, 2023 and the remaining $5.0 million of which closed on August 9, 2023.</w:t>
      </w:r>
    </w:p>
    <w:p>
      <w:pPr>
        <w:spacing w:after="0" w:line="17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 will require additional capital to complete clinical trials, obtain regulatory approval for and commercialize our product candidates, and otherwise fund our operations. Our operating plan may change as a result of many factors currently unknown to us, and we may need to seek additional funds sooner than planned, through public or private equity financings, convertible debt or debt financings, third-party funding, marketing and distribution arrangements, as well as other collaborations, strategic alliances and licensing arrangements, or a combination of these approaches. In any event, we will require additional capital to pursue nonclinical and clinical activities, and pursue regulatory approval for, and to commercialize, our pipeline product candidates.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favorable terms,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212" w:lineRule="exact"/>
        <w:rPr>
          <w:sz w:val="20"/>
          <w:szCs w:val="20"/>
          <w:color w:val="auto"/>
        </w:rPr>
      </w:pPr>
    </w:p>
    <w:p>
      <w:pPr>
        <w:ind w:left="900" w:right="60" w:hanging="447"/>
        <w:spacing w:after="0" w:line="26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development activities for our product candidates or any of our future product candidates;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limit, reduce or terminate our other research and development activities; or</w:t>
      </w:r>
    </w:p>
    <w:p>
      <w:pPr>
        <w:spacing w:after="0" w:line="198" w:lineRule="exact"/>
        <w:rPr>
          <w:rFonts w:ascii="Arial" w:cs="Arial" w:eastAsia="Arial" w:hAnsi="Arial"/>
          <w:sz w:val="18"/>
          <w:szCs w:val="18"/>
          <w:color w:val="auto"/>
        </w:rPr>
      </w:pPr>
    </w:p>
    <w:p>
      <w:pPr>
        <w:ind w:left="900" w:right="100" w:hanging="447"/>
        <w:spacing w:after="0" w:line="24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delay, limit, reduce or terminate our establishment or expansion of manufacturing, sales and marketing or distribution capabilities or other activities that may be necessary to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that obtain marketing approval.</w:t>
      </w:r>
    </w:p>
    <w:p>
      <w:pPr>
        <w:spacing w:after="0" w:line="184"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880"/>
        <w:spacing w:after="0" w:line="285" w:lineRule="auto"/>
        <w:rPr>
          <w:sz w:val="20"/>
          <w:szCs w:val="20"/>
          <w:color w:val="auto"/>
        </w:rPr>
      </w:pPr>
      <w:r>
        <w:rPr>
          <w:rFonts w:ascii="Arial" w:cs="Arial" w:eastAsia="Arial" w:hAnsi="Arial"/>
          <w:sz w:val="18"/>
          <w:szCs w:val="18"/>
          <w:b w:val="1"/>
          <w:bCs w:val="1"/>
          <w:i w:val="1"/>
          <w:iCs w:val="1"/>
          <w:color w:val="auto"/>
        </w:rPr>
        <w:t>Our indebtedness resulting from our Loan Agreement could adversely affect our financial condition or restrict our future operations.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March 7, 2022, UroGen Pharma Ltd., UroGen Pharma, Inc., as the borrower (“Borrower”), and certain direct and indirect subsidiaries of the Company party thereto from time to time, as guarantors (“Guarantors”) and, collectively with UroGen Pharma Ltd. and Borrower (“Credit Parties”) entered into a loan agreement (“Loan Agreement”) with funds managed by Pharmakon Advisors, L.P., including BPCR Limited Partnership (as a “Lender”), BioPharma Credit Investments V (Master) LP (as a “Lender”), and BioPharma Credit PLC, as collateral agent for the Lenders (in such capacity, "Collateral Agent"), pursuant to which the Lenders agreed to make term loans to the Borrower in an aggregate principal amount of up to $100 million ("Term Loans"), to be funded in two tranches: (i) the first tranche (“Tranche A Loan”) was advanced in the amount of $75 million, in March 2022 (“Tranche A Closing Date”) and (ii) the second tranche (“Tranche B Loan”) of $25 million was advanced in December 2022.</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Loan Agreement contains negative covenants that, among other things and subject to certain exceptions, restrict our ability to:</w:t>
      </w:r>
    </w:p>
    <w:p>
      <w:pPr>
        <w:spacing w:after="0" w:line="198" w:lineRule="exact"/>
        <w:rPr>
          <w:sz w:val="20"/>
          <w:szCs w:val="20"/>
          <w:color w:val="auto"/>
        </w:rPr>
      </w:pPr>
    </w:p>
    <w:p>
      <w:pPr>
        <w:ind w:left="920" w:hanging="12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dispose of assets, including certain intellectual property;</w:t>
      </w:r>
    </w:p>
    <w:p>
      <w:pPr>
        <w:spacing w:after="0" w:line="7" w:lineRule="exact"/>
        <w:rPr>
          <w:rFonts w:ascii="Arial" w:cs="Arial" w:eastAsia="Arial" w:hAnsi="Arial"/>
          <w:sz w:val="18"/>
          <w:szCs w:val="18"/>
          <w:color w:val="auto"/>
        </w:rPr>
      </w:pPr>
    </w:p>
    <w:p>
      <w:pPr>
        <w:ind w:left="920" w:hanging="12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modify or waive certain agreements or organizational documents;</w:t>
      </w:r>
    </w:p>
    <w:p>
      <w:pPr>
        <w:ind w:left="920" w:hanging="12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consummate certain change in control transactions;</w:t>
      </w:r>
    </w:p>
    <w:p>
      <w:pPr>
        <w:ind w:left="920" w:hanging="12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certain additional indebtedness;</w:t>
      </w:r>
    </w:p>
    <w:p>
      <w:pPr>
        <w:ind w:left="920" w:hanging="12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any non-permitted lien or other encumbrance on the Credit Parties’ assets;</w:t>
      </w:r>
    </w:p>
    <w:p>
      <w:pPr>
        <w:ind w:left="920" w:hanging="12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any distribution or payment on or redeem, retire or purchase any equity interests; and</w:t>
      </w:r>
    </w:p>
    <w:p>
      <w:pPr>
        <w:ind w:left="920" w:hanging="12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payments of certain subordinated indebtedness.</w:t>
      </w:r>
    </w:p>
    <w:p>
      <w:pPr>
        <w:spacing w:after="0" w:line="18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addition, we are required under the Loan Agreement to comply with various operating covenants and default clauses that may restrict our ability to finance our operations, engage in business activities or expand or fully pursue our business strategies. A breach of any of these covenants or clauses could result in a default under the Loan Agreement, which could cause all of the outstanding indebtedness under the facility to become immediately due and payable, including a make whole amount and prepayment premium.</w:t>
      </w:r>
    </w:p>
    <w:p>
      <w:pPr>
        <w:spacing w:after="0" w:line="17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If we are unable to generate sufficient cash to repay our debt obligations when they become due and payable, we may not be able to obtain additional debt or equity financing on favorable terms, if at all, which may negatively affect our business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under our Prepaid Forward Contract with RTW restrict our ability to borrow additional capital.</w:t>
      </w:r>
    </w:p>
    <w:p>
      <w:pPr>
        <w:spacing w:after="0" w:line="20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In March 2021, we entered into a Prepaid Forward Contract (the “Forward Contract”) with RTW, pursuant to which we are obligated to make tiered cash payments to RTW, based on the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subject to FDA approval, UGN-102 (together, the “Products”), subject to an aggregate revenue cap of $300 million.</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Until the earlier of such time that (i) our aggregate worldwide annual net product sales of the Products reach a certain threshold or (ii) our market capitalization reaches a certain threshold, (a) we have granted RTW a security interest in the Products and the regulatory approvals, intellectual property, material agreements, proceeds and accounts receivable related to the Products (the “Product Collateral”), (b) we are subject to a negative pledge in respect of the Product Collateral and (c) we may not incur additional indebtedness secured by Product Collateral without such secured debt provider entering into a intercreditor agreement with RTW. Upon the occurrence of an insolvency event, as defined in the Forward Contract, any remaining payment obligations under the Forward Contract will be automatically accelerated.</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Forward Contract requires us to use a significant portion of our cash flow to make payments to RTW, limits our ability to borrow additional funds for working capital, capital expenditures or other general business purposes, limits our flexibility to plan for, or react to, changes in our business and industry, places us at a competitive disadvantage compared to our competitors not subject to similar restrictions and increases our vulnerability to the impact of adverse economic industry conditions.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To the extent that we raise additional capital through the sale of equity or convertible debt securities, including pursuant to the ATM Sales Agreement,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successful commercialization of our only approved product, Jelmyto.*</w:t>
      </w:r>
    </w:p>
    <w:p>
      <w:pPr>
        <w:spacing w:after="0" w:line="202"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our first product, which we commercially launched in the United States in June 2020. We have not commercialized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 candidates. We have invested significant efforts and financial resources in the research and development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first and only product approved for commercial sale. We are focusing a significant portion of our activities and resources 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believe our prospects are highly dependent on, and a significant portion of the value of our company relates to, our ability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 xml:space="preserve">Successful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subject to many risks. We initiated our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June 2020, and prior to that, we had never, as an organization, launched or commercialized any product. There is no guarantee that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or our future commercialization efforts will be successful, or that we will be able to successfully launch and commercialize any other product candidates that receive regulatory approval. There are numerous examples of unsuccessful product launches and failures to meet high expectations of market potential, including by pharmaceutical companies with more experience and resources than us. While we have established our commercial team and have hired our U.S. sales force, we will need to maintain, further train and develop our team in order to be prepared to successfully coordinate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Even if we are successful in maintaining and further developing our commercial team, there are many factors that could cause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to be unsuccessful, including a number of factors that are outside our control. We must also properly educate physicians and nurses on the skillful preparation and administration of </w:t>
      </w:r>
      <w:r>
        <w:rPr>
          <w:rFonts w:ascii="Arial" w:cs="Arial" w:eastAsia="Arial" w:hAnsi="Arial"/>
          <w:sz w:val="17"/>
          <w:szCs w:val="17"/>
          <w:i w:val="1"/>
          <w:iCs w:val="1"/>
          <w:color w:val="auto"/>
        </w:rPr>
        <w:t>Jelmyto</w:t>
      </w:r>
      <w:r>
        <w:rPr>
          <w:rFonts w:ascii="Arial" w:cs="Arial" w:eastAsia="Arial" w:hAnsi="Arial"/>
          <w:sz w:val="17"/>
          <w:szCs w:val="17"/>
          <w:color w:val="auto"/>
        </w:rPr>
        <w:t>, and develop a broad experiential knowledge base of aggregated clinician feedback from which we can refine appropriate procedures for product administration, without which there could be a risk of adverse events.</w:t>
      </w:r>
    </w:p>
    <w:p>
      <w:pPr>
        <w:spacing w:after="0" w:line="1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Because no drug has previously been approved by the FDA for the treatment of low-grade UTUC, it is especially difficult to estimate </w:t>
      </w:r>
      <w:r>
        <w:rPr>
          <w:rFonts w:ascii="Arial" w:cs="Arial" w:eastAsia="Arial" w:hAnsi="Arial"/>
          <w:sz w:val="18"/>
          <w:szCs w:val="18"/>
          <w:i w:val="1"/>
          <w:iCs w:val="1"/>
          <w:color w:val="auto"/>
        </w:rPr>
        <w:t>Jelmyto</w:t>
      </w:r>
      <w:r>
        <w:rPr>
          <w:rFonts w:ascii="Arial" w:cs="Arial" w:eastAsia="Arial" w:hAnsi="Arial"/>
          <w:sz w:val="18"/>
          <w:szCs w:val="18"/>
          <w:color w:val="auto"/>
        </w:rPr>
        <w:t>’s market potential. The commercial success of</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depends on the extent to which patients and physicians accept and adopt</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as a treatment for low-grade UTUC, and we do not know whether our or others’ estimates in this regard will be accurate.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 if the patient population suffering from low-grade UTUC is smaller than we estimate or if physicians are unwilling to prescribe or patients are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due to label warnings, adverse events associated with product administration or other reasons,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will be limited. Physicians may not prescribe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patients may be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if coverage is not provided or reimbursement is inadequate to cover a significant portion of the cost. Additionally, any negative development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our post-marketing commitments, or in regulatory processes in other jurisdictions, may adversely impact the commercial results and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Thus, significant uncertainty remains regarding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7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 xml:space="preserve">In addition,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subsequent commercialization efforts could be hindered by pandemics, epidemics or public health emergencies, although we are currently not able to predict or quantify any such potential impact with any degree of certainty.</w:t>
      </w:r>
    </w:p>
    <w:p>
      <w:pPr>
        <w:spacing w:after="0" w:line="12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If the launch or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unsuccessful or perceived as disappointing, our share price could decline significantly and the long-term success of the product and our company could be harmed.</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i w:val="1"/>
          <w:iCs w:val="1"/>
          <w:color w:val="auto"/>
        </w:rPr>
        <w:t>Jelmyto has only been studied in a limited number of patients and in limited populations. Following the initiation of our commercial launch in June 2020, Jelmyto is now available to a much larger number of patients and in broader populations, and we do not know whether the results of Jelmyto use in such larger number of patients and broader populations will be consistent with the results from our clinical studies.*</w:t>
      </w:r>
    </w:p>
    <w:p>
      <w:pPr>
        <w:spacing w:after="0" w:line="151" w:lineRule="exact"/>
        <w:rPr>
          <w:sz w:val="20"/>
          <w:szCs w:val="20"/>
          <w:color w:val="auto"/>
        </w:rPr>
      </w:pPr>
    </w:p>
    <w:p>
      <w:pPr>
        <w:ind w:right="180"/>
        <w:spacing w:after="0" w:line="206" w:lineRule="exact"/>
        <w:rPr>
          <w:sz w:val="20"/>
          <w:szCs w:val="20"/>
          <w:color w:val="auto"/>
        </w:rPr>
      </w:pPr>
      <w:r>
        <w:rPr>
          <w:rFonts w:ascii="Arial" w:cs="Arial" w:eastAsia="Arial" w:hAnsi="Arial"/>
          <w:sz w:val="17"/>
          <w:szCs w:val="17"/>
          <w:i w:val="1"/>
          <w:iCs w:val="1"/>
          <w:color w:val="auto"/>
        </w:rPr>
        <w:t xml:space="preserve">Jelmyto </w:t>
      </w:r>
      <w:r>
        <w:rPr>
          <w:rFonts w:ascii="Arial" w:cs="Arial" w:eastAsia="Arial" w:hAnsi="Arial"/>
          <w:sz w:val="17"/>
          <w:szCs w:val="17"/>
          <w:color w:val="auto"/>
        </w:rPr>
        <w:t>has been administered only to a limited number of patients and in limited populations in clinical studies, including our successful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pivotal Phase 3 OLYMPUS clinical trial for the treatment of adult patients with low-grade UTUC. While the FDA granted approval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based on the data included in the NDA including data from the Phase 3 OLYMPUS clinical trial, and we have subsequently published new long-term data from OLYMPUS trial, we do not know whether the results when a large number of patients and broader populations are exposed to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including results related to safety and efficacy, will be consistent with the results from earlier clinical studies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that served as the basis for the approval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New data relating to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including from spontaneous adverse event reports and post-marketing studies in the United States, and from other ongoing clinical studies, may result in changes to the product label and may adversely affect sales, or result in withdrawal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from the market. The FDA and regulatory authorities in other jurisdictions may also consider the new data in reviewing potential marketing applications in other jurisdictions, or imposing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If any of these actions were to occur, it could result in significant expense and delay or limit our ability to generate sales revenues.</w:t>
      </w:r>
    </w:p>
    <w:p>
      <w:pPr>
        <w:sectPr>
          <w:pgSz w:w="11900" w:h="16838" w:orient="portrait"/>
          <w:cols w:equalWidth="0" w:num="1">
            <w:col w:w="11240"/>
          </w:cols>
          <w:pgMar w:left="320" w:top="126" w:right="339" w:bottom="75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75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We have limited experience as an organization in marketing and distributing products and are therefore subject to certain risks in relation to the commercialization of Jelmyto and any of our product candidates that receive regulatory approval.*</w:t>
      </w:r>
    </w:p>
    <w:p>
      <w:pPr>
        <w:spacing w:after="0" w:line="1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Our strategy is to build and maintain a fully integrated biotechnology company to successfully execute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our only product that has been approved for sale by any regulatory body, and it became available in the United States in June 2020. While we have established a commercial management team and have also established a field-based organization comprised of a sales team, reimbursement support team, clinical nurse educators, national account managers and medical science liaisons, we currently have limited experience commercializing pharmaceutical products as an organization. In order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we must continue to develop our sales, marketing, managerial, compliance and related capabilities or make arrangements with third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parties to perform these services. This involves many challenges, such as recruiting and retaining talented personnel, training employees, setting the appropriate system of incentives, managing additional headcount and integrating new business units into an existing corporate infrastructure. These efforts will continue to be expensive and time-consuming, and we cannot be certain that we will be able to successfully further develop these capabilities. Additionally, we will need to maintain and further develop our sales force, and we will be competing with other pharmaceutical and biotechnology companies to recruit, hire, train and retain marketing and sales personnel. In the event we are unable to effectively develop and maintain our commercial team, including our sales force, our ability to effectively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would be limited, and we would not be able to generate product revenues successfully. If we fail to establish and maintain an effective sales and marketing infrastructure, we will be unable to successfully commercialize our product candidates, which in turn would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train and equip our sales force, our ability to successfully commercialize Jelmyto will be harmed.*</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None of the members of our sales force had ever promoted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prior to its launch in June 2020. In addition,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approved by the FDA for the treatment of low-grade UTUC. As a result, we are and will continue to be required to expend significant time and resources to train our sales force to be credible, persuasive, and compliant with applicable laws in marketing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to physicians and nurses. In addition, we must train our sales force to ensure that a consistent and appropriate message about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is being delivered to our customers. If we are unable to effectively train our sales force and equip them with effective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medical and sales literature to help them inform and educate customers about the benefits and risks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its proper administration, our efforts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be put in jeopardy, which would negatively impact our ability to generate product revenues.</w:t>
      </w:r>
    </w:p>
    <w:p>
      <w:pPr>
        <w:spacing w:after="0" w:line="180" w:lineRule="exact"/>
        <w:rPr>
          <w:sz w:val="20"/>
          <w:szCs w:val="20"/>
          <w:color w:val="auto"/>
        </w:rPr>
      </w:pPr>
    </w:p>
    <w:p>
      <w:pPr>
        <w:jc w:val="both"/>
        <w:ind w:right="760"/>
        <w:spacing w:after="0" w:line="247" w:lineRule="auto"/>
        <w:rPr>
          <w:sz w:val="20"/>
          <w:szCs w:val="20"/>
          <w:color w:val="auto"/>
        </w:rPr>
      </w:pPr>
      <w:r>
        <w:rPr>
          <w:rFonts w:ascii="Arial" w:cs="Arial" w:eastAsia="Arial" w:hAnsi="Arial"/>
          <w:sz w:val="18"/>
          <w:szCs w:val="18"/>
          <w:color w:val="auto"/>
        </w:rPr>
        <w:t xml:space="preserve">There can be no assurance that our territory business managers will continue to have in-person access to physicians as a result of pandemics, epidemics or public health emergencies, or that digital materials and virtual engagement will be effective at growing and sustaining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Disruptions in the prescription volume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also occur:</w:t>
      </w:r>
    </w:p>
    <w:p>
      <w:pPr>
        <w:spacing w:after="0" w:line="171" w:lineRule="exact"/>
        <w:rPr>
          <w:sz w:val="20"/>
          <w:szCs w:val="20"/>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treatment of low-grade UTUC;</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pharmacies are closed or suffering staff shortages or supply chain disruptions;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98" w:lineRule="exact"/>
        <w:rPr>
          <w:rFonts w:ascii="Arial" w:cs="Arial" w:eastAsia="Arial" w:hAnsi="Arial"/>
          <w:sz w:val="18"/>
          <w:szCs w:val="18"/>
          <w:color w:val="auto"/>
        </w:rPr>
      </w:pPr>
    </w:p>
    <w:p>
      <w:pPr>
        <w:ind w:left="900" w:right="600" w:hanging="447"/>
        <w:spacing w:after="0" w:line="26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as a result of general disruptions in the operations of payors, distributors, logistics providers and other third parties that are necessary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be prescribed, reconstituted, instilled and reimbursed.</w:t>
      </w:r>
    </w:p>
    <w:p>
      <w:pPr>
        <w:spacing w:after="0" w:line="149"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The market opportunities for Jelmyto and our product candidates may be smaller than we anticipate or limited to those patients who are ineligible for established therapies or for whom prior therapies have failed and may be small.</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 UGN-102 as an alternative to surgery as the standard of care for certain urothelial cancers. However, there is no guarantee that this product candidate will be approved or that we will not have to conduct additional clinical trials. Even if approved, the market opportunity for UGN-102 may be smaller than we anticipate or limited to those patients who are ineligible for established therapies or for whom prior therapies have failed. Our other or future product candidates may face similar risks.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pivotal Phase 3 OLYMPUS clinical trial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was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renal pelvis (the funnel-like dilated part of the ureter in the kidney) and was not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ureter (the tube that connects the kidneys to the bladder).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approved for the treatment of low-grade UTUC, physicians may choose to only use it to treat tumors in the renal pelvis and not tumors in the ureter, which would limit the degree of physician adoption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Even if we obtain significant market share, because the potential target populations are small, we may never achieve profitability without obtaining regulatory approval for additional indications, including the use of the products as first- or second-line therapy. For example, low-grade UTUC is a rare malignant tumor of the cells lining the urinary tract and there is limited scientific literature or other research on the incidence and prevalence of low-grade UTUC. If our estimates of the incidence and prevalence of low-grade UTUC are incorrect, </w:t>
      </w:r>
      <w:r>
        <w:rPr>
          <w:rFonts w:ascii="Arial" w:cs="Arial" w:eastAsia="Arial" w:hAnsi="Arial"/>
          <w:sz w:val="18"/>
          <w:szCs w:val="18"/>
          <w:i w:val="1"/>
          <w:iCs w:val="1"/>
          <w:color w:val="auto"/>
        </w:rPr>
        <w:t>Jelmyto</w:t>
      </w:r>
      <w:r>
        <w:rPr>
          <w:rFonts w:ascii="Arial" w:cs="Arial" w:eastAsia="Arial" w:hAnsi="Arial"/>
          <w:sz w:val="18"/>
          <w:szCs w:val="18"/>
          <w:color w:val="auto"/>
        </w:rPr>
        <w:t>’s commercial viability may prove to be limited, which may negatively affect our financial results.</w:t>
      </w:r>
    </w:p>
    <w:p>
      <w:pPr>
        <w:spacing w:after="0" w:line="177"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may fail to achieve the broad degree of physician adoption and use and market acceptance necessary for commercial success.*</w:t>
      </w:r>
    </w:p>
    <w:p>
      <w:pPr>
        <w:spacing w:after="0" w:line="12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commercial success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 candidates that receive regulatory approval will depend significantly on their broad adoption and use by physicians for approved indications, including, in the case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and in the case of UGN-102, for the treatment of low-grade intermediate risk NMIBC, and for other therapeutic indications that we may seek to pursue with any of our product candidates. Physicians treating low-grade UTUC and low-grade intermediate risk NMIBC have never had to consider treatments other than surgery. The degree and rate of physician and patient adoption of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if approved, will depend on a number of factors, including:</w:t>
      </w:r>
    </w:p>
    <w:p>
      <w:pPr>
        <w:spacing w:after="0" w:line="176" w:lineRule="exact"/>
        <w:rPr>
          <w:sz w:val="20"/>
          <w:szCs w:val="20"/>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and efficacy data from the clinical trial(s) supporting the approved clinical indications;</w:t>
      </w:r>
    </w:p>
    <w:p>
      <w:pPr>
        <w:spacing w:after="0" w:line="198" w:lineRule="exact"/>
        <w:rPr>
          <w:rFonts w:ascii="Arial" w:cs="Arial" w:eastAsia="Arial" w:hAnsi="Arial"/>
          <w:sz w:val="18"/>
          <w:szCs w:val="18"/>
          <w:color w:val="auto"/>
        </w:rPr>
      </w:pPr>
    </w:p>
    <w:p>
      <w:pPr>
        <w:ind w:left="900" w:right="1040" w:hanging="447"/>
        <w:spacing w:after="0" w:line="289"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approved labeling and packaging for our products, including the degree of product preparation and administration convenience and ease of use that is afforded to physicians by the approved labeling and product packaging;</w:t>
      </w:r>
    </w:p>
    <w:p>
      <w:pPr>
        <w:spacing w:after="0" w:line="136" w:lineRule="exact"/>
        <w:rPr>
          <w:rFonts w:ascii="Arial" w:cs="Arial" w:eastAsia="Arial" w:hAnsi="Arial"/>
          <w:sz w:val="17"/>
          <w:szCs w:val="17"/>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and the level of benefit/risk observed in our clinical trials;</w:t>
      </w:r>
    </w:p>
    <w:p>
      <w:pPr>
        <w:spacing w:after="0" w:line="198" w:lineRule="exact"/>
        <w:rPr>
          <w:rFonts w:ascii="Arial" w:cs="Arial" w:eastAsia="Arial" w:hAnsi="Arial"/>
          <w:sz w:val="18"/>
          <w:szCs w:val="18"/>
          <w:color w:val="auto"/>
        </w:rPr>
      </w:pPr>
    </w:p>
    <w:p>
      <w:pPr>
        <w:ind w:left="900" w:right="600" w:hanging="447"/>
        <w:spacing w:after="0" w:line="26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patient satisfaction with the results and administration of our products and overall treatment experience, including relative convenience, ease of use and avoidance of, or reduction in, adverse side effects;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patients;</w:t>
      </w:r>
    </w:p>
    <w:p>
      <w:pPr>
        <w:spacing w:after="0" w:line="198" w:lineRule="exact"/>
        <w:rPr>
          <w:rFonts w:ascii="Arial" w:cs="Arial" w:eastAsia="Arial" w:hAnsi="Arial"/>
          <w:sz w:val="18"/>
          <w:szCs w:val="18"/>
          <w:color w:val="auto"/>
        </w:rPr>
      </w:pPr>
    </w:p>
    <w:p>
      <w:pPr>
        <w:ind w:left="900" w:right="140" w:hanging="447"/>
        <w:spacing w:after="0" w:line="24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physicians’ and patients’ willingness to adopt new therapies in lieu of other products or treatments, including willingness to adopt </w:t>
      </w:r>
      <w:r>
        <w:rPr>
          <w:rFonts w:ascii="Arial" w:cs="Arial" w:eastAsia="Arial" w:hAnsi="Arial"/>
          <w:sz w:val="18"/>
          <w:szCs w:val="18"/>
          <w:i w:val="1"/>
          <w:iCs w:val="1"/>
          <w:color w:val="auto"/>
        </w:rPr>
        <w:t>Jelmyto</w:t>
      </w:r>
      <w:r>
        <w:rPr>
          <w:rFonts w:ascii="Arial" w:cs="Arial" w:eastAsia="Arial" w:hAnsi="Arial"/>
          <w:sz w:val="18"/>
          <w:szCs w:val="18"/>
          <w:color w:val="auto"/>
        </w:rPr>
        <w:t>, and our lead product candidate UGN-102 as locally-administered drug replacements to current surgical standards of</w:t>
      </w:r>
      <w:r>
        <w:rPr>
          <w:rFonts w:ascii="Arial" w:cs="Arial" w:eastAsia="Arial" w:hAnsi="Arial"/>
          <w:sz w:val="18"/>
          <w:szCs w:val="18"/>
          <w:i w:val="1"/>
          <w:iCs w:val="1"/>
          <w:color w:val="auto"/>
        </w:rPr>
        <w:t xml:space="preserve"> </w:t>
      </w:r>
      <w:r>
        <w:rPr>
          <w:rFonts w:ascii="Arial" w:cs="Arial" w:eastAsia="Arial" w:hAnsi="Arial"/>
          <w:sz w:val="18"/>
          <w:szCs w:val="18"/>
          <w:color w:val="auto"/>
        </w:rPr>
        <w:t>care;</w:t>
      </w:r>
    </w:p>
    <w:p>
      <w:pPr>
        <w:spacing w:after="0" w:line="170" w:lineRule="exact"/>
        <w:rPr>
          <w:rFonts w:ascii="Arial" w:cs="Arial" w:eastAsia="Arial" w:hAnsi="Arial"/>
          <w:sz w:val="18"/>
          <w:szCs w:val="18"/>
          <w:color w:val="auto"/>
        </w:rPr>
      </w:pPr>
    </w:p>
    <w:p>
      <w:pPr>
        <w:ind w:left="900" w:right="160" w:hanging="447"/>
        <w:spacing w:after="0" w:line="26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safety and efficacy of our products in relation to alternative treatments, including the recurrence rate of our treatments;</w:t>
      </w:r>
    </w:p>
    <w:p>
      <w:pPr>
        <w:spacing w:after="0" w:line="159" w:lineRule="exact"/>
        <w:rPr>
          <w:rFonts w:ascii="Arial" w:cs="Arial" w:eastAsia="Arial" w:hAnsi="Arial"/>
          <w:sz w:val="18"/>
          <w:szCs w:val="18"/>
          <w:color w:val="auto"/>
        </w:rPr>
      </w:pPr>
    </w:p>
    <w:p>
      <w:pPr>
        <w:ind w:left="900" w:right="480" w:hanging="447"/>
        <w:spacing w:after="0" w:line="26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costs of our products are covered and reimbursed by third-party payors, including the availability of a physician reimbursement code for our treatments, and patients’ willingness to pay for our products;</w:t>
      </w:r>
    </w:p>
    <w:p>
      <w:pPr>
        <w:spacing w:after="0" w:line="153" w:lineRule="exact"/>
        <w:rPr>
          <w:rFonts w:ascii="Arial" w:cs="Arial" w:eastAsia="Arial" w:hAnsi="Arial"/>
          <w:sz w:val="18"/>
          <w:szCs w:val="18"/>
          <w:color w:val="auto"/>
        </w:rPr>
      </w:pPr>
    </w:p>
    <w:p>
      <w:pPr>
        <w:ind w:left="900" w:right="180" w:hanging="447"/>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whether treatment with our products, including the treatment of low-grade UTUC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treatment of low-grade intermediate risk NMIBC with UGN-102, if approved, will be deemed to be an elective procedure by third- party payors; if so, the cost of treatment would be borne by the patient and would be less likely to be broadly adopted;</w:t>
      </w:r>
    </w:p>
    <w:p>
      <w:pPr>
        <w:spacing w:after="0" w:line="163" w:lineRule="exact"/>
        <w:rPr>
          <w:rFonts w:ascii="Arial" w:cs="Arial" w:eastAsia="Arial" w:hAnsi="Arial"/>
          <w:sz w:val="18"/>
          <w:szCs w:val="18"/>
          <w:color w:val="auto"/>
        </w:rPr>
      </w:pPr>
    </w:p>
    <w:p>
      <w:pPr>
        <w:ind w:left="900" w:right="260" w:hanging="447"/>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proper education of physicians or nurses for the skillful administration of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and UGN-102, if approved, and development of a broad experiential knowledge base of aggregated clinician feedback from which we can refine appropriate procedures for product administration, without which there could be a risk of adverse events;</w:t>
      </w:r>
    </w:p>
    <w:p>
      <w:pPr>
        <w:spacing w:after="0" w:line="169" w:lineRule="exact"/>
        <w:rPr>
          <w:rFonts w:ascii="Arial" w:cs="Arial" w:eastAsia="Arial" w:hAnsi="Arial"/>
          <w:sz w:val="18"/>
          <w:szCs w:val="18"/>
          <w:color w:val="auto"/>
        </w:rPr>
      </w:pPr>
    </w:p>
    <w:p>
      <w:pPr>
        <w:ind w:left="900" w:right="460" w:hanging="447"/>
        <w:spacing w:after="0" w:line="26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especially the success of any targeted marketing efforts directed toward physicians and clinics and any direct-to-consumer marketing efforts we may initiate; and</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clinical practice guidelines.</w:t>
      </w:r>
    </w:p>
    <w:p>
      <w:pPr>
        <w:spacing w:after="0" w:line="192"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are approved for use but fail to achieve the broad degree of physician adoption and market acceptance necessary for commercial success, our operating results and financial condition would be adversely affected.</w:t>
      </w:r>
    </w:p>
    <w:p>
      <w:pPr>
        <w:spacing w:after="0" w:line="143"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Jelmyto and our product candidates, if approved, will face significant competition with competing technologies and our failure to compete effectively may prevent us from achieving significant market penetration.*</w:t>
      </w:r>
    </w:p>
    <w:p>
      <w:pPr>
        <w:spacing w:after="0" w:line="12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biotechnology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ectPr>
          <w:pgSz w:w="11900" w:h="16838" w:orient="portrait"/>
          <w:cols w:equalWidth="0" w:num="1">
            <w:col w:w="11240"/>
          </w:cols>
          <w:pgMar w:left="320" w:top="126" w:right="339" w:bottom="332"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332"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aware of several pharmaceutical companies that are developing drugs in the general fields of urology and uro-oncology, such as AADi, LLC, Biocancell Ltd., Bristol Myers Squibb, CG Oncology Inc., enGene Holdings, Ferring Pharmaceuticals, FKD Therapies Oy, GSK, ImmunityBio, Janssen, Merck Sharp &amp; Dohme Corp, Roche, Samyang Biopharma, Seagen Inc., Steba Biotech Ltd., SURGE Therapeutics, Viralytics Limited and Vyriad. We are aware that Ferring Pharmacuticals plans to begin production of its Adstiladrin, approved by the FDA for the treatment of high-risk BCG-unresponsive NMIBC, in the second half of 2023. In January 2023, SURGE Therapeutics received FDA clearance on an IND to proceed with a Phase 1/2a study of its SURGERx platform with resiquimod for prevention of recurrence and/or progression after TURBT in patients previously diagnosed with high-grade NMIBC that experience recurrence. We are aware of a company called Steba Biotech with an IND granted in December 2020 which has initiated a Phase 3 study of padeliporfin ImPACT for the treatment of adult patients with low-grade and unifocal high-grade UTUC in the first quarter of 2021. We have also entered into a Phase 1 study to support the development of UGN-301 in high-grade NMIBC. We are also aware that other companies, such as Janssen and Lipac are conducting, or have recently conducted clinical trials for product candidates for the treatment of low-grade intermediate risk NMIBC.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products that are more effective, easier to administer or less costly than our product candidates.</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 xml:space="preserve">In addition, we face competition from existing standards of treatment, surgical tumor resection procedures. If we are not able to demonstrate that our product candidates are at least as safe and effective as such courses of treatment, medical professionals may not adopt our product candidates in replacement of the existing standard of care. Generic mitomycin injectable drug products, while approved by FDA for gastric and pancreatic cancers, are neither approved for low-grade UTUC nor reconstituted with hydrogel in an FDA-approved product as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although they may be used off-label by physicians for the treatment of low-grade UTUC, as they have been prior to the approval of </w:t>
      </w:r>
      <w:r>
        <w:rPr>
          <w:rFonts w:ascii="Arial" w:cs="Arial" w:eastAsia="Arial" w:hAnsi="Arial"/>
          <w:sz w:val="17"/>
          <w:szCs w:val="17"/>
          <w:i w:val="1"/>
          <w:iCs w:val="1"/>
          <w:color w:val="auto"/>
        </w:rPr>
        <w:t>Jelmyto</w:t>
      </w:r>
      <w:r>
        <w:rPr>
          <w:rFonts w:ascii="Arial" w:cs="Arial" w:eastAsia="Arial" w:hAnsi="Arial"/>
          <w:sz w:val="17"/>
          <w:szCs w:val="17"/>
          <w:color w:val="auto"/>
        </w:rPr>
        <w:t>.</w:t>
      </w:r>
    </w:p>
    <w:p>
      <w:pPr>
        <w:spacing w:after="0" w:line="154"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b w:val="1"/>
          <w:bCs w:val="1"/>
          <w:i w:val="1"/>
          <w:iCs w:val="1"/>
          <w:color w:val="auto"/>
        </w:rPr>
        <w:t>Our ability to market Jelmyto and any of our product candidates that receive marketing approval is and will be limited to certain indications. If we want to expand the indications for which we may market our products, we will need to obtain additional regulatory approvals, which may not be granted.</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indicated for adult patients with low-grade UTUC. We are currently developing UGN-102, UGN-201 and UGN-301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forms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7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i w:val="1"/>
          <w:iCs w:val="1"/>
          <w:color w:val="auto"/>
        </w:rPr>
        <w:t>If we are found to have improperly promoted off-label uses of Jelmyto or any of our product candidates that receive regulatory approval,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and may not be promoted based on overstated efficacy or omission of important safety information. For example, we cannot promote the use of our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 manner that is inconsistent with the approved label, but we are permitted to share truthful and non-misleading information that is otherwise consistent with the product’s FDA approved labeling. However, physicians are able, in their independent medical judgment, to use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In addition, while we have established product liability insurance relating to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there can be no assurance that we will be able to maintain this insurance on commercially reasonable terms or that this insurance will be sufficient. Furthermore, the use of our products for conditions other than those approved by the FDA may not effectively treat such conditions, which could harm our reputation in the marketplace among physicians and patients.</w:t>
      </w:r>
    </w:p>
    <w:p>
      <w:pPr>
        <w:sectPr>
          <w:pgSz w:w="11900" w:h="16838" w:orient="portrait"/>
          <w:cols w:equalWidth="0" w:num="1">
            <w:col w:w="11240"/>
          </w:cols>
          <w:pgMar w:left="320" w:top="12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940"/>
        <w:spacing w:after="0" w:line="285" w:lineRule="auto"/>
        <w:rPr>
          <w:sz w:val="20"/>
          <w:szCs w:val="20"/>
          <w:color w:val="auto"/>
        </w:rPr>
      </w:pPr>
      <w:r>
        <w:rPr>
          <w:rFonts w:ascii="Arial" w:cs="Arial" w:eastAsia="Arial" w:hAnsi="Arial"/>
          <w:sz w:val="18"/>
          <w:szCs w:val="18"/>
          <w:b w:val="1"/>
          <w:bCs w:val="1"/>
          <w:i w:val="1"/>
          <w:iCs w:val="1"/>
          <w:color w:val="auto"/>
        </w:rPr>
        <w:t>In addition to Jelmyto, we are dependent on the success of our lead product candidate, UGN-102, and our other product candidates, including obtaining regulatory approval to market our product candidates in the United States.*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 the safety and efficacy of the product for the intended indication. Other than </w:t>
      </w:r>
      <w:r>
        <w:rPr>
          <w:rFonts w:ascii="Arial" w:cs="Arial" w:eastAsia="Arial" w:hAnsi="Arial"/>
          <w:sz w:val="18"/>
          <w:szCs w:val="18"/>
          <w:i w:val="1"/>
          <w:iCs w:val="1"/>
          <w:color w:val="auto"/>
        </w:rPr>
        <w:t>Jelmyto</w:t>
      </w:r>
      <w:r>
        <w:rPr>
          <w:rFonts w:ascii="Arial" w:cs="Arial" w:eastAsia="Arial" w:hAnsi="Arial"/>
          <w:sz w:val="18"/>
          <w:szCs w:val="18"/>
          <w:color w:val="auto"/>
        </w:rPr>
        <w:t>, all of our product candidates, including our lead product candidate, UGN-102, remain in clinical development and have not yet received regulatory approval from the FDA or any other regulatory agency in the United States or any other country. Our business depends upon obtaining these regulatory approvals. There are no drugs that have been approved by the FDA for the primary treatment of low-grade intermediate risk NMIBC, and only a limited number of drugs have been approved by the FDA as adjuvant treatment for BCG unresponsive NMIBC. The FDA can delay, limit or deny approval of our product candidates for many reasons.</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While we announced on October 3, 2023 that the FDA agreed with our plan for a rolling NDA submission for UGN-102, there is no guarantee that the FDA will accept the NDA for filing once the rolling submission is complete or eventually approve UGN-102 for the indication and patient population that we request or approve the labeling that we believe is necessary or desirable for the successful commercialization of UGN-102, as the FDA has the authority to refuse to file or approve NDAs for a variety of reasons.</w:t>
      </w:r>
    </w:p>
    <w:p>
      <w:pPr>
        <w:spacing w:after="0" w:line="174"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 success of our product candidates is subject to significant risks, including risks associated with successfully completing current and future clinical trials, such as:</w:t>
      </w:r>
    </w:p>
    <w:p>
      <w:pPr>
        <w:spacing w:after="0" w:line="159" w:lineRule="exact"/>
        <w:rPr>
          <w:sz w:val="20"/>
          <w:szCs w:val="20"/>
          <w:color w:val="auto"/>
        </w:rPr>
      </w:pPr>
    </w:p>
    <w:p>
      <w:pPr>
        <w:ind w:left="900" w:right="80" w:hanging="447"/>
        <w:spacing w:after="0" w:line="24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acceptance of our parameters for regulatory approval relating to UGN-102 and our other product candidates, including our proposed indications, primary and secondary endpoint assessments and measurements, safety evaluations and regulatory pathways, and proposed labeling and packaging;</w:t>
      </w:r>
    </w:p>
    <w:p>
      <w:pPr>
        <w:spacing w:after="0" w:line="170" w:lineRule="exact"/>
        <w:rPr>
          <w:rFonts w:ascii="Arial" w:cs="Arial" w:eastAsia="Arial" w:hAnsi="Arial"/>
          <w:sz w:val="18"/>
          <w:szCs w:val="18"/>
          <w:color w:val="auto"/>
        </w:rPr>
      </w:pPr>
    </w:p>
    <w:p>
      <w:pPr>
        <w:ind w:left="900" w:right="10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complete the FDA requirements related to CMC, for UGN-102 and our other product candidates, and if completed, their sufficiency to support an NDA;</w:t>
      </w:r>
    </w:p>
    <w:p>
      <w:pPr>
        <w:spacing w:after="0" w:line="159" w:lineRule="exact"/>
        <w:rPr>
          <w:rFonts w:ascii="Arial" w:cs="Arial" w:eastAsia="Arial" w:hAnsi="Arial"/>
          <w:sz w:val="18"/>
          <w:szCs w:val="18"/>
          <w:color w:val="auto"/>
        </w:rPr>
      </w:pPr>
    </w:p>
    <w:p>
      <w:pPr>
        <w:ind w:left="900" w:right="36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timely acceptance of our INDs, for our product candidates and our inability to commence clinical trials in the United States without such IND acceptances;</w:t>
      </w:r>
    </w:p>
    <w:p>
      <w:pPr>
        <w:spacing w:after="0" w:line="159" w:lineRule="exact"/>
        <w:rPr>
          <w:rFonts w:ascii="Arial" w:cs="Arial" w:eastAsia="Arial" w:hAnsi="Arial"/>
          <w:sz w:val="18"/>
          <w:szCs w:val="18"/>
          <w:color w:val="auto"/>
        </w:rPr>
      </w:pPr>
    </w:p>
    <w:p>
      <w:pPr>
        <w:ind w:left="900" w:right="104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acceptance of the design, size, conduct and implementation of our clinical trials, our trial protocols and the interpretation of data from nonclinical studies or clinical trials;</w:t>
      </w:r>
    </w:p>
    <w:p>
      <w:pPr>
        <w:spacing w:after="0" w:line="159" w:lineRule="exact"/>
        <w:rPr>
          <w:rFonts w:ascii="Arial" w:cs="Arial" w:eastAsia="Arial" w:hAnsi="Arial"/>
          <w:sz w:val="18"/>
          <w:szCs w:val="18"/>
          <w:color w:val="auto"/>
        </w:rPr>
      </w:pPr>
    </w:p>
    <w:p>
      <w:pPr>
        <w:ind w:left="900" w:right="28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acceptance of the population studied in our clinical trials being sufficiently large, broad and representative to assess efficacy and safety in the patient population for which we seek approval;</w:t>
      </w:r>
    </w:p>
    <w:p>
      <w:pPr>
        <w:spacing w:after="0" w:line="159" w:lineRule="exact"/>
        <w:rPr>
          <w:rFonts w:ascii="Arial" w:cs="Arial" w:eastAsia="Arial" w:hAnsi="Arial"/>
          <w:sz w:val="18"/>
          <w:szCs w:val="18"/>
          <w:color w:val="auto"/>
        </w:rPr>
      </w:pPr>
    </w:p>
    <w:p>
      <w:pPr>
        <w:ind w:left="900" w:right="40" w:hanging="447"/>
        <w:spacing w:after="0" w:line="24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170" w:lineRule="exact"/>
        <w:rPr>
          <w:rFonts w:ascii="Arial" w:cs="Arial" w:eastAsia="Arial" w:hAnsi="Arial"/>
          <w:sz w:val="18"/>
          <w:szCs w:val="18"/>
          <w:color w:val="auto"/>
        </w:rPr>
      </w:pPr>
    </w:p>
    <w:p>
      <w:pPr>
        <w:ind w:left="900" w:right="32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demonstrate meaningful clinical or other benefits which outweigh any safety or other perceived risks, through the completion of our clinical trials for our product candidates;</w:t>
      </w:r>
    </w:p>
    <w:p>
      <w:pPr>
        <w:spacing w:after="0" w:line="159" w:lineRule="exact"/>
        <w:rPr>
          <w:rFonts w:ascii="Arial" w:cs="Arial" w:eastAsia="Arial" w:hAnsi="Arial"/>
          <w:sz w:val="18"/>
          <w:szCs w:val="18"/>
          <w:color w:val="auto"/>
        </w:rPr>
      </w:pPr>
    </w:p>
    <w:p>
      <w:pPr>
        <w:ind w:left="900" w:right="32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need to schedule an advisory committee meeting, and to conduct such meeting, in a timely manner to evaluate and decide on the approval of our potential future NDA for UGN-102;</w:t>
      </w:r>
    </w:p>
    <w:p>
      <w:pPr>
        <w:spacing w:after="0" w:line="159" w:lineRule="exact"/>
        <w:rPr>
          <w:rFonts w:ascii="Arial" w:cs="Arial" w:eastAsia="Arial" w:hAnsi="Arial"/>
          <w:sz w:val="18"/>
          <w:szCs w:val="18"/>
          <w:color w:val="auto"/>
        </w:rPr>
      </w:pPr>
    </w:p>
    <w:p>
      <w:pPr>
        <w:ind w:left="900" w:right="40" w:hanging="447"/>
        <w:spacing w:after="0" w:line="24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recommendation of the FDA’s advisory committee to approve our applications to market UGN-102 and our other product candidates in the United States, without limiting the approved labeling, specifications, distribution or use of the products, or imposing other restrictions;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of safety and efficacy of our product candidates;</w:t>
      </w:r>
    </w:p>
    <w:p>
      <w:pPr>
        <w:spacing w:after="0" w:line="198" w:lineRule="exact"/>
        <w:rPr>
          <w:rFonts w:ascii="Arial" w:cs="Arial" w:eastAsia="Arial" w:hAnsi="Arial"/>
          <w:sz w:val="18"/>
          <w:szCs w:val="18"/>
          <w:color w:val="auto"/>
        </w:rPr>
      </w:pPr>
    </w:p>
    <w:p>
      <w:pPr>
        <w:ind w:left="900" w:right="108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the Section 505(b)(2) of the Federal Food, Drug and Cosmetic Act ("FDCA") regulatory pathway (“505(b)(2)”) is available for our product candidates;</w:t>
      </w:r>
    </w:p>
    <w:p>
      <w:pPr>
        <w:spacing w:after="0" w:line="159" w:lineRule="exact"/>
        <w:rPr>
          <w:rFonts w:ascii="Arial" w:cs="Arial" w:eastAsia="Arial" w:hAnsi="Arial"/>
          <w:sz w:val="18"/>
          <w:szCs w:val="18"/>
          <w:color w:val="auto"/>
        </w:rPr>
      </w:pPr>
    </w:p>
    <w:p>
      <w:pPr>
        <w:ind w:left="900" w:right="40" w:hanging="447"/>
        <w:spacing w:after="0" w:line="24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product candidates, including UGN-102, as there are no drugs and related drug administration procedures approved for the primary treatment of low-grade NMIBC, that are based on</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technology;</w:t>
      </w:r>
    </w:p>
    <w:p>
      <w:pPr>
        <w:spacing w:after="0" w:line="186"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of their obligations in relation to our clinical trials;</w:t>
      </w:r>
    </w:p>
    <w:p>
      <w:pPr>
        <w:spacing w:after="0" w:line="198" w:lineRule="exact"/>
        <w:rPr>
          <w:rFonts w:ascii="Arial" w:cs="Arial" w:eastAsia="Arial" w:hAnsi="Arial"/>
          <w:sz w:val="18"/>
          <w:szCs w:val="18"/>
          <w:color w:val="auto"/>
        </w:rPr>
      </w:pPr>
    </w:p>
    <w:p>
      <w:pPr>
        <w:ind w:left="900" w:right="80" w:hanging="447"/>
        <w:spacing w:after="0" w:line="23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risks, administration and use of our product candidates, if approved, particularly in light of the fact that there are no drugs that have been approved by the FDA for the primary treatment of low-grade NMIBC, and only a limited number of drugs have been approved by the FDA as adjuvant treatment for high-grade</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NMIBC;</w:t>
      </w:r>
    </w:p>
    <w:p>
      <w:pPr>
        <w:spacing w:after="0" w:line="186"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our product candidates;</w:t>
      </w:r>
    </w:p>
    <w:p>
      <w:pPr>
        <w:spacing w:after="0" w:line="159" w:lineRule="exact"/>
        <w:rPr>
          <w:rFonts w:ascii="Arial" w:cs="Arial" w:eastAsia="Arial" w:hAnsi="Arial"/>
          <w:sz w:val="18"/>
          <w:szCs w:val="18"/>
          <w:color w:val="auto"/>
        </w:rPr>
      </w:pPr>
    </w:p>
    <w:p>
      <w:pPr>
        <w:ind w:left="900" w:right="60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as well as that of any current and future licensees;</w:t>
      </w:r>
    </w:p>
    <w:p>
      <w:pPr>
        <w:spacing w:after="0" w:line="159" w:lineRule="exact"/>
        <w:rPr>
          <w:rFonts w:ascii="Arial" w:cs="Arial" w:eastAsia="Arial" w:hAnsi="Arial"/>
          <w:sz w:val="18"/>
          <w:szCs w:val="18"/>
          <w:color w:val="auto"/>
        </w:rPr>
      </w:pPr>
    </w:p>
    <w:p>
      <w:pPr>
        <w:ind w:left="900" w:right="100" w:hanging="447"/>
        <w:spacing w:after="0" w:line="26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acceptance of the quality of our drug substance or drug product, formulation, labeling, packaging, or the specifications of our product candidates is sufficient for approval;</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validate and maintain a commercially viable manufacturing process that is compliant with cGMP;</w:t>
      </w:r>
    </w:p>
    <w:p>
      <w:pPr>
        <w:sectPr>
          <w:pgSz w:w="11900" w:h="16838" w:orient="portrait"/>
          <w:cols w:equalWidth="0" w:num="1">
            <w:col w:w="11200"/>
          </w:cols>
          <w:pgMar w:left="320" w:top="126" w:right="379" w:bottom="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00"/>
          </w:cols>
          <w:pgMar w:left="320" w:top="126" w:right="379" w:bottom="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FDA’s acceptance of the manufacturing processes or facilities of third-party manufacturers with which we contract;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secure supplies for our product candidates to support clinical trials and commercial use;</w:t>
      </w:r>
    </w:p>
    <w:p>
      <w:pPr>
        <w:spacing w:after="0" w:line="198" w:lineRule="exact"/>
        <w:rPr>
          <w:rFonts w:ascii="Arial" w:cs="Arial" w:eastAsia="Arial" w:hAnsi="Arial"/>
          <w:sz w:val="18"/>
          <w:szCs w:val="18"/>
          <w:color w:val="auto"/>
        </w:rPr>
      </w:pPr>
    </w:p>
    <w:p>
      <w:pPr>
        <w:ind w:left="900" w:right="520" w:hanging="447"/>
        <w:spacing w:after="0" w:line="26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or secure finished product from third-party suppliers for product candidates, including UGN-102, if approved;</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with respect to our product candidates;</w:t>
      </w:r>
    </w:p>
    <w:p>
      <w:pPr>
        <w:spacing w:after="0" w:line="198" w:lineRule="exact"/>
        <w:rPr>
          <w:rFonts w:ascii="Arial" w:cs="Arial" w:eastAsia="Arial" w:hAnsi="Arial"/>
          <w:sz w:val="18"/>
          <w:szCs w:val="18"/>
          <w:color w:val="auto"/>
        </w:rPr>
      </w:pPr>
    </w:p>
    <w:p>
      <w:pPr>
        <w:ind w:left="900" w:right="380" w:hanging="447"/>
        <w:spacing w:after="0" w:line="180" w:lineRule="auto"/>
        <w:tabs>
          <w:tab w:leader="none" w:pos="900" w:val="left"/>
        </w:tabs>
        <w:numPr>
          <w:ilvl w:val="0"/>
          <w:numId w:val="21"/>
        </w:numPr>
        <w:rPr>
          <w:rFonts w:ascii="Arial" w:cs="Arial" w:eastAsia="Arial" w:hAnsi="Arial"/>
          <w:sz w:val="33"/>
          <w:szCs w:val="33"/>
          <w:color w:val="auto"/>
          <w:vertAlign w:val="subscript"/>
        </w:rPr>
      </w:pPr>
      <w:r>
        <w:rPr>
          <w:rFonts w:ascii="Arial" w:cs="Arial" w:eastAsia="Arial" w:hAnsi="Arial"/>
          <w:sz w:val="17"/>
          <w:szCs w:val="17"/>
          <w:color w:val="auto"/>
        </w:rPr>
        <w:t>the extent to which the costs of our products, once approved, are covered and reimbursed by third-party payors, including the availability of a physician reimbursement code for our treatments, and patients’ willingness to pay for our products; and</w:t>
      </w:r>
    </w:p>
    <w:p>
      <w:pPr>
        <w:spacing w:after="0" w:line="176" w:lineRule="exact"/>
        <w:rPr>
          <w:rFonts w:ascii="Arial" w:cs="Arial" w:eastAsia="Arial" w:hAnsi="Arial"/>
          <w:sz w:val="33"/>
          <w:szCs w:val="33"/>
          <w:color w:val="auto"/>
          <w:vertAlign w:val="subscript"/>
        </w:rPr>
      </w:pPr>
    </w:p>
    <w:p>
      <w:pPr>
        <w:ind w:left="900" w:right="20" w:hanging="447"/>
        <w:spacing w:after="0" w:line="243"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properly train physicians or nurses for the skillful preparation and administration of any of our product candidates that receive approval, including UGN-102, and our ability to develop a broad experiential knowledge base of aggregated clinician feedback from which we can refine appropriate procedures for product administration, without which there could be a risk of adverse events.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Many of these clinical, regulatory and commercial risks are beyond our control. Further, these risks and uncertainties impact all of our clinical programs that we pursue and may be amplified by pandemics, epidemics or public health emergencies, as described below. Accordingly, we cannot assure you that we will be able to advance any more of our product candidates through clinical development, or to obtain additional regulatory approval of any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 Even if we receive approval of any of the product candidates in our pipeline or future product candidates, there is no assurance that we will be able to successfully commercialize any of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UGN-102 may not meet its secondary endpoint in the ongoing Phase 3 ENVISION trial.*</w:t>
      </w:r>
    </w:p>
    <w:p>
      <w:pPr>
        <w:spacing w:after="0" w:line="2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On July 27, 2023, we announced that UGN-102 met its primary endpoints in the Phase 3 ATLAS and ENVISION trials. Additional data evaluating the secondary endpoint of duration of response from ENVISION are anticipated in 2024. If UGN-102 does not meet its secondary endpoint or we receive other data that negatively impacts the efficacy and safety profile of UGN-102, then our ability to seek and potentially obtain regulatory approval of UGN-102 on the timeline we currently expect may be adversely affected.</w:t>
      </w:r>
    </w:p>
    <w:p>
      <w:pPr>
        <w:spacing w:after="0" w:line="16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Publications based on interim data may differ from FDA approved product labeling.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UGN-102 or any other investigational product candidate may be harmed, which could harm our business, financial condition, results of operations and prospects.</w:t>
      </w:r>
    </w:p>
    <w:p>
      <w:pPr>
        <w:sectPr>
          <w:pgSz w:w="11900" w:h="16838" w:orient="portrait"/>
          <w:cols w:equalWidth="0" w:num="1">
            <w:col w:w="11240"/>
          </w:cols>
          <w:pgMar w:left="320" w:top="12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obtaining approval for product candidates and may be unable to do so successfully.</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As a company, we have limited experience in conducting clinical trials and have progressed only one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170"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We have not yet applied for regulatory approvals to market UGN-102 or the other product candidates in our pipeline, and we may be delayed in obtaining or failing to obtain such regulatory approvals and to commercialize our product candidates.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nonclinical and clinical data that demonstrates the safety and efficacy of the product for the intended indication.</w:t>
      </w:r>
    </w:p>
    <w:p>
      <w:pPr>
        <w:spacing w:after="0" w:line="1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 product candidate. After submission of an NDA, the FDA may raise additional questions on any data contained in the application. These questions may come in the form of information requests or in the NDA 74-day letter as review issues. We must address these questions during the review, but we do not know whether our responses will be acceptable to the FDA. We cannot assure you that the FDA will not decide to require us to perform additional clinical trials, including potentially requiring us to perform an additional pivotal study with a control arm, before approving, or as a condition of approving, NDAs for our product candidates.</w:t>
      </w:r>
    </w:p>
    <w:p>
      <w:pPr>
        <w:spacing w:after="0" w:line="18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14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5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7"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We may not be able to advance our nonclinical product candidates into clinical development and through regulatory approval and commercialization.</w:t>
      </w:r>
    </w:p>
    <w:p>
      <w:pPr>
        <w:spacing w:after="0" w:line="126" w:lineRule="exact"/>
        <w:rPr>
          <w:sz w:val="20"/>
          <w:szCs w:val="20"/>
          <w:color w:val="auto"/>
        </w:rPr>
      </w:pPr>
    </w:p>
    <w:p>
      <w:pPr>
        <w:ind w:right="380"/>
        <w:spacing w:after="0" w:line="241" w:lineRule="auto"/>
        <w:rPr>
          <w:sz w:val="20"/>
          <w:szCs w:val="20"/>
          <w:color w:val="auto"/>
        </w:rPr>
      </w:pPr>
      <w:r>
        <w:rPr>
          <w:rFonts w:ascii="Arial" w:cs="Arial" w:eastAsia="Arial" w:hAnsi="Arial"/>
          <w:sz w:val="18"/>
          <w:szCs w:val="18"/>
          <w:color w:val="auto"/>
        </w:rPr>
        <w:t>Certain of our product candidates are currently in nonclinical development and are therefore currently subject to the risks associated with nonclinical development, including the risks associated with:</w:t>
      </w:r>
    </w:p>
    <w:p>
      <w:pPr>
        <w:spacing w:after="0" w:line="1"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adequate and sufficient nonclinical safety and efficacy data in a timely fashion to support the initiation of clinical trials;</w:t>
      </w:r>
    </w:p>
    <w:p>
      <w:pPr>
        <w:spacing w:after="0" w:line="186"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in any jurisdiction, including the submission and acceptance of INDs;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a clinical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 in timely fashion, if at all;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manufacture of sufficient quantities of the product candidate for use in clinical trials.</w:t>
      </w:r>
    </w:p>
    <w:p>
      <w:pPr>
        <w:sectPr>
          <w:pgSz w:w="11900" w:h="16838" w:orient="portrait"/>
          <w:cols w:equalWidth="0" w:num="1">
            <w:col w:w="11240"/>
          </w:cols>
          <w:pgMar w:left="320" w:top="126" w:right="339" w:bottom="71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71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These risks and uncertainties impact all of our nonclinical programs that we pursue. If we are unsuccessful in advancing our nonclinical product candidates into clinical trials in a timely fashion, our business may be harmed. Even if we are successful in advancing our nonclinical product candidates into clinical development, their success will be subject to all of the clinical, regulatory and commercial risks described elsewhere in this Quarterly Report and our other filings with the SEC. Accordingly, we cannot assure you that we will be able to develop, obtain regulatory approval for, commercialize or generate significant revenue from our product candidates.</w:t>
      </w:r>
    </w:p>
    <w:p>
      <w:pPr>
        <w:spacing w:after="0" w:line="16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74" w:lineRule="exact"/>
        <w:rPr>
          <w:sz w:val="20"/>
          <w:szCs w:val="20"/>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to support the initiation or continuation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98" w:lineRule="exact"/>
        <w:rPr>
          <w:rFonts w:ascii="Arial" w:cs="Arial" w:eastAsia="Arial" w:hAnsi="Arial"/>
          <w:sz w:val="18"/>
          <w:szCs w:val="18"/>
          <w:color w:val="auto"/>
        </w:rPr>
      </w:pPr>
    </w:p>
    <w:p>
      <w:pPr>
        <w:ind w:left="900" w:right="20" w:hanging="447"/>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("CROs") and clinical trial sites, and have such CROs and sites effect the proper and timely conduct of our clinical trials;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institutional review board ("IRB") approval at each clinical trial site;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recruit, enroll and retain suitable patients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a sufficient number of patients enrolled, complete a trial or return for post-treatment follow-up;</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6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i w:val="1"/>
          <w:iCs w:val="1"/>
          <w:color w:val="auto"/>
        </w:rPr>
        <w:t>Jelmyto or any of our product candidates may produce undesirable side effects that we may not have detected in our previous nonclinical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15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 xml:space="preserve">As with most pharmaceutical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associated with side effects or adverse events that can vary in severity and frequency. Side effects or adverse events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including UGN-102, may be observed at any time, including in clinical trials or once a product is commercialized, and any such side effects or adverse events may negatively affect our ability to obtain regulatory approval or market our product candidates. To date, in our nonclinical</w:t>
      </w:r>
    </w:p>
    <w:p>
      <w:pPr>
        <w:ind w:right="100"/>
        <w:spacing w:after="0" w:line="236" w:lineRule="auto"/>
        <w:rPr>
          <w:sz w:val="20"/>
          <w:szCs w:val="20"/>
          <w:color w:val="auto"/>
        </w:rPr>
      </w:pPr>
      <w:r>
        <w:rPr>
          <w:rFonts w:ascii="Arial" w:cs="Arial" w:eastAsia="Arial" w:hAnsi="Arial"/>
          <w:sz w:val="18"/>
          <w:szCs w:val="18"/>
          <w:color w:val="auto"/>
        </w:rPr>
        <w:t xml:space="preserve">testing, Compassionate Use Program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clinical trials and post-marketing experience, we have observed several adverse events and serious adverse events ("SAEs"), including ureteric obstruction, ureteral stenosis, inhibition of urine flow, rash, flank pain, kidney swelling, kidney infection, renal dysfunction, hematuria, fatigue, nausea, abdominal pain, dysuria, vomiting, urinary tract infection, urgency in urination and pain during urination. In addition, we have observed transient perturbation of laboratory measures of renal and hematopoietic function. These adverse events are known mitomycin or procedure-related adverse events and many are indicated as potential side effects of mitomycin usage on the mitomycin label. However, we cannot assure you that we will not observe additional drug or procedure-related adverse events or SAEs in the future or that the FDA will not determine them as such. Side effects such as toxicity or other safety issues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our product candidates could require us to perform additional studies or halt development or sale of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or our product candidates or expose us to product liability lawsuits, which will harm our business.</w:t>
      </w:r>
    </w:p>
    <w:p>
      <w:pPr>
        <w:spacing w:after="0" w:line="181"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xml:space="preserve">Furthermore, our Phase 2b clinical trial for UGN-102 involved larger patient bases than in our prior studies of these candidates, and the commercial marketing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if approved, UGN-102,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80"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products or product candidates, a number of other potentially significant negative consequences could result, including:</w:t>
      </w:r>
    </w:p>
    <w:p>
      <w:pPr>
        <w:spacing w:after="0" w:line="159" w:lineRule="exact"/>
        <w:rPr>
          <w:sz w:val="20"/>
          <w:szCs w:val="20"/>
          <w:color w:val="auto"/>
        </w:rPr>
      </w:pPr>
    </w:p>
    <w:p>
      <w:pPr>
        <w:ind w:left="900" w:right="8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submit an NDA or similar application for our product candidates because of insufficient risk-reward, or the denial of such application by the FDA or foreign regulatory authorities;</w:t>
      </w:r>
    </w:p>
    <w:p>
      <w:pPr>
        <w:spacing w:after="0" w:line="159" w:lineRule="exact"/>
        <w:rPr>
          <w:rFonts w:ascii="Arial" w:cs="Arial" w:eastAsia="Arial" w:hAnsi="Arial"/>
          <w:sz w:val="18"/>
          <w:szCs w:val="18"/>
          <w:color w:val="auto"/>
        </w:rPr>
      </w:pPr>
    </w:p>
    <w:p>
      <w:pPr>
        <w:ind w:left="900" w:right="16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regulatory authorities suspending or terminating our clinical trials or suspending or withdrawing their approval of the product;</w:t>
      </w:r>
    </w:p>
    <w:p>
      <w:pPr>
        <w:spacing w:after="0" w:line="159" w:lineRule="exact"/>
        <w:rPr>
          <w:rFonts w:ascii="Arial" w:cs="Arial" w:eastAsia="Arial" w:hAnsi="Arial"/>
          <w:sz w:val="18"/>
          <w:szCs w:val="18"/>
          <w:color w:val="auto"/>
        </w:rPr>
      </w:pPr>
    </w:p>
    <w:p>
      <w:pPr>
        <w:ind w:left="900" w:right="70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the addition of labeling statements, such as boxed or other warnings or contraindications or distribution and use restrictions;</w:t>
      </w:r>
    </w:p>
    <w:p>
      <w:pPr>
        <w:spacing w:after="0" w:line="159" w:lineRule="exact"/>
        <w:rPr>
          <w:rFonts w:ascii="Arial" w:cs="Arial" w:eastAsia="Arial" w:hAnsi="Arial"/>
          <w:sz w:val="18"/>
          <w:szCs w:val="18"/>
          <w:color w:val="auto"/>
        </w:rPr>
      </w:pPr>
    </w:p>
    <w:p>
      <w:pPr>
        <w:ind w:left="900" w:right="2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159" w:lineRule="exact"/>
        <w:rPr>
          <w:rFonts w:ascii="Arial" w:cs="Arial" w:eastAsia="Arial" w:hAnsi="Arial"/>
          <w:sz w:val="18"/>
          <w:szCs w:val="18"/>
          <w:color w:val="auto"/>
        </w:rPr>
      </w:pPr>
    </w:p>
    <w:p>
      <w:pPr>
        <w:ind w:left="900" w:right="132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regulatory authorities issuing negative publicity regarding the affected product, including safety communications;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being limited with respect to the safety-related claims that we can make in our marketing or promotional materials;</w:t>
      </w:r>
    </w:p>
    <w:p>
      <w:pPr>
        <w:spacing w:after="0" w:line="198" w:lineRule="exact"/>
        <w:rPr>
          <w:rFonts w:ascii="Arial" w:cs="Arial" w:eastAsia="Arial" w:hAnsi="Arial"/>
          <w:sz w:val="18"/>
          <w:szCs w:val="18"/>
          <w:color w:val="auto"/>
        </w:rPr>
      </w:pPr>
    </w:p>
    <w:p>
      <w:pPr>
        <w:ind w:left="900" w:right="60" w:hanging="447"/>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being required to change the way the product is administered, conduct additional nonclinical studies or clinical trials or restrict or cease the distribution or use of the product; and</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being sued and held liable for harm caused to patients.</w:t>
      </w:r>
    </w:p>
    <w:p>
      <w:pPr>
        <w:sectPr>
          <w:pgSz w:w="11900" w:h="16838" w:orient="portrait"/>
          <w:cols w:equalWidth="0" w:num="1">
            <w:col w:w="11240"/>
          </w:cols>
          <w:pgMar w:left="320" w:top="126"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Any of these events could prevent us from achieving market acceptance or approval of the affected product or product candidate and could substantially increase development or commercialization costs, force us to withdraw from the market any approved product,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149"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b w:val="1"/>
          <w:bCs w:val="1"/>
          <w:i w:val="1"/>
          <w:iCs w:val="1"/>
          <w:color w:val="auto"/>
        </w:rPr>
        <w:t>We may face future developmental and regulatory difficulties related to Jelmyto and any of our product candidates that receive marketing approval. In addition, we are subject to government regulations and we may experience delays in obtaining required regulatory approvals to market our proposed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subject to certain post-marketing commitments related to </w:t>
      </w:r>
      <w:r>
        <w:rPr>
          <w:rFonts w:ascii="Arial" w:cs="Arial" w:eastAsia="Arial" w:hAnsi="Arial"/>
          <w:sz w:val="18"/>
          <w:szCs w:val="18"/>
          <w:i w:val="1"/>
          <w:iCs w:val="1"/>
          <w:color w:val="auto"/>
        </w:rPr>
        <w:t>Jelmyto</w:t>
      </w:r>
      <w:r>
        <w:rPr>
          <w:rFonts w:ascii="Arial" w:cs="Arial" w:eastAsia="Arial" w:hAnsi="Arial"/>
          <w:sz w:val="18"/>
          <w:szCs w:val="18"/>
          <w:color w:val="auto"/>
        </w:rPr>
        <w:t>, including a requirement for a period of five years to provide annual updates for the duration of response for all patients with ongoing complete responses enrolled in the Phase 3 OLYMPUS trial. With respect to our current and future candidates, 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76"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71" w:lineRule="exact"/>
        <w:rPr>
          <w:sz w:val="20"/>
          <w:szCs w:val="20"/>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agency refusal to approve pending applications or supplements to applications;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injunction or imposition of civil or criminal penalties or monetary fines;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 or detention of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bans or restrictions on imports and exports;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of regulatory authorities to approve pending applications or supplements to applications.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161"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If we are not successful in developing, receiving regulatory approval for and commercializing our nonclinical and clinical product candidates, our ability to expand our business and achieve our strategic objectives could be impaired.</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Although we have received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pyelocalyceal solution, for the treatment of adult patients with low-grade UTUC, and we plan to devote a substantial portion of our resources to the continued clinical testing and potential approval of UGN-102 for the treatment of low-grade intermediate risk NMIBC. Another key element of our strategy is to discover, develop and commercialize a portfolio of products to serve additional therapeutic markets. We are seeking to do so through our internal research programs, but our resources are limited, and those that we have are geared towards clinical testing and seeking regulatory approval of UGN-102 and our other existing product candidates. We may also explore strategic collaborations for the development or acquisition of new products, but we may not be successful in entering into such relationships.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97"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auto"/>
        </w:rPr>
      </w:pPr>
    </w:p>
    <w:p>
      <w:pPr>
        <w:ind w:left="900" w:right="380" w:hanging="447"/>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in a subsequent trial be shown to have harmful side effects or other characteristics that indicate it is unlikely to be effective or otherwise does not meet applicable regulatory criteria;</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98" w:lineRule="exact"/>
        <w:rPr>
          <w:rFonts w:ascii="Arial" w:cs="Arial" w:eastAsia="Arial" w:hAnsi="Arial"/>
          <w:sz w:val="18"/>
          <w:szCs w:val="18"/>
          <w:color w:val="auto"/>
        </w:rPr>
      </w:pPr>
    </w:p>
    <w:p>
      <w:pPr>
        <w:ind w:left="900" w:right="580" w:hanging="447"/>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 and</w:t>
      </w:r>
    </w:p>
    <w:p>
      <w:pPr>
        <w:spacing w:after="0" w:line="159" w:lineRule="exact"/>
        <w:rPr>
          <w:rFonts w:ascii="Arial" w:cs="Arial" w:eastAsia="Arial" w:hAnsi="Arial"/>
          <w:sz w:val="18"/>
          <w:szCs w:val="18"/>
          <w:color w:val="auto"/>
        </w:rPr>
      </w:pPr>
    </w:p>
    <w:p>
      <w:pPr>
        <w:ind w:left="900" w:right="180" w:hanging="447"/>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17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149"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3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may utilize a variety of types of licensing, collaboration, distribution and other marketing arrangements with third parties to develop our product candidates and commercialize our approved product candidates, if any. We are not currently party to any such arrangement that we consider material. Our ability to generate revenues from these arrangements will depend on our collaborators’ abilities and efforts to successfully perform the functions assigned to them in these arrangements.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collaborations that we enter into may pose a number of risks, including the following:</w:t>
      </w:r>
    </w:p>
    <w:p>
      <w:pPr>
        <w:spacing w:after="0" w:line="198" w:lineRule="exact"/>
        <w:rPr>
          <w:sz w:val="20"/>
          <w:szCs w:val="20"/>
          <w:color w:val="auto"/>
        </w:rPr>
      </w:pPr>
    </w:p>
    <w:p>
      <w:pPr>
        <w:ind w:left="900" w:right="40" w:hanging="447"/>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900" w:right="120" w:hanging="447"/>
        <w:spacing w:after="0" w:line="24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conducted by collaborators could give rise to new safety concerns;</w:t>
      </w:r>
    </w:p>
    <w:p>
      <w:pPr>
        <w:spacing w:after="0" w:line="198" w:lineRule="exact"/>
        <w:rPr>
          <w:rFonts w:ascii="Arial" w:cs="Arial" w:eastAsia="Arial" w:hAnsi="Arial"/>
          <w:sz w:val="18"/>
          <w:szCs w:val="18"/>
          <w:color w:val="auto"/>
        </w:rPr>
      </w:pPr>
    </w:p>
    <w:p>
      <w:pPr>
        <w:ind w:left="900" w:right="240" w:hanging="447"/>
        <w:spacing w:after="0" w:line="24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4" w:lineRule="exact"/>
        <w:rPr>
          <w:rFonts w:ascii="Arial" w:cs="Arial" w:eastAsia="Arial" w:hAnsi="Arial"/>
          <w:sz w:val="18"/>
          <w:szCs w:val="18"/>
          <w:color w:val="auto"/>
        </w:rPr>
      </w:pPr>
    </w:p>
    <w:p>
      <w:pPr>
        <w:ind w:left="900" w:right="400" w:hanging="447"/>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9" w:lineRule="exact"/>
        <w:rPr>
          <w:rFonts w:ascii="Arial" w:cs="Arial" w:eastAsia="Arial" w:hAnsi="Arial"/>
          <w:sz w:val="18"/>
          <w:szCs w:val="18"/>
          <w:color w:val="auto"/>
        </w:rPr>
      </w:pPr>
    </w:p>
    <w:p>
      <w:pPr>
        <w:ind w:left="900" w:right="100" w:hanging="447"/>
        <w:spacing w:after="0" w:line="24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0" w:lineRule="exact"/>
        <w:rPr>
          <w:rFonts w:ascii="Arial" w:cs="Arial" w:eastAsia="Arial" w:hAnsi="Arial"/>
          <w:sz w:val="18"/>
          <w:szCs w:val="18"/>
          <w:color w:val="auto"/>
        </w:rPr>
      </w:pPr>
    </w:p>
    <w:p>
      <w:pPr>
        <w:ind w:left="900" w:right="140" w:hanging="447"/>
        <w:spacing w:after="0" w:line="24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0" w:lineRule="exact"/>
        <w:rPr>
          <w:rFonts w:ascii="Arial" w:cs="Arial" w:eastAsia="Arial" w:hAnsi="Arial"/>
          <w:sz w:val="18"/>
          <w:szCs w:val="18"/>
          <w:color w:val="auto"/>
        </w:rPr>
      </w:pPr>
    </w:p>
    <w:p>
      <w:pPr>
        <w:ind w:left="900" w:right="360" w:hanging="447"/>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59" w:lineRule="exact"/>
        <w:rPr>
          <w:rFonts w:ascii="Arial" w:cs="Arial" w:eastAsia="Arial" w:hAnsi="Arial"/>
          <w:sz w:val="18"/>
          <w:szCs w:val="18"/>
          <w:color w:val="auto"/>
        </w:rPr>
      </w:pPr>
    </w:p>
    <w:p>
      <w:pPr>
        <w:ind w:left="900" w:right="140" w:hanging="447"/>
        <w:spacing w:after="0" w:line="24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174" w:lineRule="exact"/>
        <w:rPr>
          <w:rFonts w:ascii="Arial" w:cs="Arial" w:eastAsia="Arial" w:hAnsi="Arial"/>
          <w:sz w:val="18"/>
          <w:szCs w:val="18"/>
          <w:color w:val="auto"/>
        </w:rPr>
      </w:pPr>
    </w:p>
    <w:p>
      <w:pPr>
        <w:ind w:left="900" w:right="100" w:hanging="447"/>
        <w:spacing w:after="0" w:line="24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Arial" w:cs="Arial" w:eastAsia="Arial" w:hAnsi="Arial"/>
          <w:sz w:val="18"/>
          <w:szCs w:val="18"/>
          <w:color w:val="auto"/>
        </w:rPr>
      </w:pPr>
    </w:p>
    <w:p>
      <w:pPr>
        <w:ind w:left="900" w:right="240" w:hanging="447"/>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59" w:lineRule="exact"/>
        <w:rPr>
          <w:rFonts w:ascii="Arial" w:cs="Arial" w:eastAsia="Arial" w:hAnsi="Arial"/>
          <w:sz w:val="18"/>
          <w:szCs w:val="18"/>
          <w:color w:val="auto"/>
        </w:rPr>
      </w:pPr>
    </w:p>
    <w:p>
      <w:pPr>
        <w:ind w:left="900" w:right="720" w:hanging="447"/>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59"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Collaborations may not lead to development or commercialization of product candidates in the most efficient manner, or at all, and may otherwise experience challenges. For example, in August 2020, we announced that the Phase 2 APOLLO trial of BOTOX/</w:t>
      </w:r>
      <w:r>
        <w:rPr>
          <w:rFonts w:ascii="Arial" w:cs="Arial" w:eastAsia="Arial" w:hAnsi="Arial"/>
          <w:sz w:val="18"/>
          <w:szCs w:val="18"/>
          <w:i w:val="1"/>
          <w:iCs w:val="1"/>
          <w:color w:val="auto"/>
        </w:rPr>
        <w:t>RTGel</w:t>
      </w:r>
      <w:r>
        <w:rPr>
          <w:rFonts w:ascii="Arial" w:cs="Arial" w:eastAsia="Arial" w:hAnsi="Arial"/>
          <w:sz w:val="18"/>
          <w:szCs w:val="18"/>
          <w:color w:val="auto"/>
        </w:rPr>
        <w:t xml:space="preserve"> for the treatment of overactive bladder, which was conducted by Allergan Pharmaceuticals Limited (“Allergan”), did not meet the primary endpoint. The data suggested that this result may have been due to BOTOX not effectively permeating the urothelium. In November 2021 our arrangement with Allergan was terminated.</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any future material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report also apply to the activities of our collaborators.</w:t>
      </w:r>
    </w:p>
    <w:p>
      <w:pPr>
        <w:spacing w:after="0" w:line="1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perception of us in the business and financial communities could be harmed.</w:t>
      </w:r>
    </w:p>
    <w:p>
      <w:pPr>
        <w:sectPr>
          <w:pgSz w:w="11900" w:h="16838" w:orient="portrait"/>
          <w:cols w:equalWidth="0" w:num="1">
            <w:col w:w="11240"/>
          </w:cols>
          <w:pgMar w:left="320" w:top="126"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We currently contract with third-party subcontractors and single-source suppliers for certain raw materials, compounds and components necessary to produce Jelmyto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Jelmyto, UGN-102, UGN-201 or UGN-301 or be able to obtain such quantities at an acceptable cost, which could delay, prevent or impair our development or commercialization efforts.*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We currently rely on third party subcontractors and suppliers for certain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UGN-102, UGN-201 and UGN-301 for our nonclinical studies and clinical trials, and expect to rely on third party subcontractors and suppliers for commercial use for any of our drug candidates that receive regulatory approval. We currently depend on Teva Pharmaceuticals Industries Ltd ("Teva"), as our single-source supplier of mitomycin active pharmaceutical ingredient ("API")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We rely on Cenexi-Laboratories Thissen s.a., and Isotopia Molecular Imaging Ltd. as our single contracted suppliers for the mitomycin and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respectively. We also currently depend on a single source supplier for imiquimod for UGN-201 and zalifrelimab for UGN-301. Because there are a limited number of suppliers for the raw materials that we use to manufacture our product candidates, we may need to engage alternate suppliers to prevent a possible disruption of the manufacture of the materials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 and our product candidates for our clinical trials and their subsequent commercial sale, if approved. Even if we are able to engage alternate suppliers on reasonable terms, we may face delays or increased costs in our supply chain that could jeopardize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We do not have any control over the availability of these compounds and components beyond our existing contractual arrangements. If we or our suppliers and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products.</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We expect to continue to rely on these or other subcontractors and suppliers to support our commercial requirements for </w:t>
      </w:r>
      <w:r>
        <w:rPr>
          <w:rFonts w:ascii="Arial" w:cs="Arial" w:eastAsia="Arial" w:hAnsi="Arial"/>
          <w:sz w:val="18"/>
          <w:szCs w:val="18"/>
          <w:i w:val="1"/>
          <w:iCs w:val="1"/>
          <w:color w:val="auto"/>
        </w:rPr>
        <w:t>Jelmyto</w:t>
      </w:r>
      <w:r>
        <w:rPr>
          <w:rFonts w:ascii="Arial" w:cs="Arial" w:eastAsia="Arial" w:hAnsi="Arial"/>
          <w:sz w:val="18"/>
          <w:szCs w:val="18"/>
          <w:color w:val="auto"/>
        </w:rPr>
        <w:t>, as well as UGN-102 or any of our other product candidates if approved for marketing by the FDA or foreign regulatory authorities. We also presently rely on a single third-party manufacturer to produce our proprietary drug product, or final mitomycin formulation, necessary for our current commercial requirements. We plan to continue to rely on third parties for the manufacture of mitomycin API, the gel contained in</w:t>
      </w:r>
    </w:p>
    <w:p>
      <w:pPr>
        <w:ind w:right="680"/>
        <w:spacing w:after="0" w:line="246"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UGN-102 and UGN-301, and for imiquimod for UGN-201, and for zalifrelimab for UGN-301, as well as for the raw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compounds and components necessary to produce our product candidates and for nonclinical studies and clinical trials.</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Even though we are approved as a commercial supplier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have limited experience as a company in the commercial supply of drugs and may never be successful as a commercial supplier of drug products containing mitomycin. In addition, cost-overruns, unexpected delays, equipment failures, logistics breakdowns, labor shortages, natural disasters, power failures, production failures or product recalls, and numerous other factors could prevent us from realizing the intended benefits of our sales strategy and have a material adverse effect on our business. Further, although we commercially supply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further build-out is required and establishing such commercial-scale supply capabilities requires additional investment, is time-consuming and may be subject to delays, including because of shortage of labor, compliance with regulatory requirements or receipt of necessary regulatory approvals. In addition, building out our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commercial supply capabilities may cost more than we currently anticipate, and delays or problems may adversely impact our ability to provide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support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planned future commercialization of UGN-102, if approved, as well as our financial condition.</w:t>
      </w:r>
    </w:p>
    <w:p>
      <w:pPr>
        <w:spacing w:after="0" w:line="17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While we currently have over 12 months of mitomycin API and/or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finished product on hand to continue our commercial and clinical operations as planned, we may face such delays or costs in future years. Although we believe we have sufficient quantities of bulk mitomycin API for planned manufacturing operations through 2023 and 2024, a prolonged supply interruption of certain components could adversely affect our ability to conduct commercialization activities and planned clinical trials. If any third party in our supply or distribution chain for materials or finished product is adversely impacted by restrictions resulting from pandemics, epidemics or public health emergencies or other disruptions caused by the outbreak of war, terrorist attacks or other acts of hostility, including staffing shortages, production slowdowns and disruptions in delivery systems, our supply chain may be disrupted, limiting our ability to manufacture and distribute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sales and our product candidates for our clinical trials and research and development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addition, before we can begin to commercially manufacture any product candidates that receive regulatory approval in the future other than </w:t>
      </w:r>
      <w:r>
        <w:rPr>
          <w:rFonts w:ascii="Arial" w:cs="Arial" w:eastAsia="Arial" w:hAnsi="Arial"/>
          <w:sz w:val="18"/>
          <w:szCs w:val="18"/>
          <w:i w:val="1"/>
          <w:iCs w:val="1"/>
          <w:color w:val="auto"/>
        </w:rPr>
        <w:t>Jelmyto</w:t>
      </w:r>
      <w:r>
        <w:rPr>
          <w:rFonts w:ascii="Arial" w:cs="Arial" w:eastAsia="Arial" w:hAnsi="Arial"/>
          <w:sz w:val="18"/>
          <w:szCs w:val="18"/>
          <w:color w:val="auto"/>
        </w:rPr>
        <w:t>,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to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are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in-line or investigational product candidates, if approved.</w:t>
      </w:r>
    </w:p>
    <w:p>
      <w:pPr>
        <w:spacing w:after="0" w:line="1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or any of our other product candidates that we may develop. Any failure or refusal to supply or any interruption in supply of the components for </w:t>
      </w:r>
      <w:r>
        <w:rPr>
          <w:rFonts w:ascii="Arial" w:cs="Arial" w:eastAsia="Arial" w:hAnsi="Arial"/>
          <w:sz w:val="18"/>
          <w:szCs w:val="18"/>
          <w:i w:val="1"/>
          <w:iCs w:val="1"/>
          <w:color w:val="auto"/>
        </w:rPr>
        <w:t>Jelmyto</w:t>
      </w:r>
      <w:r>
        <w:rPr>
          <w:rFonts w:ascii="Arial" w:cs="Arial" w:eastAsia="Arial" w:hAnsi="Arial"/>
          <w:sz w:val="18"/>
          <w:szCs w:val="18"/>
          <w:color w:val="auto"/>
        </w:rPr>
        <w:t>, UGN-102 or any other product candidates that we may develop could delay, prevent or impair our clinical development or commercialization efforts.</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We currently use single source suppliers relative to production of the </w:t>
      </w:r>
      <w:r>
        <w:rPr>
          <w:rFonts w:ascii="Arial" w:cs="Arial" w:eastAsia="Arial" w:hAnsi="Arial"/>
          <w:sz w:val="18"/>
          <w:szCs w:val="18"/>
          <w:i w:val="1"/>
          <w:iCs w:val="1"/>
          <w:color w:val="auto"/>
        </w:rPr>
        <w:t>RTGel</w:t>
      </w:r>
      <w:r>
        <w:rPr>
          <w:rFonts w:ascii="Arial" w:cs="Arial" w:eastAsia="Arial" w:hAnsi="Arial"/>
          <w:sz w:val="18"/>
          <w:szCs w:val="18"/>
          <w:color w:val="auto"/>
        </w:rPr>
        <w:t xml:space="preserve"> products, the ureteral catheter and injector which are required to be used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Both the ureteral catheter and injector are used as part of the delivery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are assessing second source suppliers regarding certain components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are advancing these conversations as a means to ensure both a second source and potential future reductions in cost of revenues. However, there can be no assurance that we will be able to secure any second-source suppliers for these key components on a timely basis, on favorable terms, or at all.</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rely on third party transportation to deliver materials to our facilities and ship products to our customers. Transport operators are exposed to various risks, such as extreme weather conditions, natural disasters, outbreaks of war, terrorist attacks or other acts of hostility, work stoppages, personnel shortages, and operating hazards, as well as interstate and international transportation requirements. In addition, transport operators were affected by the impact of COVID-19 and the related shipping crisis and backlog, which led to increased shipping costs and supply chain disruptions, and a resurgence of COVID-19 or other pandemics, epidemics or public health emergencies may cause similar disruptions that may impact our operations in the future.</w:t>
      </w:r>
    </w:p>
    <w:p>
      <w:pPr>
        <w:spacing w:after="0" w:line="18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If we experience transportation problems, or if there are other significant changes in the cost of these services, we may not be able to arrange efficient alternatives and timely means to obtain materials or ship products to our customers. Our failure to obtain such materials, ship products or maintain sufficient buffer inventory could materially and adversely impact our business, financial condition and results of operations.</w:t>
      </w:r>
    </w:p>
    <w:p>
      <w:pPr>
        <w:spacing w:after="0" w:line="174"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We may need to enter into agreements with additional distributors or suppliers, and there is no guarantee that we will be able to do so on commercially reasonable terms or at all. If we are unable to maintain and, if needed, expand, our network of specialty distributors or suppliers, this would expose us to substantial risk in our clinical development or commercialization efforts.</w:t>
      </w:r>
    </w:p>
    <w:p>
      <w:pPr>
        <w:spacing w:after="0" w:line="161"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approved product, Jelmyto, and our product candidates from being marketed abroad.</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commercialized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fully approved for marketing in Israel, there can be no assurance that it will achieve the broad degree of physician adoption and use, reimbursement and market acceptance necessary for commercial success.</w:t>
      </w:r>
    </w:p>
    <w:p>
      <w:pPr>
        <w:sectPr>
          <w:pgSz w:w="11900" w:h="16838" w:orient="portrait"/>
          <w:cols w:equalWidth="0" w:num="1">
            <w:col w:w="11200"/>
          </w:cols>
          <w:pgMar w:left="320" w:top="126" w:right="37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both"/>
        <w:ind w:right="480"/>
        <w:spacing w:after="0" w:line="260" w:lineRule="auto"/>
        <w:rPr>
          <w:sz w:val="20"/>
          <w:szCs w:val="20"/>
          <w:color w:val="auto"/>
        </w:rPr>
      </w:pPr>
      <w:r>
        <w:rPr>
          <w:rFonts w:ascii="Arial" w:cs="Arial" w:eastAsia="Arial" w:hAnsi="Arial"/>
          <w:sz w:val="18"/>
          <w:szCs w:val="18"/>
          <w:b w:val="1"/>
          <w:bCs w:val="1"/>
          <w:i w:val="1"/>
          <w:iCs w:val="1"/>
          <w:color w:val="auto"/>
        </w:rPr>
        <w:t>We rely on third parties and consultants to assist us in conducting our clinical trials for our product candidates. If these third parties or consultants do not successfully carry out their contractual duties or meet expected deadlines, we may be unable to obtain regulatory approval for or commercialize UGN-102 or any of our other product candidates.</w:t>
      </w:r>
    </w:p>
    <w:p>
      <w:pPr>
        <w:spacing w:after="0" w:line="16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do not have the ability to independently conduct many of our nonclinical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UGN-102 or any of our other product candidates.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and the third parties upon whom we rely are required to comply with Good Clinical Practice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healthcare privacy and security laws; and bribery and anti-corruption laws.</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clinical investigators or other third parties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178"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future, we may acquire or in-license additional product candidates and technologies. Any product candidate or technologies we in-license or acquire will likely require additional development efforts prior to commercial sale, including extensive nonclinical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economically manufacture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We will need to continue to increase the size of our organization. If we fail to manage our growth effectively, our business could be disrupted.*</w:t>
      </w:r>
    </w:p>
    <w:p>
      <w:pPr>
        <w:spacing w:after="0" w:line="12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As of September 30, 2023, we had 192 employees, of whom 40 are based in Israel and 152 are based in the United States. We will need to continue to expand our development, quality, managerial, operational, finance, marketing, sales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76"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9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As we continue to grow as an organization, including by expanding our development efforts and building out and developing our commercial capabilities to support our ongoing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we will evaluate, and may implement, changes to our organization that may be appropriate in order to properly manage and direct our growth and transformation into a commercial-stage company. 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or other significant changes to our organization could delay the execution of our development, commercialization and strategic objectives or disrupt our operations; and if we are not successful in commercializing our approved product or any of our product candidates that may receive regulatory approval, either on our own or through collaborations with one or more third parties, our revenues will suffer, and we would incur significant additional losses.</w:t>
      </w:r>
    </w:p>
    <w:p>
      <w:pPr>
        <w:spacing w:after="0" w:line="174" w:lineRule="exact"/>
        <w:rPr>
          <w:sz w:val="20"/>
          <w:szCs w:val="20"/>
          <w:color w:val="auto"/>
        </w:rPr>
      </w:pPr>
    </w:p>
    <w:p>
      <w:pPr>
        <w:ind w:right="146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other products we develop.</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face an inherent risk of product liability as a result of the clinical testing of our product candidates and face or will face an even greater risk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investigational product candidates that receive marketing approval.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decreased demand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investigational product candidates we develop;</w:t>
      </w:r>
    </w:p>
    <w:p>
      <w:pPr>
        <w:spacing w:after="0" w:line="204"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we develop.</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As a result of receiving marketing approval of </w:t>
      </w:r>
      <w:r>
        <w:rPr>
          <w:rFonts w:ascii="Arial" w:cs="Arial" w:eastAsia="Arial" w:hAnsi="Arial"/>
          <w:sz w:val="18"/>
          <w:szCs w:val="18"/>
          <w:i w:val="1"/>
          <w:iCs w:val="1"/>
          <w:color w:val="auto"/>
        </w:rPr>
        <w:t>Jelmyto</w:t>
      </w:r>
      <w:r>
        <w:rPr>
          <w:rFonts w:ascii="Arial" w:cs="Arial" w:eastAsia="Arial" w:hAnsi="Arial"/>
          <w:sz w:val="18"/>
          <w:szCs w:val="18"/>
          <w:color w:val="auto"/>
        </w:rPr>
        <w:t>, we have expanded our insurance coverage to include the commercialization of</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however, we may be unable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this liability insurance on commercially reasonable terms and such insurance may be insufficient to cover our exposure. In addition, if and when we obtain approval for marketing UGN-102 or any other product candidate, we intend to further expand our insurance coverage to include the commercialization of UGN-102 or any other approved product; however, we may be unable to obtain this additional liability insurance on commercially reasonable terms.</w:t>
      </w:r>
    </w:p>
    <w:p>
      <w:pPr>
        <w:sectPr>
          <w:pgSz w:w="11900" w:h="16838" w:orient="portrait"/>
          <w:cols w:equalWidth="0" w:num="1">
            <w:col w:w="11220"/>
          </w:cols>
          <w:pgMar w:left="320" w:top="126" w:right="359" w:bottom="305"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305"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we may be unable to successfully develop our product candidates, conduct our clinical trials and commercialize any of the products we develop.</w:t>
      </w:r>
    </w:p>
    <w:p>
      <w:pPr>
        <w:spacing w:after="0" w:line="139"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scientific and other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If our information technology systems or data, or those of third parties upon whom we rely, are or were compromised, this could result in adverse consequences resulting from such compromise including but not limited to regulatory investigations or actions; litigation; fines and penalties; a material disruption of our drug development program; compromise sensitive information related to our business; harm our reputation; triggering our breach notification obligations; prevent us from accessing critical information; disruptions of our business operations; loss of revenue or profits; loss of customers or sales and expose us to liability or other adverse effects to our business.*</w:t>
      </w:r>
    </w:p>
    <w:p>
      <w:pPr>
        <w:spacing w:after="0" w:line="16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In the ordinary course of our business, we, and the third parties upon which we rely, process proprietary, confidential and sensitive information, including personal data (such as health information), intellectual property, trade secrets, and proprietary business information owned or controlled by ourselves or other parties (collectively, sensitive information).</w:t>
      </w:r>
    </w:p>
    <w:p>
      <w:pPr>
        <w:spacing w:after="0" w:line="17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our CROs and other contractors, consultants, third-party vendors, and other third parties on which we rely, depend on information technology, telecommunication systems and data processing for significant elements of our operations, including, for example, systems handling human resources, financial reporting and controls, regulatory compliance and other infrastructure operations.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particular,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7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operate our business. Additionally, our sensitive information could be leaked, disclosed, or revealed as a result of or in connection with our employee’s, personnel’s, or vendor’s use of generative AI technologies.</w:t>
      </w:r>
    </w:p>
    <w:p>
      <w:pPr>
        <w:sectPr>
          <w:pgSz w:w="11900" w:h="16838" w:orient="portrait"/>
          <w:cols w:equalWidth="0" w:num="1">
            <w:col w:w="11220"/>
          </w:cols>
          <w:pgMar w:left="320" w:top="126" w:right="359" w:bottom="332"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332"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be unable to detect and remediate all vulnerabilities in our information technology systems because such threats and techniques used to exploit the vulnerability change frequently and are often sophisticated in nature. Despite our efforts to identify and address vulnerabilities, if any, in our information technology systems, our efforts may not be successful. Further, we may experience delays in developing and deploying remedial measures designed to address any such identified vulnerabilities. Therefore, such vulnerabilities could be exploited but may not be detected until after a security incident has occurred. Unremediated high or critical risk vulnerabilities pose material risks to our business.</w:t>
      </w:r>
    </w:p>
    <w:p>
      <w:pPr>
        <w:spacing w:after="0" w:line="1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applicable data privacy and security obligations and public company disclosure obligations may require us to notify relevant stakeholders, including affected individuals, regulators and investors, of certain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For example,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information, including preventing us from conducting clinical trials, tests or research and development activities and preventing us from managing the administrative aspects of our business. In addition, the loss of clinical trial data from completed, ongoing or planned clinical trials could result in delays in our regulatory approval efforts and significantly increase our costs to recover or reproduce the data. To the extent that any disruption or security incident results in a loss of or damage to our data or applications, or inappropriate disclosure of confidential or proprietary information, we could incur liability and the further development of our product candidates could be delayed. If the information technology systems of our third-party vendors and other contractors become subject to disruptions or security incidents, we may have insufficient recourse against such third parties and may have to expend significant resources to mitigate the impact of such an event, and to develop and implement protections to prevent future events of this nature from occurring. In addition, whether a cybersecurity incident is reportable to our investors may not be straightforward, may take considerable time to determine, and may be subject to change as the investigation of the incident progresses, including changes that may significantly alter any initial disclosure we provide. Moreover, experiencing a material cybersecurity incident and any mandatory disclosures could lead to negative publicity, loss of investor, customer or partner confidence in the effectiveness of our cybersecurity measures, diversion of management’s attention, governmental investigations, lawsuits, and the expenditure of significant capital and other resources.</w:t>
      </w:r>
    </w:p>
    <w:p>
      <w:pPr>
        <w:spacing w:after="0" w:line="17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2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76"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on July 9, 2021, President Biden signed an executive order encouraging the Federal Trade Commission (“FTC”) to curtail unfair use of non-compete agreements and other agreements that may unfairly limit worker mobility. While we cannot predict how the initiatives set forth in the executive order will be implemented or, as a result, the impact that the executive order will have on our operations, there is now increased uncertainty regarding the long-term enforceability of our non-compete agreements. In January 2023, the FTC proposed a rule that, if enacted, would prohibit employers from entering into non-compete clauses with workers and require employers to rescind existing non-complete clauses. Moreover, the law governing non-compete agreements and other forms of restrictive covenants varies from state to state within the U.S. and some states are reluctant to strictly enforce non-compete agreements.</w:t>
      </w:r>
    </w:p>
    <w:p>
      <w:pPr>
        <w:spacing w:after="0" w:line="181"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buying or selling of our ordinary shares while in possession of material non-public information; or laws that require the reporting of financial information or data accurately.</w:t>
      </w:r>
    </w:p>
    <w:p>
      <w:pPr>
        <w:sectPr>
          <w:pgSz w:w="11900" w:h="16838" w:orient="portrait"/>
          <w:cols w:equalWidth="0" w:num="1">
            <w:col w:w="11200"/>
          </w:cols>
          <w:pgMar w:left="320" w:top="126" w:right="379" w:bottom="912"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912"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and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significant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which could have a significant impact on the conduct of our business.</w:t>
      </w:r>
    </w:p>
    <w:p>
      <w:pPr>
        <w:spacing w:after="0" w:line="174"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research and development activities and our third-party subcontractors’ and suppliers’ activities involve the controlled storage, use, transportation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8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2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New Israeli Shekels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For example, the dollar</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appreciated against the NIS during 2022 by a total of 11.9%. We cannot predict any future trends in the rate of inflation in Israel or the rate of devaluation (if any) of the NIS against the dollar. If the dollar cost of our operations in Israel increases, our dollar-measured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the effects of health pandemics, epidemics or other public health emergencies.*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A pandemic, epidemic or other public health emergencies, including a resurgence of COVID-19, poses the risk that we or our employees, contractors, suppliers, customers, and other partners may be prevented from conducting certain business activities for an indefinite period of time, including due to spread of the disease within these groups or due to shutdowns that may be requested or mandated by governmental authorities. For example, COVID-19 and mitigation measures to slow its spread had an adverse impact on global economic conditions. While it is not possible at this time to estimate the impact that any such pandemic, epidemic or other public health emergency could have on our business, if such an event were to occur, it could have an adverse impact on global economic conditions which could have an adverse effect on our business and financial condition, including impairing our ability to raise capital when needed. The measures that may be taken by various governments, in response to a pandemic, epidemic or other public health emergency, including a resurgence of COVID -19, could disrupt the supply chain of material needed for our product candidates and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interrupt healthcare services, delay coverage decisions from Medicare and third party payors, delay ongoing and planned clinical trials involving our product candidates and have a material adverse effect on our business, financial condition and results of operations. In addition, we and many of our potential customers and partners worldwide have in the past and may in the future be subject to stay-at-home orders as a result of COVID-19 or future pandemics, epidemics or public health emergencies, including a resurgence of COVID-19. In addition, our ongoing commercial launch of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and subsequent commercialization activities could be hindered by a pandemic, epidemic or other public health emergency,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resurgence of COVID-19, although we are currently not able to predict or quantify any such potential impact with any degree of certainty. The worldwide spread of the COVID-19 virus previously resulted in and a future pandemic, epidemic or public health emergency, including a resurgence of COVID-19, may in the future result in a varying degree of interruption or slowdown of economic activity, thereby impacting demand for a broad variety of goods and services, including potentially for </w:t>
      </w:r>
      <w:r>
        <w:rPr>
          <w:rFonts w:ascii="Arial" w:cs="Arial" w:eastAsia="Arial" w:hAnsi="Arial"/>
          <w:sz w:val="18"/>
          <w:szCs w:val="18"/>
          <w:i w:val="1"/>
          <w:iCs w:val="1"/>
          <w:color w:val="auto"/>
        </w:rPr>
        <w:t>Jelmyto</w:t>
      </w:r>
      <w:r>
        <w:rPr>
          <w:rFonts w:ascii="Arial" w:cs="Arial" w:eastAsia="Arial" w:hAnsi="Arial"/>
          <w:sz w:val="18"/>
          <w:szCs w:val="18"/>
          <w:color w:val="auto"/>
        </w:rPr>
        <w:t>, while also disrupting sales channels and marketing activities for an unknown period of time.</w:t>
      </w:r>
    </w:p>
    <w:p>
      <w:pPr>
        <w:sectPr>
          <w:pgSz w:w="11900" w:h="16838" w:orient="portrait"/>
          <w:cols w:equalWidth="0" w:num="1">
            <w:col w:w="11240"/>
          </w:cols>
          <w:pgMar w:left="320" w:top="126" w:right="339" w:bottom="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p>
    <w:p>
      <w:pPr>
        <w:sectPr>
          <w:pgSz w:w="11900" w:h="16838" w:orient="portrait"/>
          <w:cols w:equalWidth="0" w:num="1">
            <w:col w:w="11240"/>
          </w:cols>
          <w:pgMar w:left="320" w:top="126" w:right="339" w:bottom="0" w:gutter="0" w:footer="0" w:header="0"/>
          <w:type w:val="continuous"/>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timelines and conduct of our ongoing clinical trials may be affected by future pandemics, epidemics or public health emergencies, including a resurgence of COVID-19. Clinical site initiation and patient enrollment may be delayed due to prioritization of hospital resources toward any such pandemic, epidemic or public health emergency and patients’ ability or willingness to participate in clinical trials. For those patients who are enrolled and desire to continue in the clinical trials, some patients may not be able or willing to comply with clinical trial protocols if quarantines or governmental orders impede patient movement or interrupt healthcare services. Similarly, we may face increased challenges with the ability to recruit and retain patients and principal investigators and site staff who, as healthcare providers, may have heightened exposure to diseases, which could adversely impact our clinical trial operations, timelines and outcomes. While we remain in close contact with our clinical sites and suppliers to attempt to assess the impacts future pandemics, epidemics or public health emergencies, including a resurgence of COVID-19, may have on our clinical trials and projected timelines and we have reviewed and acknowledged recent FDA guidance in our protocols, and follow such guidance where possible, with an effort to ensure the ongoing safety of the patients in our clinical trials and the continued collection of high quality data, there is no guarantee that such efforts will be successful. As challenging as conducting clinical trials is during normal times, the risks, operational challenges and costs of conducting clinical trials have increased substantially following COVID-19.</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Additionally, during most of the COVID-19 pandemic, our sales force had physical access to hospitals, surgery centers, clinics, healthcare providers and pharmacies curtailed, which we believe affected our sales and any future pandemics, epidemics or public health emergencies, including a resurgence of COVID-19, may in the future have a material adverse effect on our future sales. Beginning in the second quarter of 2021, our territory business managers have been able to engage in higher levels of in-person physician interaction than they were previously during the COVID-19 pandemic. However, there can be no assurance that our territory business managers will continue to have in-person access to physicians if any future pandemics, epidemics or public health emergencies, including a resurgence of COVID-19, were to occur. In addition, while we have developed digital materials and programs for our sales force to use in order to engage virtually with their target physicians when in-person engagement is not safe or feasible, digital materials and virtual engagement may not be effective at growing and maintaining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Additionally, patients who are currently using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who are eligible to use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may be unable to meet with their healthcare providers in person, which may reduce the number of new patient starts and hinder the ability of healthcare providers to complete the recommended number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instillations, affecting our revenues both in our currently approved indication and potentially impacting our anticipated launches in other indications, if approved.</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To the extent any future pandemics, epidemics or public health emergencies, including a resurgence of COVID-19, adversely affects our business and financial results, it may also have the effect of heightening many of the other risks described in the “Risk Factors” section of this report.</w:t>
      </w:r>
    </w:p>
    <w:p>
      <w:pPr>
        <w:spacing w:after="0" w:line="16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i w:val="1"/>
          <w:iCs w:val="1"/>
          <w:color w:val="auto"/>
        </w:rPr>
        <w:t>Certain of our clinical trials and other significant operations (including our Israeli corporate offices and contract manufacturers) are located outside of the United States and, therefore, our results may be adversely affected by geopolitical, economic and military instability.*</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Certain of our clinical trials operate outside the U.S. and certain of our research and development facilities and key vendors and suppliers are located in Israel. If any of these current or future trials or the related facilities or our or our vendors' and suppliers' facilities in Israel were to be damaged, destroyed or otherwise unable to operate, whether due to war, acts of hostility, earthquakes, fire, floods, hurricanes, storms, tornadoes, other natural disasters, employee malfeasance, terrorist acts, pandemic, power outages or otherwise, or if performance of our clinical trials are disrupted for any other reason, such an event could cause significant development and product delays. If we experience delays in achieving our development objectives within a timeframe that meets our prospective customers’ expectations, our business, prospects, financial results and reputation could be harmed.</w:t>
      </w:r>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Geopolitical, economic and military conditions around the world may directly affect our business. Any hostilities involving any of the countries in which we operate, including terrorist activities, political instability or violence in the region or the interruption or curtailment of trade or transport between such country and its trading partners could adversely affect our operations and results of operations and adversely affect the market price of our ordinary shares.</w:t>
      </w:r>
    </w:p>
    <w:p>
      <w:pPr>
        <w:spacing w:after="0" w:line="16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w:t>
      </w:r>
      <w:r>
        <w:rPr>
          <w:rFonts w:ascii="Arial" w:cs="Arial" w:eastAsia="Arial" w:hAnsi="Arial"/>
          <w:sz w:val="18"/>
          <w:szCs w:val="18"/>
          <w:b w:val="1"/>
          <w:bCs w:val="1"/>
          <w:color w:val="auto"/>
        </w:rPr>
        <w:t>FCPA"</w:t>
      </w:r>
      <w:r>
        <w:rPr>
          <w:rFonts w:ascii="Arial" w:cs="Arial" w:eastAsia="Arial" w:hAnsi="Arial"/>
          <w:sz w:val="18"/>
          <w:szCs w:val="18"/>
          <w:b w:val="1"/>
          <w:bCs w:val="1"/>
          <w:i w:val="1"/>
          <w:iCs w:val="1"/>
          <w:color w:val="auto"/>
        </w:rPr>
        <w: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currently dedicate certain resources to comply with numerous laws and regulations in each jurisdiction in which we operate outside of the United States. Our business activities in these foreign countries may be subject to the FCPA and similar anti-bribery or anti-corruption laws, regulations or rules of other countries in which we operate.</w:t>
      </w:r>
    </w:p>
    <w:p>
      <w:pPr>
        <w:spacing w:after="0" w:line="17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ectPr>
          <w:pgSz w:w="11900" w:h="16838" w:orient="portrait"/>
          <w:cols w:equalWidth="0" w:num="1">
            <w:col w:w="11240"/>
          </w:cols>
          <w:pgMar w:left="320" w:top="126" w:right="339" w:bottom="1142"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142"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8"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cancer, in particular urothelial and bladder cancer using hydrogel-based compositions, the method for treating overactive bladder topically without the need for injections, including an in-dwelling ureter catheter system for optimal delivery of a drug into the renal cavity.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seek patent protection for our product candidates, and we hold a broad collection of intellectual property comprised of issued</w:t>
      </w:r>
    </w:p>
    <w:p>
      <w:pPr>
        <w:spacing w:after="0" w:line="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patents, pending patent applications and trademarks covering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the pharmaceutical compositions, methods of use and manufacturing aspects of our product candidates. In the United States, we currently hold 19 granted patents that are directed to protect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lead product candidate, UGN-102, a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local compositions comprising different active ingredients, inter alia compositions comprising a Botulinum Toxin, UGN-201, the use of UGN-201 and UGN-301, and our future product candidates that are under company research. These IP rights relate to certain aspects of cancer treatment. These issued patents are set to expire between 2024 and 2037. In total, our IP portfolio includes 42 granted patents worldwide, and more than 45 pending patent applications filed in the U.S., Europe, Israel, Japan, Canada, China, Mexico and Australia that are directed to cover various methods, systems and compositions for treating cancer locally, by intravesical means, utilize various active ingredients and the combinations thereof. These patent applications, if issued, are set to expire between 2031 and 2041.</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known compounds and our patents and pending patent applications are directed inter alia to novel formulations of these known compounds with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Accordingly, other parties may compete with us, for example, by independently developing or obtaining competing topical formulations that design around our patent claims, but which may contain the same active ingredients, or by seeking to invalidate our patents. Any disclosure of or misappropriation by third parties of our confidential proprietary information could enable competitors to quickly duplicate or surpass our technological achievements, eroding our competitive position in the market.</w:t>
      </w:r>
    </w:p>
    <w:p>
      <w:pPr>
        <w:spacing w:after="0" w:line="180"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We will not necessarily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One or more of the patent applications that we filed,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granted patents are complex, lengthy and highly technical documents that are often prepared under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USPTO may be subject to reexamination and other challenges.</w:t>
      </w:r>
    </w:p>
    <w:p>
      <w:pPr>
        <w:spacing w:after="0" w:line="174"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Pharmaceutical patents and patent applications involve highly complex legal and factual questions, which, if determined adversely to us, could negatively impact our patent position. There is significant litigation activity in the pharmaceutical industry regarding patent and other intellectual property rights. Such litigation could result in substantial costs and be a distraction to management and other employees.</w:t>
      </w:r>
    </w:p>
    <w:p>
      <w:pPr>
        <w:spacing w:after="0" w:line="15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 xml:space="preserve">The patent positions of biotechnology and pharmaceutical companies can be highly uncertain and involve complex legal and factual questions. The interpretation and breadth of claims allowed in some patents covering pharmaceutical compositions may be uncertain and difficult to determine and are often affected materially by the facts and circumstances that pertain to the patented compositions and the related patent claims. 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w:t>
      </w:r>
      <w:r>
        <w:rPr>
          <w:rFonts w:ascii="Arial" w:cs="Arial" w:eastAsia="Arial" w:hAnsi="Arial"/>
          <w:sz w:val="18"/>
          <w:szCs w:val="18"/>
          <w:i w:val="1"/>
          <w:iCs w:val="1"/>
          <w:color w:val="auto"/>
        </w:rPr>
        <w:t>Jelmyto</w:t>
      </w:r>
      <w:r>
        <w:rPr>
          <w:rFonts w:ascii="Arial" w:cs="Arial" w:eastAsia="Arial" w:hAnsi="Arial"/>
          <w:sz w:val="18"/>
          <w:szCs w:val="18"/>
          <w:color w:val="auto"/>
        </w:rPr>
        <w:t>, UGN-102 and any of our other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20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There can be no assurance that the patent applications will be granted. The term of individual patents depends upon the legal term of the patents in the countries in which they are obtained.</w:t>
      </w:r>
    </w:p>
    <w:p>
      <w:pPr>
        <w:spacing w:after="0" w:line="15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ectPr>
          <w:pgSz w:w="11900" w:h="16838" w:orient="portrait"/>
          <w:cols w:equalWidth="0" w:num="1">
            <w:col w:w="11220"/>
          </w:cols>
          <w:pgMar w:left="320" w:top="126" w:right="3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2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In September 2011, the Leahy-Smith America Invents Act, or the America Invents Act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a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77"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ectPr>
          <w:pgSz w:w="11900" w:h="16838" w:orient="portrait"/>
          <w:cols w:equalWidth="0" w:num="1">
            <w:col w:w="11220"/>
          </w:cols>
          <w:pgMar w:left="320" w:top="126" w:right="3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5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filed applications for trademarks (</w:t>
      </w:r>
      <w:r>
        <w:rPr>
          <w:rFonts w:ascii="Arial" w:cs="Arial" w:eastAsia="Arial" w:hAnsi="Arial"/>
          <w:sz w:val="18"/>
          <w:szCs w:val="18"/>
          <w:i w:val="1"/>
          <w:iCs w:val="1"/>
          <w:color w:val="auto"/>
        </w:rPr>
        <w:t>Jelmyto</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RTGel</w:t>
      </w:r>
      <w:r>
        <w:rPr>
          <w:rFonts w:ascii="Arial" w:cs="Arial" w:eastAsia="Arial" w:hAnsi="Arial"/>
          <w:sz w:val="14"/>
          <w:szCs w:val="14"/>
          <w:color w:val="auto"/>
        </w:rPr>
        <w:t>®</w:t>
      </w:r>
      <w:r>
        <w:rPr>
          <w:rFonts w:ascii="Arial" w:cs="Arial" w:eastAsia="Arial" w:hAnsi="Arial"/>
          <w:sz w:val="18"/>
          <w:szCs w:val="18"/>
          <w:color w:val="auto"/>
        </w:rPr>
        <w:t>, and UroGen</w:t>
      </w:r>
      <w:r>
        <w:rPr>
          <w:rFonts w:ascii="Arial" w:cs="Arial" w:eastAsia="Arial" w:hAnsi="Arial"/>
          <w:sz w:val="14"/>
          <w:szCs w:val="14"/>
          <w:color w:val="auto"/>
        </w:rPr>
        <w:t>®</w:t>
      </w:r>
      <w:r>
        <w:rPr>
          <w:rFonts w:ascii="Arial" w:cs="Arial" w:eastAsia="Arial" w:hAnsi="Arial"/>
          <w:sz w:val="18"/>
          <w:szCs w:val="18"/>
          <w:color w:val="auto"/>
        </w:rPr>
        <w:t xml:space="preserve">) that identify our branding elements, such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unique technology in the United States, Europe, Japan and China.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67"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or the patents of our licensors, which could be expensive and time consuming.</w:t>
      </w:r>
    </w:p>
    <w:p>
      <w:pPr>
        <w:spacing w:after="0" w:line="12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ectPr>
          <w:pgSz w:w="11900" w:h="16838" w:orient="portrait"/>
          <w:cols w:equalWidth="0" w:num="1">
            <w:col w:w="11240"/>
          </w:cols>
          <w:pgMar w:left="320" w:top="126"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inter partes review and post grant review. The implementation of these procedures brings uncertainty to the possibility of challenges to our patents in the future, including challenges by competitors who perceive our patents as blocking entry into the market for their products, and the outcome of such challenges.</w:t>
      </w:r>
    </w:p>
    <w:p>
      <w:pPr>
        <w:spacing w:after="0" w:line="18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7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5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166"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 significant portion of our intellectual property has been developed by our employees during their employment. Our employees execute agreements that assign to us any ownership interest in a patent or patent application created in the scope of the employee’s employment. In Israel, the Israeli Patent Law, 5727-1967, or the Patent Law, provides that inventions conceived by an employee during the scope of his or her employment with a company are regarded as “service inventions.” Accordingly, our employees in Israel also enter into agreements that, among other things, waive the right to special remuneration for service inventions created in the scope of their employment or engagement.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our Israeli employees that waive their right to special remuneration for service inventions created in the scope of their employment or engagement, we may nonetheless face claims by employees demanding remuneration beyond their regular salary and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for example, the intellectual property rights of competitors. Our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unknowingly infringe existing patents by commercialization of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ectPr>
          <w:pgSz w:w="11900" w:h="16838" w:orient="portrait"/>
          <w:cols w:equalWidth="0" w:num="1">
            <w:col w:w="11240"/>
          </w:cols>
          <w:pgMar w:left="320" w:top="126"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66" w:lineRule="exact"/>
        <w:rPr>
          <w:sz w:val="20"/>
          <w:szCs w:val="20"/>
          <w:color w:val="auto"/>
        </w:rPr>
      </w:pPr>
    </w:p>
    <w:p>
      <w:pPr>
        <w:ind w:right="54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2"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b w:val="1"/>
          <w:bCs w:val="1"/>
          <w:i w:val="1"/>
          <w:iCs w:val="1"/>
          <w:color w:val="auto"/>
        </w:rPr>
        <w:t>If the FDA does not conclude that UGN-102 satisfies the requirements under 505(b)(2) or if the requirements for our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Drug Price Competition and Patent Term Restoration Act of 1984 (the "Hatch-Waxman Act"), added 505(b)(2) to the FDCA. 505(b)(2) permits the filing of an NDA where at least some of the information required for approval comes from studies that were not conducted by or for the applicant, and for which the applicant has not received a right of reference, which could expedite the development program for UGN-102 and our other product candidates by potentially decreasing the amount of nonclinical and clinical data that we would need to generate in order to obtain FDA approval. However, while we believe that our product candidates are reformulations of existing drugs and, therefore, will not be treated as NCEs, the submission of an NDA under the 505(b)(2) pathway does not preclude the FDA from determining that the product candidate that is the subject of such submission is an NCE and therefore not eligible for review under such regulatory pathway.</w:t>
      </w:r>
    </w:p>
    <w:p>
      <w:pPr>
        <w:spacing w:after="0" w:line="1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the FDA does not allow us to pursue the 505(b)(2) pathway as anticipated, we may need to conduct additional nonclinical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505(b)(2) pathway could result in new competitive products reaching the market more quickly than our product candidates, which would likely harm our competitive position and prospects. Even if we are allowed to pursue the 505(b)(2) pathway, our product candidates may not receive the requisite approvals for commercialization.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notwithstanding the approval of a number of products by the FDA under 505(b)(2) certain competitors and others have objected to the FDA’s interpretation of 505(b)(2). If the FDA’s interpretation of 505(b)(2) is successfully challenged, the FDA may be required to change its 505(b)(2) policies and practices, which could delay or even prevent the FDA from approving any NDA that we submit under 505(b)</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(2). In addition, the pharmaceutical industry is highly competitive, and 505(b)(2) NDAs are subject to special requirements designed to protect the patent rights of sponsors of previously approved drugs that are referenced in a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505(b)(2) regulatory pathway for our product candidates, there is no guarantee this would ultimately lead to faster product development or earlier approval.</w:t>
      </w:r>
    </w:p>
    <w:p>
      <w:pPr>
        <w:spacing w:after="0" w:line="182"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Moreover, even if these product candidates are approved under the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the FDA and the FTC have been focused on brand companies’ denial of drug supply to potential generic competitors for testing. In December 2019, the CREATES Act was enacted, which provides a legislatively defined private right of action under which generic companies can bring suit against companies who refuse access to product for the bioequivalence testing needed to support approval of a generic product.</w:t>
      </w:r>
    </w:p>
    <w:p>
      <w:pPr>
        <w:spacing w:after="0" w:line="18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cannot currently predict the specific outcome or impact on our business of such regulatory and legislative initiatives, litigation or investigation. However, it is our policy, which is in compliance with the CREATES Act, to evaluate requests for samples of our branded products, and to provide samples in response to bona fide requests from qualified third parties, including generic manufacturers, subject to specified conditions.</w:t>
      </w:r>
    </w:p>
    <w:p>
      <w:pPr>
        <w:spacing w:after="0" w:line="16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7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of 2010 (collectively, the “ACA”), laws intended, among other things, to broaden access to health insurance, improve quality of care, and reduce or constrain the growth of healthcare spending.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any such challenges, other litigation and the healthcare reform measures of the Biden administration will impact the ACA and our business.</w:t>
      </w:r>
    </w:p>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in August 2011, President Obama signed into law the Budget Control Act of 2011, which, among other things included aggregate reductions to Medicare payments to healthcare providers of up to 2.0% per fiscal year, which started in 2013 and, due to subsequent legislative amendments to the statute, including the BBA, and the Consolidated Appropriations Act of 2023, will stay in effect until 2032,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AMP, for single source and innovator multiple source drugs, beginning January 1, 2024.</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November 15, 2021, President Biden signed into law the Infrastructure Investment and Jobs Act. Beginning on January 1, 2023, manufacturers will be required to pay quarterly refunds to CMS for discarded amounts of certain single-dose container and single-use package drugs payable under part B of the Medicare program. Refunds will generally be based on the discarded volume above 10% of the total allowed amount. CMS has been receptive to evaluating the feasibility of the 10% threshold, and where appropriate, has modified the discarded volume threshold accordingly. One example of this modification is </w:t>
      </w:r>
      <w:r>
        <w:rPr>
          <w:rFonts w:ascii="Arial" w:cs="Arial" w:eastAsia="Arial" w:hAnsi="Arial"/>
          <w:sz w:val="18"/>
          <w:szCs w:val="18"/>
          <w:i w:val="1"/>
          <w:iCs w:val="1"/>
          <w:color w:val="auto"/>
        </w:rPr>
        <w:t>Jelmyto</w:t>
      </w:r>
      <w:r>
        <w:rPr>
          <w:rFonts w:ascii="Arial" w:cs="Arial" w:eastAsia="Arial" w:hAnsi="Arial"/>
          <w:sz w:val="18"/>
          <w:szCs w:val="18"/>
          <w:color w:val="auto"/>
        </w:rPr>
        <w:t>.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regulations, guidance or interpretations will be changed, or what the impact of such changes on our operations, including the marketing approvals of UGN-102 or our other product candidates may be.</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171"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15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Although the FDA has granted orphan drug exclusivity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UTUC, we may not receive orphan drug exclusivity for any of our other product candidates that have received orphan designation.</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Although the FDA has granted Orphan Drug Designation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UGN-201 for treatment of UTUC and CIS, respectively,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6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147"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UGN-201 have been granted Orphan Drug Designation for the treatment of UTUC and CIS, respectively,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Even if we obtain Orphan Drug Designation for our other product candidates, we may not be the first to obtain regulatory approval for any particular orphan indication due to the uncertainties associated with developing biotechnology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Conversely, even if we are granted orphan exclusivity, a competitor that demonstrates clinical superiority with the same active moiety may obtain approval prior to expiration of our exclusivity.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5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continual regulatory review by the FDA and/or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regulatory authorities. Additionally,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regulatory approvals that we receive for our product candidates may be, subject to limitations on the approved indications for which the product may be marketed or to the conditions of approval. In addition, any regulatory approvals that we receive for our current or future product candidates may contain requirements for potentially costly post-marketing testing, including Phase 4 clinical trials, and surveillance to monitor the safety and efficacy of the product. In addition, the manufacturing processes, labeling, packaging, distribution, adverse event reporting, storage, advertising, promotion and recordkeeping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of our product candidates that receive regulatory approval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Later discovery of previously unknown problems with our products or product candidates, including adverse events of unanticipated severity or frequency, or problems with our third-party manufacturers’ processes, or failure to comply with regulatory requirements, may result in, among other things:</w:t>
      </w:r>
    </w:p>
    <w:p>
      <w:pPr>
        <w:spacing w:after="0" w:line="184" w:lineRule="exact"/>
        <w:rPr>
          <w:sz w:val="20"/>
          <w:szCs w:val="20"/>
          <w:color w:val="auto"/>
        </w:rPr>
      </w:pPr>
    </w:p>
    <w:p>
      <w:pPr>
        <w:ind w:left="900" w:right="860" w:hanging="447"/>
        <w:spacing w:after="0" w:line="26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900" w:right="220" w:hanging="447"/>
        <w:spacing w:after="0" w:line="26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license approvals; and</w:t>
      </w:r>
    </w:p>
    <w:p>
      <w:pPr>
        <w:spacing w:after="0" w:line="159" w:lineRule="exact"/>
        <w:rPr>
          <w:rFonts w:ascii="Arial" w:cs="Arial" w:eastAsia="Arial" w:hAnsi="Arial"/>
          <w:sz w:val="18"/>
          <w:szCs w:val="18"/>
          <w:color w:val="auto"/>
        </w:rPr>
      </w:pPr>
    </w:p>
    <w:p>
      <w:pPr>
        <w:ind w:left="900" w:right="500" w:hanging="447"/>
        <w:spacing w:after="0" w:line="26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spacing w:after="0" w:line="17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significant penalties.</w:t>
      </w:r>
    </w:p>
    <w:p>
      <w:pPr>
        <w:spacing w:after="0" w:line="15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are subject to various U.S. federal, state and foreign health care laws, including those intended to prevent health care fraud and abuse. These laws may impact, among other things, our clinical research, sales and marketing activities, and constrain the business or financial arrangements with healthcare providers, physicians, and other parties that have the ability to directly or indirectly influence the prescribing, ordering, marketing, or distribution of products for which we obtain marketing approval.</w:t>
      </w:r>
    </w:p>
    <w:p>
      <w:pPr>
        <w:spacing w:after="0" w:line="17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w:t>
      </w:r>
    </w:p>
    <w:p>
      <w:pPr>
        <w:spacing w:after="0" w:line="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Remuneration has been broadly defined to include anything of value, including, but not limited to, cash, improper discounts, and free or reduced-price items and services.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Federal false claims laws, including the federal civil False Claims Act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ectPr>
          <w:pgSz w:w="11900" w:h="16838" w:orient="portrait"/>
          <w:cols w:equalWidth="0" w:num="1">
            <w:col w:w="11220"/>
          </w:cols>
          <w:pgMar w:left="320" w:top="126" w:right="35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pharmaceutical companies for, among other things, alleged violations of these anti-fraud statutes, based on among other things, unlawful financial inducements paid to prescribers and beneficiaries, as well as impermissible promotional practices, including certain marketing arrangements that rely on volume-based pricing and off-label promotion of FDA-approved products.</w:t>
      </w:r>
    </w:p>
    <w:p>
      <w:pPr>
        <w:spacing w:after="0" w:line="176"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The federal Health Insurance Portability and Accountability Act of 1996 ("HIPAA"),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Additionally, HIPAA, as amended by the Health Information Technology for Economic and Clinical Health Act of 2009 (“HITECH”), and their implementing regulations, impose, among other things, specified requirements on covered entities, including certain healthcare providers, health plans, and healthcare clearinghouses, and their business associates as well as their covered subcontractors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8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operations are also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(defined to include doctors, dentists, optometrists, podiatrists and chiropractors), certain other healthcare professionals (such as physician assistants and nurse practitioners)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w:t>
      </w:r>
    </w:p>
    <w:p>
      <w:pPr>
        <w:spacing w:after="0" w:line="18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payor, including commercial insurers. In addition, we may be subject to certain foreign healthcare laws that are analogous to the U.S. healthcare laws described above.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8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Also, the FCPA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4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4"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ectPr>
          <w:pgSz w:w="11900" w:h="16838" w:orient="portrait"/>
          <w:cols w:equalWidth="0" w:num="1">
            <w:col w:w="11240"/>
          </w:cols>
          <w:pgMar w:left="320" w:top="126" w:right="339" w:bottom="912"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912"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We are subject to stringent and changing U.S. and foreign laws, regulations, rules, contractual obligations, self-regulatory schemes, government regulation, policies, standards, and other obligations related to data privacy and security. The actual or perceived failure by us, our customers, partners or vendors to comply with such obligations could lead to regulatory investigations or actions; litigation (including class claims) and mass arbitration demands; fines and penalties; disruptions of our business operations; reputational harm; loss of revenue or profits; loss of customers or sales; or otherwise adversely affect our business.*</w:t>
      </w:r>
    </w:p>
    <w:p>
      <w:pPr>
        <w:spacing w:after="0" w:line="1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ordinary course of our business, we collect, receive, store, process, generate, use, transfer, disclose, make accessible, protect, secure, dispose of, transmit, and share (collectively, "processing") proprietary, confidential, and sensitive data, including personal data, intellectual property, and trade secrets (collectively, "sensitive information"). Our data processing activities are subject to numerous data privacy and security obligations, such as domestic and foreign laws and regulations, guidance, industry standards, external and internal privacy and security policies, contractual requirements, and other obligations relating to privacy, data protection, and data security.</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United States, federal, state, and local governments have enacted numerous privacy, data protection, and data security laws, including data breach notification laws, personal data privacy laws, and consumer protection laws (e.g., Section 5 of the Federal Trade Commission Act), and other similar laws (e.g., wiretapping laws). For example, as further described above, HIPAA imposes specific requirements relating to the privacy, security, and transmission of individually identifiable health information and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such as those noted below, related to their personal data. The CCPA provides for civil penalties for noncompliance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expands the CCPA’s requirements, including by adding a new right for individuals to correct their personal information and establishing a new California Privacy Protection Agency to implement and enforce the CPRA, which could increase the risk of enforcement. Other states, such as Virginia, Colorado, Utah and Connecticut, have also passed comprehensive privacy laws, which have taken effect or will become effective in 2023, and additional similar laws are being considered at the federal, state,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laws, like the CCPA, also exempt some data processed in the context of clinical trials, these developments further complicate compliance efforts and increase legal risk and compliance costs for us, the third parties upon whom we rely. Furthermore, we may be subject to new laws governing the privacy of consumer health data.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These laws demonstrate our vulnerability to the evolving regulatory environment related to personal data. As we expand our operations, these and similar laws may increase our compliance costs and potential liability.</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privacy, data protection, and data security. For example, the European Union’s General Data Protection Regulation (“EU GDPR”) and the United Kingdom’s GDPR (“UK GDPR”) impose strict requirements for processing personal data. Our upcoming clinical trial will include sites in the EU, which will increase our exposure to potential liability under the EU GDPR.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We anticipate that over time we may expand our business to include additional operations outside of the United States and Israel. With such expansion, we would be subject to increased governmental regulation in other countries in which we might operate, including the EU GDPR. Assisting our customers, partners, and vendors in complying with the EU GDPR or other foreign laws, or complying with such laws ourselves, may cause us to incur substantial operational costs or require us to change our business practices. Additionally, under various privacy laws and other obligations, we may be required to obtain certain consents to process personal data. Our inability or failure to do so could result in adverse consequences, including class action litigation and mass arbitration demands.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Moreover, 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Inability to import personal data from Europe to the United States may limit our ability to conduct clinical trial activities in Europe, limit our ability to collaborate with contract research organizations, service providers, contractors and other entities subject to European data protection laws, adversely impact our operations, product development and ability to provide our products, and require us to increase our data processing capabilities in Europe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ectPr>
          <w:pgSz w:w="11900" w:h="16838" w:orient="portrait"/>
          <w:cols w:equalWidth="0" w:num="1">
            <w:col w:w="11240"/>
          </w:cols>
          <w:pgMar w:left="320" w:top="125" w:right="339" w:bottom="534"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34"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employees and personnel may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may also use AI/ML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18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and any changes in the regulatory framework could require us to fundamentally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71"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1"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addition to any healthcare reform measures which may affect reimbursement, market acceptance and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and our other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 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obtained pass-through status for two years, no more than three. CMS has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Our existing pass-through status is set to expire in the fourth quarter of 2023. CMS granted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New Technology APC (Ambulatory Payment Classification), effective from October 1, 2023. A service is separately for paid under a New Technology APC until sufficient claims data have been collected to allow CMS to assign the procedure to a clinical APC group that is appropriate in clinical and resource terms. This generally occurs within two to three years from the time a new HCPCS code becomes effective. However, if CMS are able to collect sufficient claims data in less than two years, CMS may consider reassigning the service to an appropriate APC, or, if CMS does not have sufficient data at the end of three years upon which to base its reassignment to an appropriate clinical APC, CMS may keep the service in a New Technology APC until adequate data become available. Loss of our New Technology APC may result in Medicare beneficiaries losing access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hospital outpatient setting and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becoming packaged into a comprehensive ambulatory payment classification.</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Although our experience to date has demonstrated coverage for </w:t>
      </w:r>
      <w:r>
        <w:rPr>
          <w:rFonts w:ascii="Arial" w:cs="Arial" w:eastAsia="Arial" w:hAnsi="Arial"/>
          <w:sz w:val="18"/>
          <w:szCs w:val="18"/>
          <w:i w:val="1"/>
          <w:iCs w:val="1"/>
          <w:color w:val="auto"/>
        </w:rPr>
        <w:t>Jelmyto</w:t>
      </w:r>
      <w:r>
        <w:rPr>
          <w:rFonts w:ascii="Arial" w:cs="Arial" w:eastAsia="Arial" w:hAnsi="Arial"/>
          <w:sz w:val="18"/>
          <w:szCs w:val="18"/>
          <w:color w:val="auto"/>
        </w:rPr>
        <w:t>, we cannot be sure that adequate coverage will be available for UGN-102 or our other product candidates, if approved, or, if coverage is available, the level of reimbursement will be adequate to make our products affordable for patients</w:t>
      </w:r>
    </w:p>
    <w:p>
      <w:pPr>
        <w:sectPr>
          <w:pgSz w:w="11900" w:h="16838" w:orient="portrait"/>
          <w:cols w:equalWidth="0" w:num="1">
            <w:col w:w="11240"/>
          </w:cols>
          <w:pgMar w:left="320" w:top="125" w:right="339" w:bottom="0" w:gutter="0" w:footer="0" w:header="0"/>
        </w:sectPr>
      </w:pPr>
    </w:p>
    <w:bookmarkStart w:id="78" w:name="page79"/>
    <w:bookmarkEnd w:id="78"/>
    <w:p>
      <w:pPr>
        <w:ind w:right="420"/>
        <w:spacing w:after="0" w:line="261" w:lineRule="auto"/>
        <w:rPr>
          <w:sz w:val="20"/>
          <w:szCs w:val="20"/>
          <w:color w:val="auto"/>
        </w:rPr>
      </w:pPr>
      <w:r>
        <w:rPr>
          <w:rFonts w:ascii="Arial" w:cs="Arial" w:eastAsia="Arial" w:hAnsi="Arial"/>
          <w:sz w:val="18"/>
          <w:szCs w:val="18"/>
          <w:color w:val="auto"/>
        </w:rPr>
        <w:t>or profitable for us. In addition, if inflation or other factors were to significantly increase our business costs, it may not be feasible to pass price increases on to our customers due to the process by which healthcare providers are reimbursed for our product candidates.</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Our experience to date has demonstrated coverage with CMS and commercial payors for </w:t>
      </w:r>
      <w:r>
        <w:rPr>
          <w:rFonts w:ascii="Arial" w:cs="Arial" w:eastAsia="Arial" w:hAnsi="Arial"/>
          <w:sz w:val="18"/>
          <w:szCs w:val="18"/>
          <w:i w:val="1"/>
          <w:iCs w:val="1"/>
          <w:color w:val="auto"/>
        </w:rPr>
        <w:t>Jelmyto</w:t>
      </w:r>
      <w:r>
        <w:rPr>
          <w:rFonts w:ascii="Arial" w:cs="Arial" w:eastAsia="Arial" w:hAnsi="Arial"/>
          <w:sz w:val="18"/>
          <w:szCs w:val="18"/>
          <w:color w:val="auto"/>
        </w:rPr>
        <w:t>, and we have established written policies with certain commercial providers. However, it is difficult to predict what CMS as well as other third-party payors will decide with respect to reimbursement for fundamentally novel products such as ours, as there is no body of established practices and precedents for these new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Moreover, for products administered under the supervision of a physician, obtaining and maintaining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88"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use of a product is:</w:t>
      </w:r>
    </w:p>
    <w:p>
      <w:pPr>
        <w:spacing w:after="0" w:line="159"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Obtaining and maintaining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w:t>
      </w:r>
    </w:p>
    <w:p>
      <w:pPr>
        <w:spacing w:after="0" w:line="171" w:lineRule="exact"/>
        <w:rPr>
          <w:sz w:val="20"/>
          <w:szCs w:val="20"/>
          <w:color w:val="auto"/>
        </w:rPr>
      </w:pPr>
    </w:p>
    <w:p>
      <w:pPr>
        <w:spacing w:after="0" w:line="205" w:lineRule="exact"/>
        <w:rPr>
          <w:sz w:val="20"/>
          <w:szCs w:val="20"/>
          <w:color w:val="auto"/>
        </w:rPr>
      </w:pPr>
      <w:r>
        <w:rPr>
          <w:rFonts w:ascii="Arial" w:cs="Arial" w:eastAsia="Arial" w:hAnsi="Arial"/>
          <w:sz w:val="18"/>
          <w:szCs w:val="18"/>
          <w:color w:val="auto"/>
        </w:rPr>
        <w:t xml:space="preserve">Although we have obtained written policy coverage in commercial plans as well as coverage for government plans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date, we cannot be sure that adequate coverage or reimbursement will continue to be available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be available for UGN-102 or any of our other product candidates, if approved. Also, we cannot be sure that reimbursement amounts will not reduce the demand for, or the price of, our future products. If reimbursement is not available, or is available only to limited levels, we may not be able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 or achieve profitably at all, even if approved. Additionally, coverage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reimbursement rates may change at any time. Even if favorable coverage and reimbursement status is attained for any of our products or product candidates that receive regulatory approval, less favorable coverage policies and reimbursement rates may be implemented in the future. For example, beginning on January 1, 2023, manufacturers will be required to pay quarterly refunds to CMS for discarded amounts of single-dose container and single-use package drugs covered under Medicare Part B. Rebates will generally be based on the discarded volume above 10% of the total allowed amount. CMS has been receptive to evaluating the feasibility of the 10% threshold, and where appropriate, has modified the discarded volume threshold accordingly. One example of this modification is </w:t>
      </w:r>
      <w:r>
        <w:rPr>
          <w:rFonts w:ascii="Arial" w:cs="Arial" w:eastAsia="Arial" w:hAnsi="Arial"/>
          <w:sz w:val="18"/>
          <w:szCs w:val="18"/>
          <w:i w:val="1"/>
          <w:iCs w:val="1"/>
          <w:color w:val="auto"/>
        </w:rPr>
        <w:t>Jelmyto</w:t>
      </w:r>
      <w:r>
        <w:rPr>
          <w:rFonts w:ascii="Arial" w:cs="Arial" w:eastAsia="Arial" w:hAnsi="Arial"/>
          <w:sz w:val="18"/>
          <w:szCs w:val="18"/>
          <w:color w:val="auto"/>
        </w:rPr>
        <w:t>. If we are unable to obtain and maintain 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products, the commercial success of our products may be greatly hindered and our financial condition and results of operations may be materially and adversely affected.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9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The market price of our ordinary shares has been and may continue to be subject to fluctuation and you could lose all or part of your investment.*</w:t>
      </w:r>
    </w:p>
    <w:p>
      <w:pPr>
        <w:spacing w:after="0" w:line="12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78" w:lineRule="exact"/>
        <w:rPr>
          <w:sz w:val="20"/>
          <w:szCs w:val="20"/>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success of our ongoing launch and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192"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physician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w:t>
      </w:r>
    </w:p>
    <w:p>
      <w:pPr>
        <w:spacing w:after="0" w:line="204"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mix of products that we sell;</w:t>
      </w:r>
    </w:p>
    <w:p>
      <w:pPr>
        <w:spacing w:after="0" w:line="192" w:lineRule="exact"/>
        <w:rPr>
          <w:rFonts w:ascii="Arial" w:cs="Arial" w:eastAsia="Arial" w:hAnsi="Arial"/>
          <w:sz w:val="18"/>
          <w:szCs w:val="18"/>
          <w:color w:val="auto"/>
        </w:rPr>
      </w:pPr>
    </w:p>
    <w:p>
      <w:pPr>
        <w:ind w:left="900" w:hanging="447"/>
        <w:spacing w:after="0" w:line="26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voluntary or mandatory recall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 or the imposition of any additional labeling, marketing or promotional restrictions;</w:t>
      </w:r>
    </w:p>
    <w:p>
      <w:pPr>
        <w:spacing w:after="0" w:line="152"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success or failure to obtain approval for and commercialize our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ordinary shares are covered by analysts;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192"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publication of the results of nonclinical or clinical trials for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w:t>
      </w:r>
    </w:p>
    <w:p>
      <w:pPr>
        <w:spacing w:after="0" w:line="204"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198" w:lineRule="exact"/>
        <w:rPr>
          <w:rFonts w:ascii="Arial" w:cs="Arial" w:eastAsia="Arial" w:hAnsi="Arial"/>
          <w:sz w:val="18"/>
          <w:szCs w:val="18"/>
          <w:color w:val="auto"/>
        </w:rPr>
      </w:pPr>
    </w:p>
    <w:p>
      <w:pPr>
        <w:ind w:left="900" w:right="240" w:hanging="447"/>
        <w:spacing w:after="0" w:line="26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 candidates and the generation of sales from those products;</w:t>
      </w:r>
    </w:p>
    <w:p>
      <w:pPr>
        <w:spacing w:after="0" w:line="159"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w:t>
      </w:r>
    </w:p>
    <w:p>
      <w:pPr>
        <w:spacing w:after="0" w:line="192" w:lineRule="exact"/>
        <w:rPr>
          <w:rFonts w:ascii="Arial" w:cs="Arial" w:eastAsia="Arial" w:hAnsi="Arial"/>
          <w:sz w:val="18"/>
          <w:szCs w:val="18"/>
          <w:color w:val="auto"/>
        </w:rPr>
      </w:pPr>
    </w:p>
    <w:p>
      <w:pPr>
        <w:ind w:left="900" w:right="100" w:hanging="447"/>
        <w:spacing w:after="0" w:line="26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announcement of, or developments in, any litigation matters, including any product liability claims related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w:t>
      </w:r>
    </w:p>
    <w:p>
      <w:pPr>
        <w:spacing w:after="0" w:line="152"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ordinary shares or other securities in the future;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including factors unrelated to our operating performance.</w:t>
      </w:r>
    </w:p>
    <w:p>
      <w:pPr>
        <w:spacing w:after="0" w:line="21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2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7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our sale of additional ordinary shares or other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ectPr>
          <w:pgSz w:w="11900" w:h="16838" w:orient="portrait"/>
          <w:cols w:equalWidth="0" w:num="1">
            <w:col w:w="11240"/>
          </w:cols>
          <w:pgMar w:left="320" w:top="125" w:right="339" w:bottom="507"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07"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2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On December 20, 2019, we entered into the ATM Sales Agreement pursuant to which we may from time to time offer and sell our ordinary shares, having an aggregate offering price of up to $100.0 million, to or through Cowen, acting as sales agent or principal, in any manner deemed to be an “at-the market offering”. As of September 30, 2023, $83.4 million remain available for sale under the ATM Sales Agreement. The shares will be offered and sold pursuant to our shelf registration statement on Form S-3 filed with the SEC on November 15, 2022, which was declared effective on November 29, 2022.</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officers, directors and entities affiliated with certain of our directors beneficially own a significant portion of our outstanding ordinary shares.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71"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2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164" w:lineRule="exact"/>
        <w:rPr>
          <w:sz w:val="20"/>
          <w:szCs w:val="20"/>
          <w:color w:val="auto"/>
        </w:rPr>
      </w:pPr>
    </w:p>
    <w:p>
      <w:pPr>
        <w:ind w:right="1300"/>
        <w:spacing w:after="0" w:line="285"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("PFIC"), our U.S. shareholders may suffer adverse tax consequences.</w:t>
      </w:r>
    </w:p>
    <w:p>
      <w:pPr>
        <w:spacing w:after="0" w:line="126" w:lineRule="exact"/>
        <w:rPr>
          <w:sz w:val="20"/>
          <w:szCs w:val="20"/>
          <w:color w:val="auto"/>
        </w:rPr>
      </w:pPr>
    </w:p>
    <w:p>
      <w:pPr>
        <w:ind w:right="920"/>
        <w:spacing w:after="0" w:line="247" w:lineRule="auto"/>
        <w:rPr>
          <w:sz w:val="20"/>
          <w:szCs w:val="20"/>
          <w:color w:val="auto"/>
        </w:rPr>
      </w:pPr>
      <w:r>
        <w:rPr>
          <w:rFonts w:ascii="Arial" w:cs="Arial" w:eastAsia="Arial" w:hAnsi="Arial"/>
          <w:sz w:val="18"/>
          <w:szCs w:val="18"/>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Based on our analysis of our income, assets, activities and market capitalization, we do not believe that we were a PFIC for the taxable year ended December 31, 2022. However, because the determination of whether or not we are a PFIC is a fact-intensive determination made on an annual basis, and because the applicable law is subject to varying interpretation, we cannot provide any assurances regarding our PFIC status for any past, current or future taxable years. Our U.S. tax counsel has not provided any opinion regarding our PFIC status in any taxable year.</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shareholders who are individuals, having interest charges apply to distributions by us and gains from the sales of our shares, and additional reporting requirements under U.S. federal income tax laws and regulations. A U.S.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shareholder of a PFIC generally may mitigate these adverse U.S. federal income tax consequences by making a qualified electing fund (“QEF”) election, or, in some circumstances, a “mark to market” election. However, there is no assurance that we will provide the information required by the IRS in order to enable U.S. shareholders to make a timely QEF election. Moreover, there is no assurance that we will have timely knowledge of our status as a PFIC in the future. Accordingly, U.S. shareholders may be unable to make a timely QEF election with respect to our ordinary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could have a material adverse effect on us and reduce net returns to our shareholders.</w:t>
      </w:r>
    </w:p>
    <w:p>
      <w:pPr>
        <w:spacing w:after="0" w:line="2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as well as tax policy initiatives and reforms under consideration and the practices of tax authorities in jurisdictions in which we operate, including those related to the Organisation for Economic Co-Operation and Development’s ("OECD") Base Erosion and Profit Shifting ("BEPS") Project (including "BEPS 2.0"), and the European Commission’s state aid investigations and other initiatives.</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The OECD has published a package of measures for reform as a product of BEPS,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For example, effective in 2022, the U.S. Tax Cuts and Jobs Act of 2017 eliminates the option to deduct research and development expenditures in the current period and requires U.S. taxpayers to capitalize and amortize them over five or fifteen years pursuant to Internal Revenue Code Section 174.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w:t>
      </w:r>
    </w:p>
    <w:p>
      <w:pPr>
        <w:spacing w:after="0" w:line="17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a “United States person” (as defined by the Internal Revenue Code of 1986, as amended (the “Code”)) is treated as owning (directly, indirectly or constructively) at least 10% of the total combined voting power of all classes of our stock entitled to vote or 10% or more of the total value of all classes of our stock, such United States person may be treated as a “United States shareholder” with respect to each “controlled foreign corporation” ("CFC") in our group (if any). Each United States shareholder of a CFC may be required to annually report and include in its U.S. taxable income its pro rata share of “Subpart F income,” “global intangible low-taxed income” and investments in U.S. property by the CFC, regardless of whether the CFC makes any distributions. In addition, a United States shareholder that realizes gain from the sale or exchange of shares in a CFC may be required to classify a portion of such gain as dividend income rather than capital gain. An individual who is a United States shareholder with respect to a CFC generally would not be allowed certain tax deductions or foreign tax credits that would be allowed to a United States shareholder that is a U.S. corporation. A non-U.S. corporation generally will be classified as a CFC for U.S. federal income tax purposes if United States shareholders own, directly or indirectly, more than 50% of either the total combined voting power of all classes of stock of such corporation entitled to vote or of the total value of the stock of such corporation. The determination of CFC status is complex and includes attribution rules, the application of which is not entirely certain. Because our group includes at least one U.S. subsidiary (UroGen Pharma, Inc.), if we were to form or acquire any non-U.S. subsidiaries in the future, attribution rules could cause them to be treated as CFCs with respect to any United States person owning (directly, indirectly or constructively) at least 10% of the value or voting power of our ordinary shares.</w:t>
      </w:r>
    </w:p>
    <w:p>
      <w:pPr>
        <w:spacing w:after="0" w:line="1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cannot provide any assurances that we will assist investors in determining whether we or any non-U.S. subsidiaries that we may form or acquire in the future would be treated as a CFC or whether such investor would be treated as a United States shareholder with respect to any such CFC. Further, we cannot provide any assurances that we will furnish to any United States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shareholders should consult their tax advisors regarding the potential application of these rules to their investment in our ordinary shares.</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Our ability to use our U.S. net operating loss carryforwards and certain other tax attributes to offset future taxable income and taxes may be limited.</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Under U.S. federal income tax law, federal net operating losses ("NOLs") incurred in tax years beginning after December 31, 2017, may be carried forward indefinitely, but the deductibility of such federal NOLs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not performed a detailed analysis to determine whether an ownership change under Section 382 of the Code has occurred for UroGen Pharma, Inc. If we undergo or have undergone an ownership change, our ability to utilize NOLs and other tax attributes could be limited by Sections 382 and 383 of the Code. Future changes in our share ownership, some of which are outside of our control, could result in an ownership change under Section 382 of the Code. As a result, even if we attain profitability, we may be unable to use a material portion of our NOLs and other tax attributes, which could negatively impact our future cash flows. In addition, at the state level, there may be periods during which the use of net operating loss carryforwards is suspended or otherwise limited, which could accelerate or permanently increase state taxes owed.</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98"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instability in Israel.*</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Our research and development facilities are located in Ra’anana, Israel, and certain of our key vendors and suppliers, including Isotopia Molecular Imaging Ltd., our single contracted supplier for the mitomycin and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are located within Israel. If these or any future facilities in Israel were to be damaged, destroyed or otherwise unable to operate, whether due to war, acts of hostility, earthquakes, fire, floods, hurricanes, storms, tornadoes, other natural disasters, employee malfeasance, terrorist acts, pandemic,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7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October 2023, Hamas initiated an attack against Israel, provoking a state of war and the risk of a larger conflict. The intensity and duration of Israel’s current war against Hamas is difficult to predict, as are such war’s economic implications on the Company’s business and operations and on Israel's economy in general.</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Additionally, the newly elected Israeli government has announced plans to significantly reduce the Israeli Supreme Court's judicial oversight, including reducing its ability to strike down legislation that it deems unreasonable, and plans to increase political influence over the selection of judges. These plans have prompted protests of Israeli citizens and criticism of leading Israeli business leaders as well as some foreign leaders. If such government plans are eventually enacted, they may cause operational challenges for us. In addition, if foreign policy is negatively impacted with regard to Israel, this could impact our business with suppliers and customers which could in turn adversely impact our reputation, results of operations or financial condition.</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Further, our operations could be disrupted by the obligations of our employees to perform military service. As of September 30, 2023, we had 40 employees based in Israel. Of these employees, some may be military reservists, and may be called upon to perform military reserve duty of up to 36 days per year (and in some cases more) until they reach the age of 40 (and in some cases, up to the age of 45 or older). Since October 7, 2023, the Israeli Defense Force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results of operations, liquidity or cash flows.</w:t>
      </w:r>
    </w:p>
    <w:p>
      <w:pPr>
        <w:spacing w:after="0" w:line="16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ectPr>
          <w:pgSz w:w="11900" w:h="16838" w:orient="portrait"/>
          <w:cols w:equalWidth="0" w:num="1">
            <w:col w:w="11220"/>
          </w:cols>
          <w:pgMar w:left="320" w:top="125" w:right="359" w:bottom="534"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534"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70" w:lineRule="exact"/>
        <w:rPr>
          <w:sz w:val="20"/>
          <w:szCs w:val="20"/>
          <w:color w:val="auto"/>
        </w:rPr>
      </w:pPr>
    </w:p>
    <w:p>
      <w:pPr>
        <w:jc w:val="both"/>
        <w:ind w:right="320"/>
        <w:spacing w:after="0" w:line="260"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our reports filed with the SEC in Israel or the United States, to assert U.S. securities laws claims in Israel or to serve process on our officers and directors and these experts.</w:t>
      </w:r>
    </w:p>
    <w:p>
      <w:pPr>
        <w:spacing w:after="0" w:line="1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incorporated in Israel. One of our directors resides outside of the United States, and most of the assets of this director are located outside of the United States. Therefore, a judgment obtained against us, or this director, including a judgment based on the civil liability provisions of the U.S. federal securities laws, may not be collectible in the United States and may not be enforced by an Israeli court. It may also be difficult for you to effect service of process on this director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7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49"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7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198"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We depend on our executive officers and key clinical, technical and commercial personnel to operate our business effectively, and we must attract and retain highly skilled employees in order to succeed.*</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September 30, 2023, we had 192 employees. Therefore, knowledge of our product candidates and clinical trials is concentrated among a small number of individuals. Members of our executive team as well as key clinical, scientific, technical and commercial personnel may resign at any time and there can be no assurance that we will be able to continue to retain such personnel. If we cannot recruit suitable replacements in a timely manner, our business will be adversely impacted.</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540"/>
        <w:spacing w:after="0" w:line="28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12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66"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 and such activism could impact the trading value of our securities.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Shareholders may, from time to time, engage in proxy solicitations or advance shareholder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shareholders.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share price based upon temporary or speculative market perceptions or other factors that do not necessarily reflect the underlying fundamentals and prospects of our business.</w:t>
      </w:r>
    </w:p>
    <w:p>
      <w:pPr>
        <w:spacing w:after="0" w:line="177"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18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spacing w:after="0" w:line="1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ectPr>
          <w:pgSz w:w="11900" w:h="16838" w:orient="portrait"/>
          <w:cols w:equalWidth="0" w:num="1">
            <w:col w:w="11240"/>
          </w:cols>
          <w:pgMar w:left="320" w:top="125"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Unstable market, economic and geo-political conditions may have serious adverse consequences on our business, financial condition and stock price.*</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including due to recent bank failures. These disruptions can result in severely diminished liquidity and credit availability, increase in inflation, declines in consumer confidence, declines in economic growth, increases in unemployment rates, further bank failures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bank failures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In October 2023, Hamas initiated an attack against Israel, provoking a state of war and the risk of a larger conflict.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70"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Our business could be negatively impacted by environmental, social and corporate governance matters or our reporting of such matters.</w:t>
      </w:r>
    </w:p>
    <w:p>
      <w:pPr>
        <w:spacing w:after="0" w:line="12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There is an increasing focus from certain investors, employees, partners, and other stakeholders concerning environmental, social and corporate governance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In addition, we currently do not report our environmental emissions, and lack of reporting or future reporting could result in certain investors from declining to invest in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gridSpan w:val="16"/>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Articles of Association of the Registrant (incorporated by reference to Exhibit 3.1 to the Registrant’s Form 6-K (File No. 001-</w:t>
              </w:r>
            </w:hyperlink>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38079)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May 18, 2017).</w:t>
              </w:r>
            </w:hyperlink>
          </w:p>
        </w:tc>
        <w:tc>
          <w:tcPr>
            <w:tcW w:w="240" w:type="dxa"/>
            <w:vAlign w:val="bottom"/>
            <w:gridSpan w:val="5"/>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Form of July 2023 Pre-Funded Warrant (incorporated by reference to Exhibit 4.1 to the Registrant’s Current Report on Form 8-</w:t>
              </w:r>
            </w:hyperlink>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K (File No. 001-38079), filed with the SEC on July 27, 2023).</w:t>
              </w:r>
            </w:hyperlink>
          </w:p>
        </w:tc>
        <w:tc>
          <w:tcPr>
            <w:tcW w:w="20" w:type="dxa"/>
            <w:vAlign w:val="bottom"/>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32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9"/>
              </w:rPr>
              <w:t>2017 Equity Incentive Plan, as amended.</w:t>
            </w:r>
          </w:p>
        </w:tc>
        <w:tc>
          <w:tcPr>
            <w:tcW w:w="1540" w:type="dxa"/>
            <w:vAlign w:val="bottom"/>
            <w:tcBorders>
              <w:top w:val="single" w:sz="8" w:color="0000EE"/>
            </w:tcBorders>
            <w:gridSpan w:val="2"/>
          </w:tcPr>
          <w:p>
            <w:pPr>
              <w:spacing w:after="0"/>
              <w:rPr>
                <w:sz w:val="24"/>
                <w:szCs w:val="24"/>
                <w:color w:val="auto"/>
              </w:rPr>
            </w:pPr>
          </w:p>
        </w:tc>
        <w:tc>
          <w:tcPr>
            <w:tcW w:w="5240" w:type="dxa"/>
            <w:vAlign w:val="bottom"/>
            <w:gridSpan w:val="15"/>
          </w:tcPr>
          <w:p>
            <w:pPr>
              <w:spacing w:after="0"/>
              <w:rPr>
                <w:sz w:val="24"/>
                <w:szCs w:val="24"/>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rPr>
            </w:pPr>
            <w:hyperlink r:id="rId103">
              <w:r>
                <w:rPr>
                  <w:rFonts w:ascii="Arial" w:cs="Arial" w:eastAsia="Arial" w:hAnsi="Arial"/>
                  <w:sz w:val="18"/>
                  <w:szCs w:val="18"/>
                  <w:color w:val="0000EE"/>
                </w:rPr>
                <w:t>Securities Purchase Agreement, dated July 26, 2023, by and among UroGen Pharma Ltd. and the Purchasers named therein</w:t>
              </w:r>
            </w:hyperlink>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(incorporated by reference to Exhibit 10.1 to the Registrant’s Current Report on Form 8-K (File No. 001-38079), filed with the</w:t>
              </w:r>
            </w:hyperlink>
          </w:p>
        </w:tc>
        <w:tc>
          <w:tcPr>
            <w:tcW w:w="60" w:type="dxa"/>
            <w:vAlign w:val="bottom"/>
            <w:tcBorders>
              <w:top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SEC on July 27, 2023).</w:t>
              </w:r>
            </w:hyperlink>
          </w:p>
        </w:tc>
        <w:tc>
          <w:tcPr>
            <w:tcW w:w="8200" w:type="dxa"/>
            <w:vAlign w:val="bottom"/>
            <w:gridSpan w:val="19"/>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8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Form of Stock Option Grant Notice and Stock Option Agreement under the Urogen Pharma Ltd. 2017 Equity Incentive Plan.</w:t>
            </w:r>
          </w:p>
        </w:tc>
        <w:tc>
          <w:tcPr>
            <w:tcW w:w="220" w:type="dxa"/>
            <w:vAlign w:val="bottom"/>
            <w:gridSpan w:val="4"/>
          </w:tcPr>
          <w:p>
            <w:pPr>
              <w:spacing w:after="0"/>
              <w:rPr>
                <w:sz w:val="24"/>
                <w:szCs w:val="24"/>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Form of Restricted Stock Unit Grant Notice and Restricted Stock Unit Agreement under the Urogen Pharma Ltd. 2017 Equity</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Incentive Plan.</w:t>
            </w:r>
          </w:p>
        </w:tc>
        <w:tc>
          <w:tcPr>
            <w:tcW w:w="160" w:type="dxa"/>
            <w:vAlign w:val="bottom"/>
            <w:gridSpan w:val="3"/>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Form of Performance-Based Restricted Stock Unit Grant Notice and Performance-Based Restricted Stock Unit Award</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Agreement under the Urogen Pharma Ltd. 2017 Equity Incentive Plan.</w:t>
            </w:r>
          </w:p>
        </w:tc>
        <w:tc>
          <w:tcPr>
            <w:tcW w:w="3740" w:type="dxa"/>
            <w:vAlign w:val="bottom"/>
            <w:tcBorders>
              <w:top w:val="single" w:sz="8" w:color="0000EE"/>
            </w:tcBorders>
            <w:gridSpan w:val="3"/>
          </w:tcPr>
          <w:p>
            <w:pPr>
              <w:spacing w:after="0"/>
              <w:rPr>
                <w:sz w:val="15"/>
                <w:szCs w:val="15"/>
                <w:color w:val="auto"/>
              </w:rPr>
            </w:pPr>
          </w:p>
        </w:tc>
        <w:tc>
          <w:tcPr>
            <w:tcW w:w="720" w:type="dxa"/>
            <w:vAlign w:val="bottom"/>
            <w:gridSpan w:val="11"/>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Performance-Based Restricted Stock Unit Grant Notice by and between the Registrant and Elizabeth Barrett, dated as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November 13, 2023.</w:t>
            </w:r>
          </w:p>
        </w:tc>
        <w:tc>
          <w:tcPr>
            <w:tcW w:w="7960" w:type="dxa"/>
            <w:vAlign w:val="bottom"/>
            <w:tcBorders>
              <w:top w:val="single" w:sz="8" w:color="0000EE"/>
            </w:tcBorders>
            <w:gridSpan w:val="12"/>
          </w:tcPr>
          <w:p>
            <w:pPr>
              <w:spacing w:after="0"/>
              <w:rPr>
                <w:sz w:val="15"/>
                <w:szCs w:val="15"/>
                <w:color w:val="auto"/>
              </w:rPr>
            </w:pPr>
          </w:p>
        </w:tc>
        <w:tc>
          <w:tcPr>
            <w:tcW w:w="460" w:type="dxa"/>
            <w:vAlign w:val="bottom"/>
            <w:gridSpan w:val="8"/>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Certification of Principal Executive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1934, as adopted pursuant to Section 302 of the Sarbanes-Oxley Act of 2002.</w:t>
            </w:r>
          </w:p>
        </w:tc>
        <w:tc>
          <w:tcPr>
            <w:tcW w:w="3440" w:type="dxa"/>
            <w:vAlign w:val="bottom"/>
            <w:tcBorders>
              <w:top w:val="single" w:sz="8" w:color="0000EE"/>
            </w:tcBorders>
            <w:gridSpan w:val="7"/>
          </w:tcPr>
          <w:p>
            <w:pPr>
              <w:spacing w:after="0"/>
              <w:rPr>
                <w:sz w:val="15"/>
                <w:szCs w:val="15"/>
                <w:color w:val="auto"/>
              </w:rPr>
            </w:pPr>
          </w:p>
        </w:tc>
        <w:tc>
          <w:tcPr>
            <w:tcW w:w="420" w:type="dxa"/>
            <w:vAlign w:val="bottom"/>
            <w:gridSpan w:val="6"/>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Certification of Principal Financial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80" w:type="dxa"/>
            <w:vAlign w:val="bottom"/>
            <w:gridSpan w:val="9"/>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Sarbanes-Oxley Act of 2002.</w:t>
            </w:r>
          </w:p>
        </w:tc>
        <w:tc>
          <w:tcPr>
            <w:tcW w:w="440" w:type="dxa"/>
            <w:vAlign w:val="bottom"/>
            <w:gridSpan w:val="7"/>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6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Sarbanes-Oxley Act of 2002.</w:t>
            </w:r>
          </w:p>
        </w:tc>
        <w:tc>
          <w:tcPr>
            <w:tcW w:w="500" w:type="dxa"/>
            <w:vAlign w:val="bottom"/>
            <w:gridSpan w:val="10"/>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760" w:type="dxa"/>
            <w:vAlign w:val="bottom"/>
            <w:gridSpan w:val="18"/>
          </w:tcPr>
          <w:p>
            <w:pPr>
              <w:spacing w:after="0" w:line="20" w:lineRule="exact"/>
              <w:rPr>
                <w:sz w:val="1"/>
                <w:szCs w:val="1"/>
                <w:color w:val="auto"/>
              </w:rPr>
            </w:pPr>
          </w:p>
        </w:tc>
      </w:tr>
      <w:tr>
        <w:trPr>
          <w:trHeight w:val="399"/>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29"/>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The cover page from the Company’s Quarterly Report on Form 10-Q has been formatted in Inline XBRL</w:t>
            </w:r>
          </w:p>
        </w:tc>
      </w:tr>
    </w:tbl>
    <w:p>
      <w:pPr>
        <w:spacing w:after="0" w:line="1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Management contract or compensatory plan.</w:t>
      </w:r>
    </w:p>
    <w:p>
      <w:pPr>
        <w:spacing w:after="0" w:line="8" w:lineRule="exact"/>
        <w:rPr>
          <w:sz w:val="20"/>
          <w:szCs w:val="20"/>
          <w:color w:val="auto"/>
        </w:rPr>
      </w:pPr>
    </w:p>
    <w:p>
      <w:pPr>
        <w:ind w:left="220" w:right="60" w:hanging="212"/>
        <w:spacing w:after="0" w:line="238"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sectPr>
          <w:pgSz w:w="11900" w:h="16838" w:orient="portrait"/>
          <w:cols w:equalWidth="0" w:num="1">
            <w:col w:w="11240"/>
          </w:cols>
          <w:pgMar w:left="320" w:top="125"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20" w:type="dxa"/>
            <w:vAlign w:val="bottom"/>
          </w:tcPr>
          <w:p>
            <w:pPr>
              <w:spacing w:after="0"/>
              <w:rPr>
                <w:sz w:val="21"/>
                <w:szCs w:val="21"/>
                <w:color w:val="auto"/>
              </w:rPr>
            </w:pPr>
          </w:p>
        </w:tc>
        <w:tc>
          <w:tcPr>
            <w:tcW w:w="3800" w:type="dxa"/>
            <w:vAlign w:val="bottom"/>
            <w:gridSpan w:val="2"/>
          </w:tcPr>
          <w:p>
            <w:pPr>
              <w:ind w:left="2020"/>
              <w:spacing w:after="0"/>
              <w:rPr>
                <w:sz w:val="20"/>
                <w:szCs w:val="20"/>
                <w:color w:val="auto"/>
              </w:rPr>
            </w:pPr>
            <w:r>
              <w:rPr>
                <w:rFonts w:ascii="Arial" w:cs="Arial" w:eastAsia="Arial" w:hAnsi="Arial"/>
                <w:sz w:val="18"/>
                <w:szCs w:val="18"/>
                <w:b w:val="1"/>
                <w:bCs w:val="1"/>
                <w:color w:val="auto"/>
              </w:rPr>
              <w:t>UroGen Pharma Ltd.</w:t>
            </w:r>
          </w:p>
        </w:tc>
        <w:tc>
          <w:tcPr>
            <w:tcW w:w="3820" w:type="dxa"/>
            <w:vAlign w:val="bottom"/>
          </w:tcPr>
          <w:p>
            <w:pPr>
              <w:spacing w:after="0"/>
              <w:rPr>
                <w:sz w:val="21"/>
                <w:szCs w:val="21"/>
                <w:color w:val="auto"/>
              </w:rPr>
            </w:pPr>
          </w:p>
        </w:tc>
      </w:tr>
      <w:tr>
        <w:trPr>
          <w:trHeight w:val="380"/>
        </w:trPr>
        <w:tc>
          <w:tcPr>
            <w:tcW w:w="3620" w:type="dxa"/>
            <w:vAlign w:val="bottom"/>
          </w:tcPr>
          <w:p>
            <w:pPr>
              <w:spacing w:after="0"/>
              <w:rPr>
                <w:sz w:val="20"/>
                <w:szCs w:val="20"/>
                <w:color w:val="auto"/>
              </w:rPr>
            </w:pPr>
            <w:r>
              <w:rPr>
                <w:rFonts w:ascii="Arial" w:cs="Arial" w:eastAsia="Arial" w:hAnsi="Arial"/>
                <w:sz w:val="18"/>
                <w:szCs w:val="18"/>
                <w:color w:val="auto"/>
              </w:rPr>
              <w:t>November 14, 2023</w:t>
            </w:r>
          </w:p>
        </w:tc>
        <w:tc>
          <w:tcPr>
            <w:tcW w:w="380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rPr>
              <w:t>/s/ Elizabeth Barrett</w:t>
            </w:r>
          </w:p>
        </w:tc>
      </w:tr>
      <w:tr>
        <w:trPr>
          <w:trHeight w:val="173"/>
        </w:trPr>
        <w:tc>
          <w:tcPr>
            <w:tcW w:w="3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3" w:lineRule="exact"/>
              <w:rPr>
                <w:sz w:val="20"/>
                <w:szCs w:val="20"/>
                <w:color w:val="auto"/>
              </w:rPr>
            </w:pPr>
            <w:r>
              <w:rPr>
                <w:rFonts w:ascii="Arial" w:cs="Arial" w:eastAsia="Arial" w:hAnsi="Arial"/>
                <w:sz w:val="18"/>
                <w:szCs w:val="18"/>
                <w:b w:val="1"/>
                <w:bCs w:val="1"/>
                <w:color w:val="auto"/>
                <w:w w:val="99"/>
              </w:rPr>
              <w:t>Elizabeth Barrett</w:t>
            </w:r>
          </w:p>
        </w:tc>
      </w:tr>
      <w:tr>
        <w:trPr>
          <w:trHeight w:val="203"/>
        </w:trPr>
        <w:tc>
          <w:tcPr>
            <w:tcW w:w="3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20" w:type="dxa"/>
            <w:vAlign w:val="bottom"/>
          </w:tcPr>
          <w:p>
            <w:pPr>
              <w:jc w:val="center"/>
              <w:ind w:right="1270"/>
              <w:spacing w:after="0" w:line="202" w:lineRule="exact"/>
              <w:rPr>
                <w:sz w:val="20"/>
                <w:szCs w:val="20"/>
                <w:color w:val="auto"/>
              </w:rPr>
            </w:pPr>
            <w:r>
              <w:rPr>
                <w:rFonts w:ascii="Arial" w:cs="Arial" w:eastAsia="Arial" w:hAnsi="Arial"/>
                <w:sz w:val="18"/>
                <w:szCs w:val="18"/>
                <w:b w:val="1"/>
                <w:bCs w:val="1"/>
                <w:color w:val="auto"/>
              </w:rPr>
              <w:t>Chief Executive Officer</w:t>
            </w:r>
          </w:p>
        </w:tc>
      </w:tr>
      <w:tr>
        <w:trPr>
          <w:trHeight w:val="251"/>
        </w:trPr>
        <w:tc>
          <w:tcPr>
            <w:tcW w:w="3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80"/>
        </w:trPr>
        <w:tc>
          <w:tcPr>
            <w:tcW w:w="3620" w:type="dxa"/>
            <w:vAlign w:val="bottom"/>
          </w:tcPr>
          <w:p>
            <w:pPr>
              <w:spacing w:after="0"/>
              <w:rPr>
                <w:sz w:val="20"/>
                <w:szCs w:val="20"/>
                <w:color w:val="auto"/>
              </w:rPr>
            </w:pPr>
            <w:r>
              <w:rPr>
                <w:rFonts w:ascii="Arial" w:cs="Arial" w:eastAsia="Arial" w:hAnsi="Arial"/>
                <w:sz w:val="18"/>
                <w:szCs w:val="18"/>
                <w:color w:val="auto"/>
              </w:rPr>
              <w:t>November 14, 2023</w:t>
            </w:r>
          </w:p>
        </w:tc>
        <w:tc>
          <w:tcPr>
            <w:tcW w:w="380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rPr>
              <w:t>/s/ Don Kim</w:t>
            </w:r>
          </w:p>
        </w:tc>
      </w:tr>
      <w:tr>
        <w:trPr>
          <w:trHeight w:val="173"/>
        </w:trPr>
        <w:tc>
          <w:tcPr>
            <w:tcW w:w="3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3" w:lineRule="exact"/>
              <w:rPr>
                <w:sz w:val="20"/>
                <w:szCs w:val="20"/>
                <w:color w:val="auto"/>
              </w:rPr>
            </w:pPr>
            <w:r>
              <w:rPr>
                <w:rFonts w:ascii="Arial" w:cs="Arial" w:eastAsia="Arial" w:hAnsi="Arial"/>
                <w:sz w:val="18"/>
                <w:szCs w:val="18"/>
                <w:b w:val="1"/>
                <w:bCs w:val="1"/>
                <w:color w:val="auto"/>
                <w:w w:val="99"/>
              </w:rPr>
              <w:t>Don Kim</w:t>
            </w:r>
          </w:p>
        </w:tc>
      </w:tr>
      <w:tr>
        <w:trPr>
          <w:trHeight w:val="224"/>
        </w:trPr>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Chief Financial Officer</w:t>
            </w:r>
          </w:p>
        </w:tc>
      </w:tr>
    </w:tbl>
    <w:p>
      <w:pPr>
        <w:ind w:left="67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M</w:t>
      </w:r>
      <w:r>
        <w:rPr>
          <w:rFonts w:ascii="Arial" w:cs="Arial" w:eastAsia="Arial" w:hAnsi="Arial"/>
          <w:sz w:val="12"/>
          <w:szCs w:val="12"/>
          <w:b w:val="1"/>
          <w:bCs w:val="1"/>
          <w:color w:val="auto"/>
        </w:rPr>
        <w:t>arch</w:t>
      </w:r>
      <w:r>
        <w:rPr>
          <w:rFonts w:ascii="Arial" w:cs="Arial" w:eastAsia="Arial" w:hAnsi="Arial"/>
          <w:sz w:val="18"/>
          <w:szCs w:val="18"/>
          <w:b w:val="1"/>
          <w:bCs w:val="1"/>
          <w:color w:val="auto"/>
        </w:rPr>
        <w:t xml:space="preserve"> 29, 2017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3, 2017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19, 2017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2"/>
          <w:szCs w:val="12"/>
          <w:b w:val="1"/>
          <w:bCs w:val="1"/>
          <w:color w:val="auto"/>
        </w:rPr>
        <w:t>ate</w:t>
      </w: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ugust</w:t>
      </w:r>
      <w:r>
        <w:rPr>
          <w:rFonts w:ascii="Arial" w:cs="Arial" w:eastAsia="Arial" w:hAnsi="Arial"/>
          <w:sz w:val="18"/>
          <w:szCs w:val="18"/>
          <w:b w:val="1"/>
          <w:bCs w:val="1"/>
          <w:color w:val="auto"/>
        </w:rPr>
        <w:t xml:space="preserve">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26, 2020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8, 2020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M</w:t>
      </w:r>
      <w:r>
        <w:rPr>
          <w:rFonts w:ascii="Arial" w:cs="Arial" w:eastAsia="Arial" w:hAnsi="Arial"/>
          <w:sz w:val="12"/>
          <w:szCs w:val="12"/>
          <w:b w:val="1"/>
          <w:bCs w:val="1"/>
          <w:color w:val="auto"/>
        </w:rPr>
        <w:t>arch</w:t>
      </w:r>
      <w:r>
        <w:rPr>
          <w:rFonts w:ascii="Arial" w:cs="Arial" w:eastAsia="Arial" w:hAnsi="Arial"/>
          <w:sz w:val="18"/>
          <w:szCs w:val="18"/>
          <w:b w:val="1"/>
          <w:bCs w:val="1"/>
          <w:color w:val="auto"/>
        </w:rPr>
        <w:t xml:space="preserve"> 17, 2021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7, 2021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M</w:t>
      </w:r>
      <w:r>
        <w:rPr>
          <w:rFonts w:ascii="Arial" w:cs="Arial" w:eastAsia="Arial" w:hAnsi="Arial"/>
          <w:sz w:val="12"/>
          <w:szCs w:val="12"/>
          <w:b w:val="1"/>
          <w:bCs w:val="1"/>
          <w:color w:val="auto"/>
        </w:rPr>
        <w:t>arch</w:t>
      </w:r>
      <w:r>
        <w:rPr>
          <w:rFonts w:ascii="Arial" w:cs="Arial" w:eastAsia="Arial" w:hAnsi="Arial"/>
          <w:sz w:val="18"/>
          <w:szCs w:val="18"/>
          <w:b w:val="1"/>
          <w:bCs w:val="1"/>
          <w:color w:val="auto"/>
        </w:rPr>
        <w:t xml:space="preserve"> 7, 2022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8, 2022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J</w:t>
      </w:r>
      <w:r>
        <w:rPr>
          <w:rFonts w:ascii="Arial" w:cs="Arial" w:eastAsia="Arial" w:hAnsi="Arial"/>
          <w:sz w:val="12"/>
          <w:szCs w:val="12"/>
          <w:b w:val="1"/>
          <w:bCs w:val="1"/>
          <w:color w:val="auto"/>
        </w:rPr>
        <w:t>uly</w:t>
      </w:r>
      <w:r>
        <w:rPr>
          <w:rFonts w:ascii="Arial" w:cs="Arial" w:eastAsia="Arial" w:hAnsi="Arial"/>
          <w:sz w:val="18"/>
          <w:szCs w:val="18"/>
          <w:b w:val="1"/>
          <w:bCs w:val="1"/>
          <w:color w:val="auto"/>
        </w:rPr>
        <w:t xml:space="preserve">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S</w:t>
      </w:r>
      <w:r>
        <w:rPr>
          <w:rFonts w:ascii="Arial" w:cs="Arial" w:eastAsia="Arial" w:hAnsi="Arial"/>
          <w:sz w:val="12"/>
          <w:szCs w:val="12"/>
          <w:b w:val="1"/>
          <w:bCs w:val="1"/>
          <w:color w:val="auto"/>
        </w:rPr>
        <w:t>eptember</w:t>
      </w:r>
      <w:r>
        <w:rPr>
          <w:rFonts w:ascii="Arial" w:cs="Arial" w:eastAsia="Arial" w:hAnsi="Arial"/>
          <w:sz w:val="18"/>
          <w:szCs w:val="18"/>
          <w:b w:val="1"/>
          <w:bCs w:val="1"/>
          <w:color w:val="auto"/>
        </w:rPr>
        <w:t xml:space="preserve"> 7, 2023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040" w:hanging="384"/>
        <w:spacing w:after="0"/>
        <w:tabs>
          <w:tab w:leader="none" w:pos="104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5" w:lineRule="exact"/>
        <w:rPr>
          <w:rFonts w:ascii="Arial" w:cs="Arial" w:eastAsia="Arial" w:hAnsi="Arial"/>
          <w:sz w:val="18"/>
          <w:szCs w:val="18"/>
          <w:b w:val="1"/>
          <w:bCs w:val="1"/>
          <w:color w:val="auto"/>
        </w:rPr>
      </w:pPr>
    </w:p>
    <w:p>
      <w:pPr>
        <w:ind w:right="20" w:firstLine="656"/>
        <w:spacing w:after="0" w:line="266" w:lineRule="auto"/>
        <w:tabs>
          <w:tab w:leader="none" w:pos="1048"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types of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Stock Appreciation Rights (iv) Restricted Stock Awards, (v) Restricted Stock Unit Awards, (vi) Performance Stock Awards, (vii) Performance Cash Awards, and (viii) Other Stock Awards.</w:t>
      </w:r>
    </w:p>
    <w:p>
      <w:pPr>
        <w:spacing w:after="0" w:line="175" w:lineRule="exact"/>
        <w:rPr>
          <w:rFonts w:ascii="Arial" w:cs="Arial" w:eastAsia="Arial" w:hAnsi="Arial"/>
          <w:sz w:val="18"/>
          <w:szCs w:val="18"/>
          <w:b w:val="1"/>
          <w:bCs w:val="1"/>
          <w:color w:val="auto"/>
        </w:rPr>
      </w:pPr>
    </w:p>
    <w:p>
      <w:pPr>
        <w:jc w:val="both"/>
        <w:ind w:right="100" w:firstLine="656"/>
        <w:spacing w:after="0" w:line="266" w:lineRule="auto"/>
        <w:tabs>
          <w:tab w:leader="none" w:pos="1027"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 of Awards, is intended to help the Company secure and retain the services of eligible award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incentives for such persons to exert maximum efforts for the success of the Company and any Affiliate, and provide a means by which the eligible recipients may benefit from increases in value of the Ordinary Shares.</w:t>
      </w:r>
    </w:p>
    <w:p>
      <w:pPr>
        <w:spacing w:after="0" w:line="175" w:lineRule="exact"/>
        <w:rPr>
          <w:rFonts w:ascii="Arial" w:cs="Arial" w:eastAsia="Arial" w:hAnsi="Arial"/>
          <w:sz w:val="18"/>
          <w:szCs w:val="18"/>
          <w:b w:val="1"/>
          <w:bCs w:val="1"/>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520" w:firstLine="656"/>
        <w:spacing w:after="0" w:line="282" w:lineRule="auto"/>
        <w:tabs>
          <w:tab w:leader="none" w:pos="1038"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1(f).</w:t>
      </w:r>
    </w:p>
    <w:p>
      <w:pPr>
        <w:spacing w:after="0" w:line="161" w:lineRule="exact"/>
        <w:rPr>
          <w:rFonts w:ascii="Arial" w:cs="Arial" w:eastAsia="Arial" w:hAnsi="Arial"/>
          <w:sz w:val="18"/>
          <w:szCs w:val="18"/>
          <w:b w:val="1"/>
          <w:bCs w:val="1"/>
          <w:color w:val="auto"/>
        </w:rPr>
      </w:pPr>
    </w:p>
    <w:p>
      <w:pPr>
        <w:ind w:left="1060" w:hanging="404"/>
        <w:spacing w:after="0"/>
        <w:tabs>
          <w:tab w:leader="none" w:pos="106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9" w:lineRule="exact"/>
        <w:rPr>
          <w:rFonts w:ascii="Arial" w:cs="Arial" w:eastAsia="Arial" w:hAnsi="Arial"/>
          <w:sz w:val="18"/>
          <w:szCs w:val="18"/>
          <w:b w:val="1"/>
          <w:bCs w:val="1"/>
          <w:color w:val="auto"/>
        </w:rPr>
      </w:pPr>
    </w:p>
    <w:p>
      <w:pPr>
        <w:ind w:left="1620" w:right="240" w:hanging="316"/>
        <w:spacing w:after="0" w:line="259" w:lineRule="auto"/>
        <w:tabs>
          <w:tab w:leader="none" w:pos="1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Ordinary Shares under the Award; (E) the number of Ordinary Shares subject to, or the cash value of, an Award; and (F) the Fair Market Value applicable to a Stock Award.</w:t>
      </w:r>
    </w:p>
    <w:p>
      <w:pPr>
        <w:spacing w:after="0" w:line="186" w:lineRule="exact"/>
        <w:rPr>
          <w:rFonts w:ascii="Arial" w:cs="Arial" w:eastAsia="Arial" w:hAnsi="Arial"/>
          <w:sz w:val="18"/>
          <w:szCs w:val="18"/>
          <w:color w:val="auto"/>
        </w:rPr>
      </w:pPr>
    </w:p>
    <w:p>
      <w:pPr>
        <w:ind w:left="1620" w:hanging="316"/>
        <w:spacing w:after="0" w:line="259" w:lineRule="auto"/>
        <w:tabs>
          <w:tab w:leader="none" w:pos="1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color w:val="auto"/>
        </w:rPr>
      </w:pPr>
    </w:p>
    <w:p>
      <w:pPr>
        <w:ind w:left="1620" w:right="20" w:hanging="316"/>
        <w:spacing w:after="0" w:line="277" w:lineRule="auto"/>
        <w:tabs>
          <w:tab w:leader="none" w:pos="1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accelerate, in whole or in part, the time at which an Award may be exercised or vest (or the time at which cash or Ordinary Shares may be issued in settlement thereof).</w:t>
      </w:r>
    </w:p>
    <w:p>
      <w:pPr>
        <w:spacing w:after="0" w:line="170" w:lineRule="exact"/>
        <w:rPr>
          <w:rFonts w:ascii="Arial" w:cs="Arial" w:eastAsia="Arial" w:hAnsi="Arial"/>
          <w:sz w:val="18"/>
          <w:szCs w:val="18"/>
          <w:color w:val="auto"/>
        </w:rPr>
      </w:pPr>
    </w:p>
    <w:p>
      <w:pPr>
        <w:ind w:left="1620" w:right="240" w:hanging="316"/>
        <w:spacing w:after="0" w:line="263" w:lineRule="auto"/>
        <w:tabs>
          <w:tab w:leader="none" w:pos="1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w:t>
      </w:r>
    </w:p>
    <w:p>
      <w:pPr>
        <w:spacing w:after="0" w:line="183" w:lineRule="exact"/>
        <w:rPr>
          <w:rFonts w:ascii="Arial" w:cs="Arial" w:eastAsia="Arial" w:hAnsi="Arial"/>
          <w:sz w:val="18"/>
          <w:szCs w:val="18"/>
          <w:color w:val="auto"/>
        </w:rPr>
      </w:pPr>
    </w:p>
    <w:p>
      <w:pPr>
        <w:ind w:left="1620" w:right="40" w:hanging="316"/>
        <w:spacing w:after="0" w:line="268" w:lineRule="auto"/>
        <w:tabs>
          <w:tab w:leader="none" w:pos="162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(taking into account any permissible and effective opting out by the Company from such requirements), and except as provided in Section 1(uu) relating to Capitalization Adjustments, the Company will seek stockholder approval of any amendment of the Plan that (A) materially increases the number of Ordinary Shares available for issuance under the Plan, (B) materially expands the class of individuals eligible to receive Awards under the Plan, (C) materially increases the benefits accruing to Participants under the Plan, (D) materially reduces the price at which Ordinary Shares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86" w:lineRule="exact"/>
        <w:rPr>
          <w:rFonts w:ascii="Arial" w:cs="Arial" w:eastAsia="Arial" w:hAnsi="Arial"/>
          <w:sz w:val="17"/>
          <w:szCs w:val="17"/>
          <w:color w:val="auto"/>
        </w:rPr>
      </w:pPr>
    </w:p>
    <w:p>
      <w:pPr>
        <w:jc w:val="both"/>
        <w:ind w:left="1620" w:right="300" w:hanging="316"/>
        <w:spacing w:after="0" w:line="342" w:lineRule="auto"/>
        <w:tabs>
          <w:tab w:leader="none" w:pos="16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To submit any amendment to the Plan for stockholder approval, including, but not limited to, amendments to the Plan intended to satisfy the requirements of (A) Section 162(m) of the Code regarding the exclusion of performance-based compensation from the</w:t>
      </w:r>
    </w:p>
    <w:p>
      <w:pPr>
        <w:sectPr>
          <w:pgSz w:w="11900" w:h="16838" w:orient="portrait"/>
          <w:cols w:equalWidth="0" w:num="1">
            <w:col w:w="11240"/>
          </w:cols>
          <w:pgMar w:left="320" w:top="121" w:right="339" w:bottom="0" w:gutter="0" w:footer="0" w:header="0"/>
        </w:sectPr>
      </w:pPr>
    </w:p>
    <w:bookmarkStart w:id="90" w:name="page91"/>
    <w:bookmarkEnd w:id="90"/>
    <w:p>
      <w:pPr>
        <w:ind w:left="1620" w:right="40"/>
        <w:spacing w:after="0" w:line="277" w:lineRule="auto"/>
        <w:rPr>
          <w:sz w:val="20"/>
          <w:szCs w:val="20"/>
          <w:color w:val="auto"/>
        </w:rPr>
      </w:pPr>
      <w:r>
        <w:rPr>
          <w:rFonts w:ascii="Arial" w:cs="Arial" w:eastAsia="Arial" w:hAnsi="Arial"/>
          <w:sz w:val="18"/>
          <w:szCs w:val="18"/>
          <w:color w:val="auto"/>
        </w:rPr>
        <w:t>limit on corporate deductibility of compensation paid to Covered Employees, (B) Section 422 of the Code regarding “incentive stock options” and/or (C) Rule 16b-3.</w:t>
      </w:r>
    </w:p>
    <w:p>
      <w:pPr>
        <w:spacing w:after="0" w:line="170" w:lineRule="exact"/>
        <w:rPr>
          <w:sz w:val="20"/>
          <w:szCs w:val="20"/>
          <w:color w:val="auto"/>
        </w:rPr>
      </w:pPr>
    </w:p>
    <w:p>
      <w:pPr>
        <w:ind w:left="1620" w:right="40" w:hanging="316"/>
        <w:spacing w:after="0" w:line="287" w:lineRule="auto"/>
        <w:tabs>
          <w:tab w:leader="none" w:pos="1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and/or (D) to comply with other applicable laws or listing requirements.</w:t>
      </w:r>
    </w:p>
    <w:p>
      <w:pPr>
        <w:spacing w:after="0" w:line="167" w:lineRule="exact"/>
        <w:rPr>
          <w:rFonts w:ascii="Arial" w:cs="Arial" w:eastAsia="Arial" w:hAnsi="Arial"/>
          <w:sz w:val="16"/>
          <w:szCs w:val="16"/>
          <w:color w:val="auto"/>
        </w:rPr>
      </w:pPr>
    </w:p>
    <w:p>
      <w:pPr>
        <w:ind w:left="1620" w:right="100" w:hanging="316"/>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color w:val="auto"/>
        </w:rPr>
      </w:pPr>
    </w:p>
    <w:p>
      <w:pPr>
        <w:ind w:left="1620" w:right="20" w:hanging="316"/>
        <w:spacing w:after="0" w:line="259"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not United States nationals or who are employed outside the United States (provided that Board approval will not be necessary for immaterial modifications to the Plan or any Award Agreement that are required for compliance with the laws of the relevant foreign jurisdiction).</w:t>
      </w:r>
    </w:p>
    <w:p>
      <w:pPr>
        <w:spacing w:after="0" w:line="18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Delegation to Committee.</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or more Outside Directors,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or solely of two or more Non-Employee Directors, in accordance with Rule 16b-3.</w:t>
      </w:r>
    </w:p>
    <w:p>
      <w:pPr>
        <w:spacing w:after="0" w:line="162" w:lineRule="exact"/>
        <w:rPr>
          <w:sz w:val="20"/>
          <w:szCs w:val="20"/>
          <w:color w:val="auto"/>
        </w:rPr>
      </w:pPr>
    </w:p>
    <w:p>
      <w:pPr>
        <w:ind w:right="40" w:firstLine="656"/>
        <w:spacing w:after="0" w:line="272" w:lineRule="auto"/>
        <w:tabs>
          <w:tab w:leader="none" w:pos="1048"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Delegation to an Officer. </w:t>
      </w:r>
      <w:r>
        <w:rPr>
          <w:rFonts w:ascii="Arial" w:cs="Arial" w:eastAsia="Arial" w:hAnsi="Arial"/>
          <w:sz w:val="17"/>
          <w:szCs w:val="17"/>
          <w:color w:val="auto"/>
        </w:rPr>
        <w:t>The Board may delegate to one (1) or more Officers the authority to do one or both of the following (i) designate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who are not Officers to be recipients of Options and SARs (and, to the extent permitted by applicable law, other Stock Awards) and, to the extent permitted by applicable law, the terms of such Awards, and (ii) determine the number of Ordinary Shares to be subject to such Stock Awards granted to such Employees;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resolutions regarding such delegation will specify the total number of Ordinary Shares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Fair Market Value</w:t>
      </w:r>
    </w:p>
    <w:p>
      <w:pPr>
        <w:spacing w:after="0" w:line="171" w:lineRule="exact"/>
        <w:rPr>
          <w:rFonts w:ascii="Arial" w:cs="Arial" w:eastAsia="Arial" w:hAnsi="Arial"/>
          <w:sz w:val="17"/>
          <w:szCs w:val="17"/>
          <w:b w:val="1"/>
          <w:bCs w:val="1"/>
          <w:color w:val="auto"/>
        </w:rPr>
      </w:pPr>
    </w:p>
    <w:p>
      <w:pPr>
        <w:ind w:right="240" w:firstLine="656"/>
        <w:spacing w:after="0" w:line="261" w:lineRule="auto"/>
        <w:tabs>
          <w:tab w:leader="none" w:pos="1027"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Repricing of Awards. </w:t>
      </w:r>
      <w:r>
        <w:rPr>
          <w:rFonts w:ascii="Arial" w:cs="Arial" w:eastAsia="Arial" w:hAnsi="Arial"/>
          <w:sz w:val="18"/>
          <w:szCs w:val="18"/>
          <w:color w:val="auto"/>
        </w:rPr>
        <w:t>Neither the Board nor any Committee will have the authority to (i) reduce the exercise or strike price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 or SAR or (ii) cancel any outstanding Option or SAR that has an exercise or strike price (per share) greater than the then-current Fair Market Value of the Ordinary Shares in exchange for cash or other Stock Awards under the Plan, unless the shareholders of the Company have approved such an action within twelve (12) months prior to such an event.</w:t>
      </w:r>
    </w:p>
    <w:p>
      <w:pPr>
        <w:spacing w:after="0" w:line="179" w:lineRule="exact"/>
        <w:rPr>
          <w:rFonts w:ascii="Arial" w:cs="Arial" w:eastAsia="Arial" w:hAnsi="Arial"/>
          <w:sz w:val="18"/>
          <w:szCs w:val="18"/>
          <w:b w:val="1"/>
          <w:bCs w:val="1"/>
          <w:color w:val="auto"/>
        </w:rPr>
      </w:pPr>
    </w:p>
    <w:p>
      <w:pPr>
        <w:ind w:right="420" w:firstLine="656"/>
        <w:spacing w:after="0" w:line="282" w:lineRule="auto"/>
        <w:tabs>
          <w:tab w:leader="none" w:pos="1008"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w:t>
      </w:r>
      <w:r>
        <w:rPr>
          <w:rFonts w:ascii="Arial" w:cs="Arial" w:eastAsia="Arial" w:hAnsi="Arial"/>
          <w:sz w:val="18"/>
          <w:szCs w:val="18"/>
          <w:color w:val="auto"/>
        </w:rPr>
        <w:t>’</w:t>
      </w:r>
      <w:r>
        <w:rPr>
          <w:rFonts w:ascii="Arial" w:cs="Arial" w:eastAsia="Arial" w:hAnsi="Arial"/>
          <w:sz w:val="18"/>
          <w:szCs w:val="18"/>
          <w:b w:val="1"/>
          <w:bCs w:val="1"/>
          <w:color w:val="auto"/>
        </w:rPr>
        <w:t xml:space="preserve">s Decision. </w:t>
      </w:r>
      <w:r>
        <w:rPr>
          <w:rFonts w:ascii="Arial" w:cs="Arial" w:eastAsia="Arial" w:hAnsi="Arial"/>
          <w:sz w:val="18"/>
          <w:szCs w:val="18"/>
          <w:color w:val="auto"/>
        </w:rPr>
        <w:t>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656"/>
        <w:spacing w:after="0" w:line="274" w:lineRule="auto"/>
        <w:tabs>
          <w:tab w:leader="none" w:pos="1038"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Section 9(a) relating to Capitalization Adjustments, the aggregate number of Ordinary Shares that may be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Stock Awards from and after the Effective Date will not exceed 5,200,167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For clarity, the Share Reserve in this Section 0 is a limitation on the number of Ordinary Shares that may be issued pursuant to the Plan. Accordingly, this Section 0 does not limit the granting of Stock Awards except as provided in Section 1(ff).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3" w:lineRule="exact"/>
        <w:rPr>
          <w:rFonts w:ascii="Arial" w:cs="Arial" w:eastAsia="Arial" w:hAnsi="Arial"/>
          <w:sz w:val="17"/>
          <w:szCs w:val="17"/>
          <w:b w:val="1"/>
          <w:bCs w:val="1"/>
          <w:color w:val="auto"/>
        </w:rPr>
      </w:pPr>
    </w:p>
    <w:p>
      <w:pPr>
        <w:ind w:right="120" w:firstLine="656"/>
        <w:spacing w:after="0" w:line="272" w:lineRule="auto"/>
        <w:tabs>
          <w:tab w:leader="none" w:pos="1048"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Reversion of Shares to the Share Reserve. </w:t>
      </w:r>
      <w:r>
        <w:rPr>
          <w:rFonts w:ascii="Arial" w:cs="Arial" w:eastAsia="Arial" w:hAnsi="Arial"/>
          <w:sz w:val="17"/>
          <w:szCs w:val="17"/>
          <w:color w:val="auto"/>
        </w:rPr>
        <w:t>If a Stock Award or any portion thereof (i) expires or otherwise terminates without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covered by such Stock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stock), such expiration, termination or settlement will not reduce (or otherwise offset) the number of Ordinary Shares that may be available for issuance under the Plan and the Ordinary Shares relating to such Stock Award (or portion thereof) will again become available for issuance under the Plan. If any Ordinary Shares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71" w:lineRule="exact"/>
        <w:rPr>
          <w:rFonts w:ascii="Arial" w:cs="Arial" w:eastAsia="Arial" w:hAnsi="Arial"/>
          <w:sz w:val="17"/>
          <w:szCs w:val="17"/>
          <w:b w:val="1"/>
          <w:bCs w:val="1"/>
          <w:color w:val="auto"/>
        </w:rPr>
      </w:pPr>
    </w:p>
    <w:p>
      <w:pPr>
        <w:ind w:right="260" w:firstLine="656"/>
        <w:spacing w:after="0" w:line="312" w:lineRule="auto"/>
        <w:tabs>
          <w:tab w:leader="none" w:pos="1027"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 </w:t>
      </w:r>
      <w:r>
        <w:rPr>
          <w:rFonts w:ascii="Arial" w:cs="Arial" w:eastAsia="Arial" w:hAnsi="Arial"/>
          <w:sz w:val="17"/>
          <w:szCs w:val="17"/>
          <w:color w:val="auto"/>
        </w:rPr>
        <w:t>Subject to the provisions of Section 1(uu) relating to Capitalization Adjustments, the aggregate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Ordinary Shares that may be issued pursuant to the exercise of Incentive Stock Options will be 5,600,000 Ordinary Shares.</w:t>
      </w:r>
    </w:p>
    <w:p>
      <w:pPr>
        <w:sectPr>
          <w:pgSz w:w="11900" w:h="16838" w:orient="portrait"/>
          <w:cols w:equalWidth="0" w:num="1">
            <w:col w:w="11240"/>
          </w:cols>
          <w:pgMar w:left="320" w:top="125" w:right="339" w:bottom="92" w:gutter="0" w:footer="0" w:header="0"/>
        </w:sectPr>
      </w:pPr>
    </w:p>
    <w:bookmarkStart w:id="91" w:name="page92"/>
    <w:bookmarkEnd w:id="91"/>
    <w:p>
      <w:pPr>
        <w:ind w:right="60" w:firstLine="656"/>
        <w:spacing w:after="0" w:line="282" w:lineRule="auto"/>
        <w:tabs>
          <w:tab w:leader="none" w:pos="104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Section 162(m) Limitations</w:t>
      </w:r>
      <w:r>
        <w:rPr>
          <w:rFonts w:ascii="Arial" w:cs="Arial" w:eastAsia="Arial" w:hAnsi="Arial"/>
          <w:sz w:val="18"/>
          <w:szCs w:val="18"/>
          <w:color w:val="auto"/>
        </w:rPr>
        <w:t>. Subject to the provisions of Section 1(uu) relating to Capitalization Adjustments, at such time as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subject to the applicable provisions of Section 162(m) of the Code, the following limitations shall apply.</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 maximum of 500,000 Ordinary Shares subject to Options, SARs and Other Stock Awards whose value is determined by reference to an increase over an exercise or strike price of at least 100% of the Fair Market Value on the date the Stock Award is granted may be granted to any one Participant during any one calendar year. Notwithstanding the foregoing, if any additional Options, SARs or Other Stock Awards whose value is determined by reference to an increase over an exercise or strike price of at least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9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A maximum of 500,000 Ordinary Shares subject to Performance Stock Awards may be granted to any one Participant during any one calendar year (whether the grant, vesting or exercise is contingent upon the attainment during the Performance Period of the Performance Goals).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maximum of $3.0 million may be granted as a Performance Cash Award to any one Participant during any one calendar year.</w:t>
      </w:r>
    </w:p>
    <w:p>
      <w:pPr>
        <w:spacing w:after="0" w:line="233" w:lineRule="exact"/>
        <w:rPr>
          <w:sz w:val="20"/>
          <w:szCs w:val="20"/>
          <w:color w:val="auto"/>
        </w:rPr>
      </w:pPr>
    </w:p>
    <w:p>
      <w:pPr>
        <w:ind w:right="440" w:firstLine="656"/>
        <w:spacing w:after="0" w:line="282" w:lineRule="auto"/>
        <w:tabs>
          <w:tab w:leader="none" w:pos="1027"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Ordinary Shares,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161" w:lineRule="exact"/>
        <w:rPr>
          <w:rFonts w:ascii="Arial" w:cs="Arial" w:eastAsia="Arial" w:hAnsi="Arial"/>
          <w:sz w:val="18"/>
          <w:szCs w:val="18"/>
          <w:b w:val="1"/>
          <w:bCs w:val="1"/>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656"/>
        <w:spacing w:after="0" w:line="287" w:lineRule="auto"/>
        <w:tabs>
          <w:tab w:leader="none" w:pos="1038"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of the Securities Act, unless</w:t>
      </w:r>
    </w:p>
    <w:p>
      <w:pPr>
        <w:spacing w:after="0" w:line="2" w:lineRule="exact"/>
        <w:rPr>
          <w:rFonts w:ascii="Arial" w:cs="Arial" w:eastAsia="Arial" w:hAnsi="Arial"/>
          <w:sz w:val="16"/>
          <w:szCs w:val="16"/>
          <w:b w:val="1"/>
          <w:bCs w:val="1"/>
          <w:color w:val="auto"/>
        </w:rPr>
      </w:pPr>
    </w:p>
    <w:p>
      <w:pPr>
        <w:ind w:righ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8" w:lineRule="exact"/>
        <w:rPr>
          <w:rFonts w:ascii="Arial" w:cs="Arial" w:eastAsia="Arial" w:hAnsi="Arial"/>
          <w:sz w:val="16"/>
          <w:szCs w:val="16"/>
          <w:b w:val="1"/>
          <w:bCs w:val="1"/>
          <w:color w:val="auto"/>
        </w:rPr>
      </w:pPr>
    </w:p>
    <w:p>
      <w:pPr>
        <w:ind w:right="340" w:firstLine="656"/>
        <w:spacing w:after="0" w:line="266" w:lineRule="auto"/>
        <w:tabs>
          <w:tab w:leader="none" w:pos="1048"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of the Fair Market Value on the date of grant and the Option is not exercisable after the expiration of five years from the date of grant.</w:t>
      </w:r>
    </w:p>
    <w:p>
      <w:pPr>
        <w:spacing w:after="0" w:line="175" w:lineRule="exact"/>
        <w:rPr>
          <w:rFonts w:ascii="Arial" w:cs="Arial" w:eastAsia="Arial" w:hAnsi="Arial"/>
          <w:sz w:val="18"/>
          <w:szCs w:val="18"/>
          <w:b w:val="1"/>
          <w:bCs w:val="1"/>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Ordinary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 or otherwise) the substance of each of the following provisions:</w:t>
      </w:r>
    </w:p>
    <w:p>
      <w:pPr>
        <w:spacing w:after="0" w:line="173" w:lineRule="exact"/>
        <w:rPr>
          <w:sz w:val="20"/>
          <w:szCs w:val="20"/>
          <w:color w:val="auto"/>
        </w:rPr>
      </w:pPr>
    </w:p>
    <w:p>
      <w:pPr>
        <w:ind w:right="720" w:firstLine="656"/>
        <w:spacing w:after="0" w:line="282" w:lineRule="auto"/>
        <w:tabs>
          <w:tab w:leader="none" w:pos="103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1(o) regarding Ten Percent Stockholders, no Option or SAR will be exercisable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ten years from the date of its grant or such shorter period specified in the Award Agreement.</w:t>
      </w:r>
    </w:p>
    <w:p>
      <w:pPr>
        <w:spacing w:after="0" w:line="161" w:lineRule="exact"/>
        <w:rPr>
          <w:rFonts w:ascii="Arial" w:cs="Arial" w:eastAsia="Arial" w:hAnsi="Arial"/>
          <w:sz w:val="18"/>
          <w:szCs w:val="18"/>
          <w:b w:val="1"/>
          <w:bCs w:val="1"/>
          <w:color w:val="auto"/>
        </w:rPr>
      </w:pPr>
    </w:p>
    <w:p>
      <w:pPr>
        <w:ind w:right="180" w:firstLine="656"/>
        <w:spacing w:after="0" w:line="256" w:lineRule="auto"/>
        <w:tabs>
          <w:tab w:leader="none" w:pos="104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1(o) regarding Ten Percent Stockholders, the exercise or strike price of each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 will be not less than 100% of the Fair Market Value of the Ordinary Shares subject to the Option or SAR on the date the Award is granted. Notwithstanding the foregoing, an Option or SAR may be granted with an exercise or strike price lower than 100% of the Fair Market Value of the Ordinary Shares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Ordinary Shares equivalents.</w:t>
      </w:r>
    </w:p>
    <w:p>
      <w:pPr>
        <w:spacing w:after="0" w:line="187" w:lineRule="exact"/>
        <w:rPr>
          <w:rFonts w:ascii="Arial" w:cs="Arial" w:eastAsia="Arial" w:hAnsi="Arial"/>
          <w:sz w:val="18"/>
          <w:szCs w:val="18"/>
          <w:b w:val="1"/>
          <w:bCs w:val="1"/>
          <w:color w:val="auto"/>
        </w:rPr>
      </w:pPr>
    </w:p>
    <w:p>
      <w:pPr>
        <w:ind w:right="180" w:firstLine="656"/>
        <w:spacing w:after="0" w:line="258" w:lineRule="auto"/>
        <w:tabs>
          <w:tab w:leader="none" w:pos="102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Ordinary Shares acquired pursuant to the exercise of an Option may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cash, check, bank draft or money order payable to the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delivery to the Company (either by actual delivery or attestation) of Ordinary Shares;</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Ordinary Shares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not satisfied by such reduction in the number of whole shares to be issued. Ordinary Shares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any other form of legal consideration that may be acceptable to the Board and specified in the applicable Award Agreement.</w:t>
      </w:r>
    </w:p>
    <w:p>
      <w:pPr>
        <w:sectPr>
          <w:pgSz w:w="11900" w:h="16838" w:orient="portrait"/>
          <w:cols w:equalWidth="0" w:num="1">
            <w:col w:w="11240"/>
          </w:cols>
          <w:pgMar w:left="320" w:top="121" w:right="339" w:bottom="0" w:gutter="0" w:footer="0" w:header="0"/>
        </w:sectPr>
      </w:pPr>
    </w:p>
    <w:bookmarkStart w:id="92" w:name="page93"/>
    <w:bookmarkEnd w:id="92"/>
    <w:p>
      <w:pPr>
        <w:ind w:right="60" w:firstLine="656"/>
        <w:spacing w:after="0" w:line="292" w:lineRule="auto"/>
        <w:tabs>
          <w:tab w:leader="none" w:pos="104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Participant is vested under such SAR, and with respect to which the Participant is exercising the SAR on such date, over (B) the aggregate strike price of the number of Ordinary Share equivalents with respect to which the Participant is exercising the SAR on such date. The appreciation distribution may be paid in Ordinary Shares, in cash, in any combination of the two or in any other form of consideration, as determined by the Board and contained in the Award Agreement evidencing such SAR.</w:t>
      </w:r>
    </w:p>
    <w:p>
      <w:pPr>
        <w:spacing w:after="0" w:line="161" w:lineRule="exact"/>
        <w:rPr>
          <w:rFonts w:ascii="Arial" w:cs="Arial" w:eastAsia="Arial" w:hAnsi="Arial"/>
          <w:sz w:val="16"/>
          <w:szCs w:val="16"/>
          <w:b w:val="1"/>
          <w:bCs w:val="1"/>
          <w:color w:val="auto"/>
        </w:rPr>
      </w:pPr>
    </w:p>
    <w:p>
      <w:pPr>
        <w:jc w:val="both"/>
        <w:ind w:right="200" w:firstLine="656"/>
        <w:spacing w:after="0" w:line="266" w:lineRule="auto"/>
        <w:tabs>
          <w:tab w:leader="none" w:pos="102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8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in a form approved by the Company (or the designated broker), designate a third party who, on the death of the Participant, will thereafter be entitled to exercise the Option or SAR and receive the Ordinary Shares or other consideration resulting from such exercise. In the absence of such a designation, upon the death of the Participant, the executor or administrator of the Participant’s estate will be entitled to exercise the Option or SAR and receive the Ordinary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60" w:lineRule="exact"/>
        <w:rPr>
          <w:sz w:val="20"/>
          <w:szCs w:val="20"/>
          <w:color w:val="auto"/>
        </w:rPr>
      </w:pPr>
    </w:p>
    <w:p>
      <w:pPr>
        <w:ind w:right="100" w:firstLine="656"/>
        <w:spacing w:after="0" w:line="258" w:lineRule="auto"/>
        <w:tabs>
          <w:tab w:leader="none" w:pos="100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Ordinary Shares subject to an Option or SAR may vest and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1(u) are subject to any Option or SAR provisions governing the minimum number of Ordinary Shares as to which an Option or SAR may be exercised.</w:t>
      </w:r>
    </w:p>
    <w:p>
      <w:pPr>
        <w:spacing w:after="0" w:line="183" w:lineRule="exact"/>
        <w:rPr>
          <w:rFonts w:ascii="Arial" w:cs="Arial" w:eastAsia="Arial" w:hAnsi="Arial"/>
          <w:sz w:val="18"/>
          <w:szCs w:val="18"/>
          <w:b w:val="1"/>
          <w:bCs w:val="1"/>
          <w:color w:val="auto"/>
        </w:rPr>
      </w:pPr>
    </w:p>
    <w:p>
      <w:pPr>
        <w:ind w:right="20" w:firstLine="656"/>
        <w:spacing w:after="0" w:line="273" w:lineRule="auto"/>
        <w:tabs>
          <w:tab w:leader="none" w:pos="1038"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ninety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1" w:lineRule="exact"/>
        <w:rPr>
          <w:rFonts w:ascii="Arial" w:cs="Arial" w:eastAsia="Arial" w:hAnsi="Arial"/>
          <w:sz w:val="17"/>
          <w:szCs w:val="17"/>
          <w:b w:val="1"/>
          <w:bCs w:val="1"/>
          <w:color w:val="auto"/>
        </w:rPr>
      </w:pPr>
    </w:p>
    <w:p>
      <w:pPr>
        <w:ind w:right="100" w:firstLine="656"/>
        <w:spacing w:after="0" w:line="288" w:lineRule="auto"/>
        <w:tabs>
          <w:tab w:leader="none" w:pos="10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If the exercise of an Option or SAR following the termination of the Participant’s 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for Cause and other than upon the Participant’s death or Disability) would be prohibited at any time solely because the issuance of Ordinary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Ordinary Shares received on exercise of an Option or SAR following the termination of the Participant’s Continuous Service (other than for Cause) would violate the Company’s insider trading policy, then the Option or SAR will terminate on the earlier of (i) the expiration of the period of days or months (that need not be consecutive)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63" w:lineRule="exact"/>
        <w:rPr>
          <w:rFonts w:ascii="Arial" w:cs="Arial" w:eastAsia="Arial" w:hAnsi="Arial"/>
          <w:sz w:val="16"/>
          <w:szCs w:val="16"/>
          <w:b w:val="1"/>
          <w:bCs w:val="1"/>
          <w:color w:val="auto"/>
        </w:rPr>
      </w:pPr>
    </w:p>
    <w:p>
      <w:pPr>
        <w:ind w:right="140" w:firstLine="656"/>
        <w:spacing w:after="0" w:line="255" w:lineRule="auto"/>
        <w:tabs>
          <w:tab w:leader="none" w:pos="99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right="60" w:firstLine="656"/>
        <w:spacing w:after="0" w:line="291" w:lineRule="auto"/>
        <w:tabs>
          <w:tab w:leader="none" w:pos="100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59" w:lineRule="exact"/>
        <w:rPr>
          <w:rFonts w:ascii="Arial" w:cs="Arial" w:eastAsia="Arial" w:hAnsi="Arial"/>
          <w:sz w:val="16"/>
          <w:szCs w:val="16"/>
          <w:b w:val="1"/>
          <w:bCs w:val="1"/>
          <w:color w:val="auto"/>
        </w:rPr>
      </w:pPr>
    </w:p>
    <w:p>
      <w:pPr>
        <w:jc w:val="both"/>
        <w:ind w:right="140" w:firstLine="656"/>
        <w:spacing w:after="0" w:line="347" w:lineRule="auto"/>
        <w:tabs>
          <w:tab w:leader="none" w:pos="10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Award Agreement or other individual written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or any Affiliate and the Participant, if a Participant’s Continuous Service is terminated for Cause, the Option or SAR will terminate</w:t>
      </w:r>
    </w:p>
    <w:p>
      <w:pPr>
        <w:sectPr>
          <w:pgSz w:w="11900" w:h="16838" w:orient="portrait"/>
          <w:cols w:equalWidth="0" w:num="1">
            <w:col w:w="11240"/>
          </w:cols>
          <w:pgMar w:left="320" w:top="337" w:right="339" w:bottom="0" w:gutter="0" w:footer="0" w:header="0"/>
        </w:sectPr>
      </w:pPr>
    </w:p>
    <w:bookmarkStart w:id="93" w:name="page94"/>
    <w:bookmarkEnd w:id="93"/>
    <w:p>
      <w:pPr>
        <w:ind w:right="280"/>
        <w:spacing w:after="0" w:line="277" w:lineRule="auto"/>
        <w:rPr>
          <w:sz w:val="20"/>
          <w:szCs w:val="20"/>
          <w:color w:val="auto"/>
        </w:rPr>
      </w:pPr>
      <w:r>
        <w:rPr>
          <w:rFonts w:ascii="Arial" w:cs="Arial" w:eastAsia="Arial" w:hAnsi="Arial"/>
          <w:sz w:val="18"/>
          <w:szCs w:val="18"/>
          <w:color w:val="auto"/>
        </w:rPr>
        <w:t>immediately upon such Participant’s termination of Continuous Service, and the Participant will be prohibited from exercising his or her Option or SAR from and after the date of such termination of Continuous Service.</w:t>
      </w:r>
    </w:p>
    <w:p>
      <w:pPr>
        <w:spacing w:after="0" w:line="166" w:lineRule="exact"/>
        <w:rPr>
          <w:sz w:val="20"/>
          <w:szCs w:val="20"/>
          <w:color w:val="auto"/>
        </w:rPr>
      </w:pPr>
    </w:p>
    <w:p>
      <w:pPr>
        <w:ind w:firstLine="656"/>
        <w:spacing w:after="0" w:line="269" w:lineRule="auto"/>
        <w:tabs>
          <w:tab w:leader="none" w:pos="998"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If an Option or SAR is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the Option or SAR will not be first exercisable for any Ordinary Shares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8" w:lineRule="exact"/>
        <w:rPr>
          <w:rFonts w:ascii="Arial" w:cs="Arial" w:eastAsia="Arial" w:hAnsi="Arial"/>
          <w:sz w:val="17"/>
          <w:szCs w:val="17"/>
          <w:b w:val="1"/>
          <w:bCs w:val="1"/>
          <w:color w:val="auto"/>
        </w:rPr>
      </w:pPr>
    </w:p>
    <w:p>
      <w:pPr>
        <w:ind w:left="320" w:hanging="312"/>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225" w:lineRule="exact"/>
        <w:rPr>
          <w:rFonts w:ascii="Arial" w:cs="Arial" w:eastAsia="Arial" w:hAnsi="Arial"/>
          <w:sz w:val="18"/>
          <w:szCs w:val="18"/>
          <w:b w:val="1"/>
          <w:bCs w:val="1"/>
          <w:color w:val="auto"/>
        </w:rPr>
      </w:pPr>
    </w:p>
    <w:p>
      <w:pPr>
        <w:ind w:right="140" w:firstLine="656"/>
        <w:spacing w:after="0" w:line="255" w:lineRule="auto"/>
        <w:tabs>
          <w:tab w:leader="none" w:pos="1038"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will deem appropriate. To the extent consistent with the Company’s articles of association, at the Board’s election, Ordinary Shares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9"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Ordinary Shares awarded under the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Termination of Participant</w:t>
      </w:r>
      <w:r>
        <w:rPr>
          <w:rFonts w:ascii="Arial" w:cs="Arial" w:eastAsia="Arial" w:hAnsi="Arial"/>
          <w:sz w:val="18"/>
          <w:szCs w:val="18"/>
          <w:color w:val="auto"/>
        </w:rPr>
        <w:t>’</w:t>
      </w:r>
      <w:r>
        <w:rPr>
          <w:rFonts w:ascii="Arial" w:cs="Arial" w:eastAsia="Arial" w:hAnsi="Arial"/>
          <w:sz w:val="18"/>
          <w:szCs w:val="18"/>
          <w:b w:val="1"/>
          <w:bCs w:val="1"/>
          <w:color w:val="auto"/>
        </w:rPr>
        <w:t xml:space="preserve">s Continuous Service. </w:t>
      </w:r>
      <w:r>
        <w:rPr>
          <w:rFonts w:ascii="Arial" w:cs="Arial" w:eastAsia="Arial" w:hAnsi="Arial"/>
          <w:sz w:val="18"/>
          <w:szCs w:val="18"/>
          <w:color w:val="auto"/>
        </w:rPr>
        <w:t>If a Participant’s Continuous Service terminates, the Company may receive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 forfeiture condition or a repurchase right any or all of the Ordinary Shares held by the Participant that have not vested as of the date of termination of Continuous Service under the terms of the Restricted Stock Award Agreement.</w:t>
      </w:r>
    </w:p>
    <w:p>
      <w:pPr>
        <w:spacing w:after="0" w:line="176"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Ordinary Shares under the Restricted Stock Award Agreement will be transferable by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only upon such terms and conditions as are set forth in the Restricted Stock Award Agreement, as the Board will determine in its sole discretion, so long as Ordinary Shares awarded under the Restricted Stock Award Agreement remains subject to the terms of the Restricted Stock Award Agreement.</w:t>
      </w:r>
    </w:p>
    <w:p>
      <w:pPr>
        <w:spacing w:after="0" w:line="14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162" w:lineRule="exact"/>
        <w:rPr>
          <w:sz w:val="20"/>
          <w:szCs w:val="20"/>
          <w:color w:val="auto"/>
        </w:rPr>
      </w:pPr>
    </w:p>
    <w:p>
      <w:pPr>
        <w:ind w:right="140" w:firstLine="656"/>
        <w:spacing w:after="0" w:line="303" w:lineRule="auto"/>
        <w:tabs>
          <w:tab w:leader="none" w:pos="1048"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Ordinary Shares subject to the Restricted Stock Unit Award. The consideration to be paid (if any) by the Participant for each share of Ordinary Shares subject to a Restricted Stock Unit Award may be paid in any form of legal consideration that may be acceptable to the Board, in its sole discretion, and permissible under applicable law.</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162"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A Restricted Stock Unit Award may be settled by the delivery of Ordinary Shares, their cash equivalent, any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in any other form of consideration, as determined by the Board and contained in the Restricted Stock Unit Award Agreement.</w:t>
      </w:r>
    </w:p>
    <w:p>
      <w:pPr>
        <w:spacing w:after="0" w:line="14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Ordinary Shares (or their cash equivalent) subject to a Restricted Stock Unit Award to a time after the vesting of such Restricted Stock Unit Award.</w:t>
      </w:r>
    </w:p>
    <w:p>
      <w:pPr>
        <w:spacing w:after="0" w:line="17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may be credited in respect of Ordinary Shares covered by a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83" w:lineRule="exact"/>
        <w:rPr>
          <w:sz w:val="20"/>
          <w:szCs w:val="20"/>
          <w:color w:val="auto"/>
        </w:rPr>
      </w:pPr>
    </w:p>
    <w:p>
      <w:pPr>
        <w:jc w:val="both"/>
        <w:ind w:right="20" w:firstLine="1296"/>
        <w:spacing w:after="0" w:line="347" w:lineRule="auto"/>
        <w:rPr>
          <w:sz w:val="20"/>
          <w:szCs w:val="20"/>
          <w:color w:val="auto"/>
        </w:rPr>
      </w:pPr>
      <w:r>
        <w:rPr>
          <w:rFonts w:ascii="Arial" w:cs="Arial" w:eastAsia="Arial" w:hAnsi="Arial"/>
          <w:sz w:val="16"/>
          <w:szCs w:val="16"/>
          <w:b w:val="1"/>
          <w:bCs w:val="1"/>
          <w:color w:val="auto"/>
        </w:rPr>
        <w:t>Termination of Participant</w:t>
      </w:r>
      <w:r>
        <w:rPr>
          <w:rFonts w:ascii="Arial" w:cs="Arial" w:eastAsia="Arial" w:hAnsi="Arial"/>
          <w:sz w:val="16"/>
          <w:szCs w:val="16"/>
          <w:color w:val="auto"/>
        </w:rPr>
        <w:t>’</w:t>
      </w:r>
      <w:r>
        <w:rPr>
          <w:rFonts w:ascii="Arial" w:cs="Arial" w:eastAsia="Arial" w:hAnsi="Arial"/>
          <w:sz w:val="16"/>
          <w:szCs w:val="16"/>
          <w:b w:val="1"/>
          <w:bCs w:val="1"/>
          <w:color w:val="auto"/>
        </w:rPr>
        <w:t xml:space="preserve">s Continuous Service. </w:t>
      </w:r>
      <w:r>
        <w:rPr>
          <w:rFonts w:ascii="Arial" w:cs="Arial" w:eastAsia="Arial" w:hAnsi="Arial"/>
          <w:sz w:val="16"/>
          <w:szCs w:val="16"/>
          <w:color w:val="auto"/>
        </w:rPr>
        <w:t>Except as otherwise provided in the applicable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such portion of the Restricted Stock Unit Award that has not vested will be forfeited upon the Participant’s termination of Continuous Service.</w:t>
      </w:r>
    </w:p>
    <w:p>
      <w:pPr>
        <w:spacing w:after="0" w:line="11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Performance Awards</w:t>
      </w:r>
      <w:r>
        <w:rPr>
          <w:rFonts w:ascii="Arial" w:cs="Arial" w:eastAsia="Arial" w:hAnsi="Arial"/>
          <w:sz w:val="16"/>
          <w:szCs w:val="16"/>
          <w:color w:val="auto"/>
        </w:rPr>
        <w:t>.</w:t>
      </w:r>
    </w:p>
    <w:p>
      <w:pPr>
        <w:sectPr>
          <w:pgSz w:w="11900" w:h="16838" w:orient="portrait"/>
          <w:cols w:equalWidth="0" w:num="1">
            <w:col w:w="11240"/>
          </w:cols>
          <w:pgMar w:left="320" w:top="125" w:right="339" w:bottom="177" w:gutter="0" w:footer="0" w:header="0"/>
        </w:sectPr>
      </w:pPr>
    </w:p>
    <w:bookmarkStart w:id="94" w:name="page95"/>
    <w:bookmarkEnd w:id="94"/>
    <w:p>
      <w:pPr>
        <w:jc w:val="both"/>
        <w:ind w:firstLine="1296"/>
        <w:spacing w:after="0" w:line="273" w:lineRule="auto"/>
        <w:rPr>
          <w:sz w:val="20"/>
          <w:szCs w:val="20"/>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(covering a number of shares not in excess of that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3(d) 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or the Committee may determine that cash may be used in payment of Performance Stock Awards.</w:t>
      </w:r>
    </w:p>
    <w:p>
      <w:pPr>
        <w:spacing w:after="0" w:line="17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(for a dollar value not in excess of that set forth in Section 3(d)</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or the Committee may specify the form of payment of Performance Cash Awards, which may be cash or other property, or may provide for a Participant to have the option for his or her Performance Cash Award, or such portion thereof as the Board or the Committee may specify, to be paid in whole or in part in cash or other property.</w:t>
      </w:r>
    </w:p>
    <w:p>
      <w:pPr>
        <w:spacing w:after="0" w:line="17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Board and Committee Discretion</w:t>
      </w:r>
      <w:r>
        <w:rPr>
          <w:rFonts w:ascii="Arial" w:cs="Arial" w:eastAsia="Arial" w:hAnsi="Arial"/>
          <w:sz w:val="18"/>
          <w:szCs w:val="18"/>
          <w:color w:val="auto"/>
        </w:rPr>
        <w:t>. The Board and the Committee retain the discretion to reduce or eliminate the compensation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Section 162(m) Compliance</w:t>
      </w:r>
      <w:r>
        <w:rPr>
          <w:rFonts w:ascii="Arial" w:cs="Arial" w:eastAsia="Arial" w:hAnsi="Arial"/>
          <w:sz w:val="16"/>
          <w:szCs w:val="16"/>
          <w:color w:val="auto"/>
        </w:rPr>
        <w:t>. Unless otherwise permitted in compliance with the requirements of Section 162(m) of the Code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 Award intended to qualify as “performance-based compensation” thereunder, the Committee will establish the Performance Goals applicable to, and the formula for calculating the amount payable under, the Award no later than the earlier of (a) the date which occurs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Ordinary Shares). Notwithstanding satisfaction of, or completion of any Performance Goals, the number of Ordinary Shares,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61" w:lineRule="exact"/>
        <w:rPr>
          <w:sz w:val="20"/>
          <w:szCs w:val="20"/>
          <w:color w:val="auto"/>
        </w:rPr>
      </w:pPr>
    </w:p>
    <w:p>
      <w:pPr>
        <w:ind w:right="40" w:firstLine="656"/>
        <w:spacing w:after="0" w:line="274" w:lineRule="auto"/>
        <w:tabs>
          <w:tab w:leader="none" w:pos="1048"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Ordinary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Ordinary Shares at the time of grant) may be granted either alone or in addition to Stock Awards provided for under Section 0 and the preceding provisions of this Section 0. Subject to the provisions of the Plan, the Board will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w:t>
      </w:r>
    </w:p>
    <w:p>
      <w:pPr>
        <w:spacing w:after="0" w:line="173" w:lineRule="exact"/>
        <w:rPr>
          <w:rFonts w:ascii="Arial" w:cs="Arial" w:eastAsia="Arial" w:hAnsi="Arial"/>
          <w:sz w:val="17"/>
          <w:szCs w:val="17"/>
          <w:b w:val="1"/>
          <w:bCs w:val="1"/>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40" w:firstLine="656"/>
        <w:spacing w:after="0" w:line="282" w:lineRule="auto"/>
        <w:tabs>
          <w:tab w:leader="none" w:pos="1038"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Ordinary Shares reasonably required to satisfy then-outstanding Awards.</w:t>
      </w:r>
    </w:p>
    <w:p>
      <w:pPr>
        <w:spacing w:after="0" w:line="161" w:lineRule="exact"/>
        <w:rPr>
          <w:rFonts w:ascii="Arial" w:cs="Arial" w:eastAsia="Arial" w:hAnsi="Arial"/>
          <w:sz w:val="18"/>
          <w:szCs w:val="18"/>
          <w:b w:val="1"/>
          <w:bCs w:val="1"/>
          <w:color w:val="auto"/>
        </w:rPr>
      </w:pPr>
    </w:p>
    <w:p>
      <w:pPr>
        <w:ind w:right="60" w:firstLine="656"/>
        <w:spacing w:after="0" w:line="272" w:lineRule="auto"/>
        <w:tabs>
          <w:tab w:leader="none" w:pos="1048"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such authority as may be required to grant Stock Awards and to issue and sell Ordinary Shares upon exercise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will not require the Company to register under the Securities Act the Plan, any Stock Award or any Ordinary Shares issued or issuable pursuant to any such Stock Award. If, after reasonable efforts and at a reasonable cost, the Company is unable to obtain from any such regulatory commission or agency the authority that counsel for the Company deems necessary for the lawful issuance and sale of Ordinary Shares under the Plan, the Company will be relieved from any liability for failure to issue and sell Ordinary Shares upon exercise of such Stock Awards unless and until such authority is obtained. A Participant will not be eligible for the grant of an Award or the subsequent issuance of cash or Ordinary Shares pursuant to the Award if such grant or issuance would be in violation of any applicable securities law.</w:t>
      </w:r>
    </w:p>
    <w:p>
      <w:pPr>
        <w:spacing w:after="0" w:line="171" w:lineRule="exact"/>
        <w:rPr>
          <w:rFonts w:ascii="Arial" w:cs="Arial" w:eastAsia="Arial" w:hAnsi="Arial"/>
          <w:sz w:val="17"/>
          <w:szCs w:val="17"/>
          <w:b w:val="1"/>
          <w:bCs w:val="1"/>
          <w:color w:val="auto"/>
        </w:rPr>
      </w:pPr>
    </w:p>
    <w:p>
      <w:pPr>
        <w:ind w:right="20" w:firstLine="656"/>
        <w:spacing w:after="0" w:line="261" w:lineRule="auto"/>
        <w:tabs>
          <w:tab w:leader="none" w:pos="1027"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9" w:lineRule="exact"/>
        <w:rPr>
          <w:rFonts w:ascii="Arial" w:cs="Arial" w:eastAsia="Arial" w:hAnsi="Arial"/>
          <w:sz w:val="18"/>
          <w:szCs w:val="18"/>
          <w:b w:val="1"/>
          <w:bCs w:val="1"/>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80" w:firstLine="656"/>
        <w:spacing w:after="0" w:line="282" w:lineRule="auto"/>
        <w:tabs>
          <w:tab w:leader="none" w:pos="1038"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Ordinary Shares. </w:t>
      </w:r>
      <w:r>
        <w:rPr>
          <w:rFonts w:ascii="Arial" w:cs="Arial" w:eastAsia="Arial" w:hAnsi="Arial"/>
          <w:sz w:val="18"/>
          <w:szCs w:val="18"/>
          <w:color w:val="auto"/>
        </w:rPr>
        <w:t>Proceeds from the sale of Ordinary Shares pursuant to Awards will constitute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funds of the Company.</w:t>
      </w:r>
    </w:p>
    <w:p>
      <w:pPr>
        <w:spacing w:after="0" w:line="161" w:lineRule="exact"/>
        <w:rPr>
          <w:rFonts w:ascii="Arial" w:cs="Arial" w:eastAsia="Arial" w:hAnsi="Arial"/>
          <w:sz w:val="18"/>
          <w:szCs w:val="18"/>
          <w:b w:val="1"/>
          <w:bCs w:val="1"/>
          <w:color w:val="auto"/>
        </w:rPr>
      </w:pPr>
    </w:p>
    <w:p>
      <w:pPr>
        <w:ind w:right="60" w:firstLine="656"/>
        <w:spacing w:after="0" w:line="255" w:lineRule="auto"/>
        <w:tabs>
          <w:tab w:leader="none" w:pos="1048"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8" w:lineRule="exact"/>
        <w:rPr>
          <w:rFonts w:ascii="Arial" w:cs="Arial" w:eastAsia="Arial" w:hAnsi="Arial"/>
          <w:sz w:val="18"/>
          <w:szCs w:val="18"/>
          <w:b w:val="1"/>
          <w:bCs w:val="1"/>
          <w:color w:val="auto"/>
        </w:rPr>
      </w:pPr>
    </w:p>
    <w:p>
      <w:pPr>
        <w:jc w:val="both"/>
        <w:ind w:right="80" w:firstLine="656"/>
        <w:spacing w:after="0" w:line="261" w:lineRule="auto"/>
        <w:tabs>
          <w:tab w:leader="none" w:pos="1027"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an Award unless and until (i) such Participant has satisfied all requirements for exercise of, or the issuance of Ordinary Shares under, the Award pursuant to its terms, and (ii) the issuance of the Ordinary Shares subject to such Award has been entered into the books and records of the Company.</w:t>
      </w:r>
    </w:p>
    <w:p>
      <w:pPr>
        <w:sectPr>
          <w:pgSz w:w="11900" w:h="16838" w:orient="portrait"/>
          <w:cols w:equalWidth="0" w:num="1">
            <w:col w:w="11240"/>
          </w:cols>
          <w:pgMar w:left="320" w:top="121" w:right="339" w:bottom="0" w:gutter="0" w:footer="0" w:header="0"/>
        </w:sectPr>
      </w:pPr>
    </w:p>
    <w:bookmarkStart w:id="95" w:name="page96"/>
    <w:bookmarkEnd w:id="95"/>
    <w:p>
      <w:pPr>
        <w:ind w:left="-656" w:firstLine="656"/>
        <w:spacing w:after="0" w:line="274" w:lineRule="auto"/>
        <w:tabs>
          <w:tab w:leader="none" w:pos="39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articles of association of the Company or an Affiliate, and any applicable provisions of the corporate law of the jurisdiction in which the Company or the Affiliate is incorporated, as the case may be.</w:t>
      </w:r>
    </w:p>
    <w:p>
      <w:pPr>
        <w:spacing w:after="0" w:line="173" w:lineRule="exact"/>
        <w:rPr>
          <w:rFonts w:ascii="Arial" w:cs="Arial" w:eastAsia="Arial" w:hAnsi="Arial"/>
          <w:sz w:val="17"/>
          <w:szCs w:val="17"/>
          <w:b w:val="1"/>
          <w:bCs w:val="1"/>
          <w:color w:val="auto"/>
        </w:rPr>
      </w:pPr>
    </w:p>
    <w:p>
      <w:pPr>
        <w:ind w:left="-656" w:right="80" w:firstLine="656"/>
        <w:spacing w:after="0" w:line="273" w:lineRule="auto"/>
        <w:tabs>
          <w:tab w:leader="none" w:pos="371"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 services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ind w:left="-656" w:firstLine="656"/>
        <w:spacing w:after="0" w:line="298" w:lineRule="auto"/>
        <w:tabs>
          <w:tab w:leader="none" w:pos="35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Ordinary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left="-656" w:right="20" w:firstLine="656"/>
        <w:spacing w:after="0" w:line="288" w:lineRule="auto"/>
        <w:tabs>
          <w:tab w:leader="none" w:pos="38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Ordinary Shares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Ordinary Shares subject to the Award for the Participant’s own account and not with any present intention of selling or otherwise distributing the Ordinary Shares. The foregoing requirements, and any assurances given pursuant to such requirements, will be inoperative if (A) the issuance of the shares upon the exercise or acquisition of Ordinary Shares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Ordinary Shares.</w:t>
      </w:r>
    </w:p>
    <w:p>
      <w:pPr>
        <w:spacing w:after="0" w:line="163" w:lineRule="exact"/>
        <w:rPr>
          <w:rFonts w:ascii="Arial" w:cs="Arial" w:eastAsia="Arial" w:hAnsi="Arial"/>
          <w:sz w:val="16"/>
          <w:szCs w:val="16"/>
          <w:b w:val="1"/>
          <w:bCs w:val="1"/>
          <w:color w:val="auto"/>
        </w:rPr>
      </w:pPr>
    </w:p>
    <w:p>
      <w:pPr>
        <w:ind w:left="-656" w:right="20" w:firstLine="656"/>
        <w:spacing w:after="0" w:line="255" w:lineRule="auto"/>
        <w:tabs>
          <w:tab w:leader="none" w:pos="39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Unless prohibited by the terms of an Award Agreement, the Company may, in its sole discretion, satisfy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federal, state or local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8" w:lineRule="exact"/>
        <w:rPr>
          <w:rFonts w:ascii="Arial" w:cs="Arial" w:eastAsia="Arial" w:hAnsi="Arial"/>
          <w:sz w:val="18"/>
          <w:szCs w:val="18"/>
          <w:b w:val="1"/>
          <w:bCs w:val="1"/>
          <w:color w:val="auto"/>
        </w:rPr>
      </w:pPr>
    </w:p>
    <w:p>
      <w:pPr>
        <w:ind w:left="-656" w:right="280" w:firstLine="656"/>
        <w:spacing w:after="0" w:line="266" w:lineRule="auto"/>
        <w:tabs>
          <w:tab w:leader="none" w:pos="34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left="-656" w:right="40" w:firstLine="656"/>
        <w:spacing w:after="0" w:line="273" w:lineRule="auto"/>
        <w:tabs>
          <w:tab w:leader="none" w:pos="35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Ordinary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left="-656" w:firstLine="656"/>
        <w:spacing w:after="0" w:line="287" w:lineRule="auto"/>
        <w:tabs>
          <w:tab w:leader="none" w:pos="39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3" w:lineRule="exact"/>
        <w:rPr>
          <w:rFonts w:ascii="Arial" w:cs="Arial" w:eastAsia="Arial" w:hAnsi="Arial"/>
          <w:sz w:val="16"/>
          <w:szCs w:val="16"/>
          <w:b w:val="1"/>
          <w:bCs w:val="1"/>
          <w:color w:val="auto"/>
        </w:rPr>
      </w:pPr>
    </w:p>
    <w:p>
      <w:pPr>
        <w:ind w:left="-656" w:right="60" w:firstLine="656"/>
        <w:spacing w:after="0" w:line="273" w:lineRule="auto"/>
        <w:tabs>
          <w:tab w:leader="none" w:pos="34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Clawback/Recovery</w:t>
      </w:r>
      <w:r>
        <w:rPr>
          <w:rFonts w:ascii="Arial" w:cs="Arial" w:eastAsia="Arial" w:hAnsi="Arial"/>
          <w:sz w:val="17"/>
          <w:szCs w:val="17"/>
          <w:color w:val="auto"/>
        </w:rPr>
        <w:t>. 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Ordinary Shares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ectPr>
          <w:pgSz w:w="11900" w:h="16838" w:orient="portrait"/>
          <w:cols w:equalWidth="0" w:num="1">
            <w:col w:w="10564"/>
          </w:cols>
          <w:pgMar w:left="976" w:top="337" w:right="359" w:bottom="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rdinary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225" w:lineRule="exact"/>
        <w:rPr>
          <w:sz w:val="20"/>
          <w:szCs w:val="20"/>
          <w:color w:val="auto"/>
        </w:rPr>
      </w:pPr>
    </w:p>
    <w:p>
      <w:pPr>
        <w:ind w:right="300" w:firstLine="656"/>
        <w:spacing w:after="0" w:line="277" w:lineRule="auto"/>
        <w:tabs>
          <w:tab w:leader="none" w:pos="103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Plan pursuant to Section 0, (ii) the class(es) and maximum number of securities that may be issued pursuant to the exercise of Incentive Stock Options pursuant to Section 1(k), (iii) the class(es) and maximum number of securities that may be awarded to any person pursuant to Sections (l), and (iv) the class(es) and number of securities and price per share of stock subject to outstanding Stock Awards. The Board will make such adjustments, and its determination will be final, binding and conclusive.</w:t>
      </w:r>
    </w:p>
    <w:p>
      <w:pPr>
        <w:spacing w:after="0" w:line="167" w:lineRule="exact"/>
        <w:rPr>
          <w:rFonts w:ascii="Arial" w:cs="Arial" w:eastAsia="Arial" w:hAnsi="Arial"/>
          <w:sz w:val="17"/>
          <w:szCs w:val="17"/>
          <w:b w:val="1"/>
          <w:bCs w:val="1"/>
          <w:color w:val="auto"/>
        </w:rPr>
      </w:pPr>
    </w:p>
    <w:p>
      <w:pPr>
        <w:ind w:firstLine="656"/>
        <w:spacing w:after="0" w:line="273" w:lineRule="auto"/>
        <w:tabs>
          <w:tab w:leader="none" w:pos="104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Ordinary Shares not subject to a forfeiture condition or the Company’s right of repurchase) will terminate immediately prior to the completion of such dissolution or liquidation, and the Ordinary Shares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1" w:lineRule="exact"/>
        <w:rPr>
          <w:rFonts w:ascii="Arial" w:cs="Arial" w:eastAsia="Arial" w:hAnsi="Arial"/>
          <w:sz w:val="17"/>
          <w:szCs w:val="17"/>
          <w:b w:val="1"/>
          <w:bCs w:val="1"/>
          <w:color w:val="auto"/>
        </w:rPr>
      </w:pPr>
    </w:p>
    <w:p>
      <w:pPr>
        <w:ind w:right="80" w:firstLine="656"/>
        <w:spacing w:after="0" w:line="303" w:lineRule="auto"/>
        <w:tabs>
          <w:tab w:leader="none" w:pos="102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Transactions. </w:t>
      </w:r>
      <w:r>
        <w:rPr>
          <w:rFonts w:ascii="Arial" w:cs="Arial" w:eastAsia="Arial" w:hAnsi="Arial"/>
          <w:sz w:val="16"/>
          <w:szCs w:val="16"/>
          <w:color w:val="auto"/>
        </w:rPr>
        <w:t>The following provisions shall apply to Stock Awards in the event of a Transaction unless otherwise provided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5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4"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arrange for the assignment of any reacquisition or repurchase rights held by the Company in respect of Ordinary Shares issued pursuant to the Stock Award to the surviving corporation or acquiring corporation (or the surviving or acquiring corporation’s parent company);</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24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Ordinary Shares in connection with the Transaction is delayed as a result of escrows, earn outs, holdbacks or other contingencies.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ind w:right="20" w:firstLine="656"/>
        <w:spacing w:after="0" w:line="266" w:lineRule="auto"/>
        <w:tabs>
          <w:tab w:leader="none" w:pos="104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E</w:t>
      </w:r>
      <w:r>
        <w:rPr>
          <w:rFonts w:ascii="Arial" w:cs="Arial" w:eastAsia="Arial" w:hAnsi="Arial"/>
          <w:sz w:val="12"/>
          <w:szCs w:val="12"/>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firstLine="8"/>
        <w:spacing w:after="0" w:line="260" w:lineRule="auto"/>
        <w:tabs>
          <w:tab w:leader="none" w:pos="2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the Plan is adopted by the Board (the “</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or (ii) the date the Plan is approved by the stockholders of the Company. No Awards may be granted under the Plan while the Plan is suspended or after it is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xistence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T</w:t>
      </w:r>
      <w:r>
        <w:rPr>
          <w:rFonts w:ascii="Arial" w:cs="Arial" w:eastAsia="Arial" w:hAnsi="Arial"/>
          <w:sz w:val="12"/>
          <w:szCs w:val="12"/>
          <w:b w:val="1"/>
          <w:bCs w:val="1"/>
          <w:color w:val="auto"/>
        </w:rPr>
        <w:t>iming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 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xercise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Plan will come into existence on the Adoption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Award may be granted prior to the IPO Date (that is,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all determinations made and actions taken pursuant hereto and, except as provided below or in an applicable subplan, each Award Agreement to a Participant shall be governed by the laws of the State of Israel, excluding matters that are subject to tax laws, regulations and rules, or conflicts or choice of law rule or principles, of any specific jurisdiction, which shall be governed by the respective laws, regulations and rules of such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s used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the following definitions will apply to the capitalized terms indicated below</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The Board will have the authority to determine the time or times at which “parent” or “subsidiary” status is determined within the foregoing definition.</w:t>
      </w:r>
    </w:p>
    <w:p>
      <w:pPr>
        <w:sectPr>
          <w:pgSz w:w="11900" w:h="16838" w:orient="portrait"/>
          <w:cols w:equalWidth="0" w:num="1">
            <w:col w:w="11240"/>
          </w:cols>
          <w:pgMar w:left="320" w:top="121" w:right="339" w:bottom="0" w:gutter="0" w:footer="0" w:header="0"/>
        </w:sectPr>
      </w:pPr>
    </w:p>
    <w:bookmarkStart w:id="97" w:name="page98"/>
    <w:bookmarkEnd w:id="97"/>
    <w:p>
      <w:pPr>
        <w:ind w:left="660"/>
        <w:spacing w:after="0"/>
        <w:tabs>
          <w:tab w:leader="none" w:pos="112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 Stock Award or a Performance Cash Award.</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9" w:lineRule="exact"/>
        <w:rPr>
          <w:sz w:val="20"/>
          <w:szCs w:val="20"/>
          <w:color w:val="auto"/>
        </w:rPr>
      </w:pPr>
    </w:p>
    <w:p>
      <w:pPr>
        <w:ind w:right="40" w:firstLine="656"/>
        <w:spacing w:after="0" w:line="293" w:lineRule="auto"/>
        <w:tabs>
          <w:tab w:leader="none" w:pos="1072"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Ordinary Shares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b w:val="1"/>
          <w:bCs w:val="1"/>
          <w:color w:val="auto"/>
        </w:rPr>
        <w:t>(f)</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w:t>
      </w:r>
      <w:r>
        <w:rPr>
          <w:rFonts w:ascii="Arial" w:cs="Arial" w:eastAsia="Arial" w:hAnsi="Arial"/>
          <w:sz w:val="16"/>
          <w:szCs w:val="16"/>
          <w:b w:val="1"/>
          <w:bCs w:val="1"/>
          <w:color w:val="auto"/>
        </w:rPr>
        <w:t xml:space="preserve"> </w:t>
      </w:r>
      <w:r>
        <w:rPr>
          <w:rFonts w:ascii="Arial" w:cs="Arial" w:eastAsia="Arial" w:hAnsi="Arial"/>
          <w:sz w:val="16"/>
          <w:szCs w:val="16"/>
          <w:color w:val="auto"/>
        </w:rPr>
        <w:t>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0" w:lineRule="exact"/>
        <w:rPr>
          <w:sz w:val="20"/>
          <w:szCs w:val="20"/>
          <w:color w:val="auto"/>
        </w:rPr>
      </w:pPr>
    </w:p>
    <w:p>
      <w:pPr>
        <w:ind w:left="1100" w:hanging="444"/>
        <w:spacing w:after="0"/>
        <w:tabs>
          <w:tab w:leader="none" w:pos="110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Adoption Date, either an executive officer or a Director (either, a “</w:t>
      </w:r>
      <w:r>
        <w:rPr>
          <w:rFonts w:ascii="Arial" w:cs="Arial" w:eastAsia="Arial" w:hAnsi="Arial"/>
          <w:sz w:val="17"/>
          <w:szCs w:val="17"/>
          <w:b w:val="1"/>
          <w:bCs w:val="1"/>
          <w:i w:val="1"/>
          <w:iCs w:val="1"/>
          <w:color w:val="auto"/>
        </w:rPr>
        <w:t>Legacy Investor</w:t>
      </w:r>
      <w:r>
        <w:rPr>
          <w:rFonts w:ascii="Arial" w:cs="Arial" w:eastAsia="Arial" w:hAnsi="Arial"/>
          <w:sz w:val="17"/>
          <w:szCs w:val="17"/>
          <w:color w:val="auto"/>
        </w:rPr>
        <w:t>”) and/or any entity in which a Legacy Investor has a direct or indirect interest (whether in the form of voting rights or participation in profits or capital contributions) of more than 50% (collectively, the “</w:t>
      </w:r>
      <w:r>
        <w:rPr>
          <w:rFonts w:ascii="Arial" w:cs="Arial" w:eastAsia="Arial" w:hAnsi="Arial"/>
          <w:sz w:val="17"/>
          <w:szCs w:val="17"/>
          <w:b w:val="1"/>
          <w:bCs w:val="1"/>
          <w:i w:val="1"/>
          <w:iCs w:val="1"/>
          <w:color w:val="auto"/>
        </w:rPr>
        <w:t>Legacy Entities</w:t>
      </w:r>
      <w:r>
        <w:rPr>
          <w:rFonts w:ascii="Arial" w:cs="Arial" w:eastAsia="Arial" w:hAnsi="Arial"/>
          <w:sz w:val="17"/>
          <w:szCs w:val="17"/>
          <w:color w:val="auto"/>
        </w:rPr>
        <w:t>”) or on account of the Legacy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articles of association; or (D)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Legacy Entities;</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Legacy Entities;</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ectPr>
          <w:pgSz w:w="11900" w:h="16838" w:orient="portrait"/>
          <w:cols w:equalWidth="0" w:num="1">
            <w:col w:w="11240"/>
          </w:cols>
          <w:pgMar w:left="320" w:top="337" w:right="339" w:bottom="0" w:gutter="0" w:footer="0" w:header="0"/>
        </w:sectPr>
      </w:pPr>
    </w:p>
    <w:bookmarkStart w:id="98" w:name="page99"/>
    <w:bookmarkEnd w:id="98"/>
    <w:p>
      <w:pPr>
        <w:ind w:left="660"/>
        <w:spacing w:after="0"/>
        <w:tabs>
          <w:tab w:leader="none" w:pos="1120" w:val="left"/>
        </w:tabs>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UroGen Pharma Ltd., an Israeli corporation.</w:t>
      </w:r>
    </w:p>
    <w:p>
      <w:pPr>
        <w:spacing w:after="0" w:line="2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(j)</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the consummation, in a single transaction or in a series of related transactions, of any one or more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will have the meaning provided in Section 162(m)(3) of the Code.</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25"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IPO Date.</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will not cause a Director to be considered an “Employee” for purposes of the Plan.</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(q)</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 corporation, partnership, limited liability company or other entity.</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(r)</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the Ordinary Shares determined as follows:</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the Ordinary Shares are listed on any established stock exchange or traded on any established market, the Fair Market Value of an Ordinary Share will be, unless otherwise determined by the Board, the closing sales price for such stock as quoted on such exchange or market (or the exchange or market with the greatest volume of trading in the Ordinary Shares) on the date of determination, as reported in a source the Board deems reliable.</w:t>
      </w:r>
    </w:p>
    <w:p>
      <w:pPr>
        <w:sectPr>
          <w:pgSz w:w="11900" w:h="16838" w:orient="portrait"/>
          <w:cols w:equalWidth="0" w:num="1">
            <w:col w:w="11240"/>
          </w:cols>
          <w:pgMar w:left="320" w:top="121" w:right="339" w:bottom="135" w:gutter="0" w:footer="0" w:header="0"/>
        </w:sectPr>
      </w:pPr>
    </w:p>
    <w:bookmarkStart w:id="99" w:name="page100"/>
    <w:bookmarkEnd w:id="99"/>
    <w:p>
      <w:pPr>
        <w:ind w:firstLine="1296"/>
        <w:spacing w:after="0" w:line="277" w:lineRule="auto"/>
        <w:rPr>
          <w:sz w:val="20"/>
          <w:szCs w:val="20"/>
          <w:color w:val="auto"/>
        </w:rPr>
      </w:pPr>
      <w:r>
        <w:rPr>
          <w:rFonts w:ascii="Arial" w:cs="Arial" w:eastAsia="Arial" w:hAnsi="Arial"/>
          <w:sz w:val="18"/>
          <w:szCs w:val="18"/>
          <w:color w:val="auto"/>
        </w:rPr>
        <w:t>Unless otherwise provided by the Board, if there is no closing sales price for the Ordinary Shares on the date of determination, then the Fair Market Value will be the closing selling price on the last preceding date for which such quotation exists.</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In the absence of such markets for the Ordinary Shares, the Fair Market Value will be determined by the Board in good faith and in a manner that complies with Sections 409A and 422 of the Code.</w:t>
      </w:r>
    </w:p>
    <w:p>
      <w:pPr>
        <w:spacing w:after="0" w:line="16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(u)</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0 of the Plan that is intended to be, and qualifies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Ordinary Shares, pursuant to which the Ordinary Shares are priced for the initial public offering.</w:t>
      </w:r>
    </w:p>
    <w:p>
      <w:pPr>
        <w:spacing w:after="0" w:line="16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0 of the Plan that does not qualify as an Incentive Stock Option.</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within the meaning of Section 16 of the Exchange Act.</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(z)</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Ordinary Shares granted pursuant to the Plan.</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(aa)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Each Option Agreement will be subject to the terms and conditions of the Plan.</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(bb)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(cc)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means the Ordinary Shares of the Company, par value NIS 0.01 per Ordinary Share.</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(dd)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Ordinary Shares which is granted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1(ee).</w:t>
      </w:r>
    </w:p>
    <w:p>
      <w:pPr>
        <w:spacing w:after="0" w:line="16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b w:val="1"/>
          <w:bCs w:val="1"/>
          <w:color w:val="auto"/>
        </w:rPr>
        <w:t>(ee)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an Other Stock Award grant. Each Other Stock Award Agreement will be subject to the terms and conditions of the Plan.</w:t>
      </w:r>
    </w:p>
    <w:p>
      <w:pPr>
        <w:spacing w:after="0" w:line="116"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(ff)</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means a Director who either (i) is not a current employee of the Company or an “affiliated corporation”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(gg)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8"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(hh)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Award.</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Performance Cash Award</w:t>
      </w:r>
      <w:r>
        <w:rPr>
          <w:rFonts w:ascii="Arial" w:cs="Arial" w:eastAsia="Arial" w:hAnsi="Arial"/>
          <w:sz w:val="16"/>
          <w:szCs w:val="16"/>
          <w:color w:val="auto"/>
        </w:rPr>
        <w:t>” means an award of cash granted pursuant to the terms and conditions of Section 0.</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the Committee will select for purposes of establishing the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Goals for a Performance Period. The Performance Criteria that will be used to establish such Performance Goals may be based on any one of, or combination of, the following as determined by the Board or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earnings before interest, taxes, depreciation, amortization, legal settlements, other income (expense), stock-based compensation, other non-cash expenses and changes in deferred revenue; (ix) total stockholder return; (x) return on equity or average stockholder’s equity; (xi) return on assets, investment, or capital employed; (xii) stock price; (xiii) margin (including gross margin); (xiv) income (before or after taxes); (xv) operating income; (xvi) operating income after taxes; (xvii) pre-tax profit; (xviii) operating cash flow; (xix) sales or revenue targets; (xx) increases in revenue or product revenue; (xxi) expenses and cost reduction goals; (xxii) improvement in or attainment of working capital levels; (xxiii) economic value added (or an equivalent metric);</w:t>
      </w:r>
    </w:p>
    <w:p>
      <w:pPr>
        <w:spacing w:after="0" w:line="3" w:lineRule="exact"/>
        <w:rPr>
          <w:sz w:val="20"/>
          <w:szCs w:val="20"/>
          <w:color w:val="auto"/>
        </w:rPr>
      </w:pPr>
    </w:p>
    <w:p>
      <w:pPr>
        <w:jc w:val="both"/>
        <w:ind w:firstLine="8"/>
        <w:spacing w:after="0" w:line="286" w:lineRule="auto"/>
        <w:tabs>
          <w:tab w:leader="none" w:pos="5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market share; (xxv) cash flow; (xxvi) cash flow per share; (xxvii) cash balance; (xxviii) cash burn; (xxix) cash collections; (xxx) share price performance; (xxxi) debt reduction; (xxxii) implementation or completion of projects or processes (including, without limitation, clinical trial initiation, clinical trial enrollment and dates, clinical trial results, regulatory filing submissions, regulatory filing acceptances, regulatory or advisory committee interactions, regulatory approvals, and product supply); (xxxiii) stockholders’ equity; (xxxiv) capital expenditures; (xxxv) debt levels; (xxxvi) operating profit or net operating profit; (xxxvii) workforce diversity; (xxxviii) growth of net income or operating income; (xxxix) billings; (xl) bookings; (xli) employee retention; (xlii) initiation of studies by specific dates; (xliii) budget management; (xliv) submission to, or approval by, a regulatory body (including, but not limited to the U.S. Food and Drug Administration) of an applicable filing or a product; (xlv) regulatory milestones; (xlvi) progress of internal research or development programs; (xlvii) acquisition of new customers; (xlviii) customer retention and/or repeat order rate; (xlix) improvements in sample and test processing times; (l) progress of partnered programs; (li) partner satisfaction; (lii) timely completion of clinical trials; (liii) submission of pre-market approvals and other regulatory achievements; (liv) milestones related to research development (including, but not limited to, preclinical and</w:t>
      </w:r>
    </w:p>
    <w:p>
      <w:pPr>
        <w:sectPr>
          <w:pgSz w:w="11900" w:h="16838" w:orient="portrait"/>
          <w:cols w:equalWidth="0" w:num="1">
            <w:col w:w="11240"/>
          </w:cols>
          <w:pgMar w:left="320" w:top="125" w:right="339" w:bottom="0" w:gutter="0" w:footer="0" w:header="0"/>
        </w:sectPr>
      </w:pPr>
    </w:p>
    <w:bookmarkStart w:id="100" w:name="page101"/>
    <w:bookmarkEnd w:id="100"/>
    <w:p>
      <w:pPr>
        <w:jc w:val="both"/>
        <w:spacing w:after="0" w:line="259" w:lineRule="auto"/>
        <w:rPr>
          <w:sz w:val="20"/>
          <w:szCs w:val="20"/>
          <w:color w:val="auto"/>
        </w:rPr>
      </w:pPr>
      <w:r>
        <w:rPr>
          <w:rFonts w:ascii="Arial" w:cs="Arial" w:eastAsia="Arial" w:hAnsi="Arial"/>
          <w:sz w:val="18"/>
          <w:szCs w:val="18"/>
          <w:color w:val="auto"/>
        </w:rPr>
        <w:t>clinical studies), product development and manufacturing; (lv) expansion of sales in additional geographies or markets; (lvi) research progress, including the development of programs; (lvii) strategic partnerships or transactions (including in-licensing and out-licensing of intellectual property; and (lviii) and to the extent that an Award is not intended to comply with Section 162(m) of the Code, other measures of performance selected by the Board or the Committee.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or the Committee for the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the Committee (i) in the Award Agreement at the time the Award is granted or (ii) in such other document setting forth the Performance Goals at the time the Performance Goals are established, the Board or the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“unusual or infrequently occurring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Ordinary Shares of the Company by reason of any stock dividend or split, stock repurchase, reorganization, recapitalization, merger, consolidation, spin-off, combination or exchange of shares or other similar corporate change, or any distributions to Ordinary Shareholders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8" w:lineRule="exact"/>
        <w:rPr>
          <w:sz w:val="20"/>
          <w:szCs w:val="20"/>
          <w:color w:val="auto"/>
        </w:rPr>
      </w:pPr>
    </w:p>
    <w:p>
      <w:pPr>
        <w:ind w:right="480" w:firstLine="648"/>
        <w:spacing w:after="0" w:line="314" w:lineRule="auto"/>
        <w:rPr>
          <w:sz w:val="20"/>
          <w:szCs w:val="20"/>
          <w:color w:val="auto"/>
        </w:rPr>
      </w:pPr>
      <w:r>
        <w:rPr>
          <w:rFonts w:ascii="Arial" w:cs="Arial" w:eastAsia="Arial" w:hAnsi="Arial"/>
          <w:sz w:val="16"/>
          <w:szCs w:val="16"/>
          <w:b w:val="1"/>
          <w:bCs w:val="1"/>
          <w:color w:val="auto"/>
        </w:rPr>
        <w:t>(jj)</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the period of time selected by the Board or the Committee over which the attainment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will be measured for the purpose of determining a Participant’s right to and the payment of a Stock Award or a Performance Cash Award. Performance Periods may be of varying and overlapping duration, at the sole discretion of the Board or the Committee.</w:t>
      </w:r>
    </w:p>
    <w:p>
      <w:pPr>
        <w:spacing w:after="0" w:line="14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(kk)</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Performance Stock Award</w:t>
      </w:r>
      <w:r>
        <w:rPr>
          <w:rFonts w:ascii="Arial" w:cs="Arial" w:eastAsia="Arial" w:hAnsi="Arial"/>
          <w:sz w:val="16"/>
          <w:szCs w:val="16"/>
          <w:color w:val="auto"/>
        </w:rPr>
        <w:t>” means a Stock Award granted under the terms and conditions of Section 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UroGen Pharma Ltd. 2017 Equity Incentive Plan, as it may be amended.</w:t>
      </w:r>
    </w:p>
    <w:p>
      <w:pPr>
        <w:spacing w:after="0" w:line="2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(ll)</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Ordinary Shares which is granted pursuant to the terms and conditions of Section 1(bb).</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(mm)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(nn)</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Ordinary Shares which is granted pursuant to the terms and conditions of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1(cc).</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(oo)</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Unit Award grant. Each Restricted Stock Unit Award Agreement will be subject to the terms and conditions of the Plan.</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(pp)</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(qq)</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(rr)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Ordinary Shares that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0.</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Arial" w:cs="Arial" w:eastAsia="Arial" w:hAnsi="Arial"/>
          <w:sz w:val="18"/>
          <w:szCs w:val="18"/>
          <w:b w:val="1"/>
          <w:bCs w:val="1"/>
          <w:color w:val="auto"/>
        </w:rPr>
        <w:t>(ss)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6"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(tt)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Ordinary Shares granted under the Plan, including an Incentive Stock Option, a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 Restricted Stock Award, a Restricted Stock Unit Award, a Stock Appreciation Right, a Performance Stock Award or any Other Stock Award.</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(uu)</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grant. Each Stock Award Agreement will be subject to the terms and conditions of the Plan.</w:t>
      </w:r>
    </w:p>
    <w:p>
      <w:pPr>
        <w:spacing w:after="0" w:line="1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(vv)</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ordinary shares having</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6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(ww)</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10% of the total combined voting power of all classes of stock of the Company or any Affiliate.</w:t>
      </w:r>
    </w:p>
    <w:p>
      <w:pPr>
        <w:spacing w:after="0" w:line="166" w:lineRule="exact"/>
        <w:rPr>
          <w:sz w:val="20"/>
          <w:szCs w:val="20"/>
          <w:color w:val="auto"/>
        </w:rPr>
      </w:pPr>
    </w:p>
    <w:p>
      <w:pPr>
        <w:ind w:left="1140" w:hanging="484"/>
        <w:spacing w:after="0"/>
        <w:tabs>
          <w:tab w:leader="none" w:pos="11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ectPr>
          <w:pgSz w:w="11900" w:h="16838" w:orient="portrait"/>
          <w:cols w:equalWidth="0" w:num="1">
            <w:col w:w="11240"/>
          </w:cols>
          <w:pgMar w:left="320" w:top="125" w:right="339" w:bottom="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Sub-Plan to 2017 Equity Incentive Plan)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UroGen Pharma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2017 Equity Incentive Plan and Israeli Sub-Plan to the 2017 Equity Incentive Plan (together,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Optionholder an option to purchase the number of shares of the Company’s Ordinary Shares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00" w:lineRule="exact"/>
        <w:rPr>
          <w:sz w:val="20"/>
          <w:szCs w:val="20"/>
          <w:color w:val="auto"/>
        </w:rPr>
      </w:pPr>
    </w:p>
    <w:p>
      <w:pPr>
        <w:spacing w:after="0" w:line="20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Optionholder:</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Number of Shares Subject to Option:</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Exercise Price (Per Share):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5715</wp:posOffset>
            </wp:positionV>
            <wp:extent cx="18516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76" w:lineRule="exact"/>
        <w:rPr>
          <w:sz w:val="20"/>
          <w:szCs w:val="20"/>
          <w:color w:val="auto"/>
        </w:rPr>
      </w:pPr>
    </w:p>
    <w:p>
      <w:pPr>
        <w:spacing w:after="0" w:line="207" w:lineRule="exact"/>
        <w:tabs>
          <w:tab w:leader="none" w:pos="1540" w:val="left"/>
          <w:tab w:leader="none" w:pos="386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Incentive Stock Option</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Nonstatutory Stock Option</w:t>
      </w:r>
    </w:p>
    <w:p>
      <w:pPr>
        <w:spacing w:after="0" w:line="270" w:lineRule="exact"/>
        <w:rPr>
          <w:sz w:val="20"/>
          <w:szCs w:val="20"/>
          <w:color w:val="auto"/>
        </w:rPr>
      </w:pPr>
    </w:p>
    <w:p>
      <w:pPr>
        <w:ind w:left="380" w:hanging="210"/>
        <w:spacing w:after="0"/>
        <w:tabs>
          <w:tab w:leader="none" w:pos="3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Section 3(i)</w:t>
      </w:r>
    </w:p>
    <w:p>
      <w:pPr>
        <w:spacing w:after="0" w:line="22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Same as Vesting Schedule</w:t>
      </w:r>
    </w:p>
    <w:p>
      <w:pPr>
        <w:spacing w:after="0" w:line="22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 subject to Grantee’s Continuous Service (as defined in the 2017 Plan) as of each such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Exercise Price: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one or a combination of the following items (described in the Option Agreement):</w:t>
      </w:r>
    </w:p>
    <w:p>
      <w:pPr>
        <w:spacing w:after="0" w:line="225" w:lineRule="exact"/>
        <w:rPr>
          <w:sz w:val="20"/>
          <w:szCs w:val="20"/>
          <w:color w:val="auto"/>
        </w:rPr>
      </w:pPr>
    </w:p>
    <w:p>
      <w:pPr>
        <w:ind w:left="2240" w:hanging="612"/>
        <w:spacing w:after="0"/>
        <w:tabs>
          <w:tab w:leader="none" w:pos="224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5" w:lineRule="exact"/>
        <w:rPr>
          <w:rFonts w:ascii="MS PGothic" w:cs="MS PGothic" w:eastAsia="MS PGothic" w:hAnsi="MS PGothic"/>
          <w:sz w:val="18"/>
          <w:szCs w:val="18"/>
          <w:color w:val="auto"/>
        </w:rPr>
      </w:pPr>
    </w:p>
    <w:p>
      <w:pPr>
        <w:ind w:left="2200" w:hanging="572"/>
        <w:spacing w:after="0"/>
        <w:tabs>
          <w:tab w:leader="none" w:pos="220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200" w:hanging="572"/>
        <w:spacing w:after="0"/>
        <w:tabs>
          <w:tab w:leader="none" w:pos="220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1960" w:right="20" w:hanging="332"/>
        <w:spacing w:after="0" w:line="258" w:lineRule="auto"/>
        <w:tabs>
          <w:tab w:leader="none" w:pos="2316"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or Section 3(i) Option, and subject to the Company’s consent at the time of exercise, by a “net exercise” arrangement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Optionholder acknowledges receipt of, and understands and agrees to, this Stock Option Grant Notice,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any compensation recovery policy that is adopted by the Company or is otherwise required by applicable law and (ii)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20" w:type="dxa"/>
            <w:vAlign w:val="bottom"/>
            <w:gridSpan w:val="8"/>
          </w:tcPr>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8220" w:type="dxa"/>
            <w:vAlign w:val="bottom"/>
            <w:gridSpan w:val="5"/>
          </w:tcPr>
          <w:p>
            <w:pPr>
              <w:ind w:left="13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190"/>
        </w:trPr>
        <w:tc>
          <w:tcPr>
            <w:tcW w:w="1240" w:type="dxa"/>
            <w:vAlign w:val="bottom"/>
            <w:gridSpan w:val="7"/>
          </w:tcPr>
          <w:p>
            <w:pPr>
              <w:spacing w:after="0" w:line="190" w:lineRule="exact"/>
              <w:rPr>
                <w:sz w:val="20"/>
                <w:szCs w:val="20"/>
                <w:color w:val="auto"/>
              </w:rPr>
            </w:pPr>
            <w:r>
              <w:rPr>
                <w:rFonts w:ascii="Arial" w:cs="Arial" w:eastAsia="Arial" w:hAnsi="Arial"/>
                <w:sz w:val="18"/>
                <w:szCs w:val="18"/>
                <w:color w:val="auto"/>
              </w:rPr>
              <w:t>By:</w:t>
            </w:r>
          </w:p>
        </w:tc>
        <w:tc>
          <w:tcPr>
            <w:tcW w:w="1780" w:type="dxa"/>
            <w:vAlign w:val="bottom"/>
          </w:tcPr>
          <w:p>
            <w:pPr>
              <w:spacing w:after="0"/>
              <w:rPr>
                <w:sz w:val="16"/>
                <w:szCs w:val="16"/>
                <w:color w:val="auto"/>
              </w:rPr>
            </w:pPr>
          </w:p>
        </w:tc>
        <w:tc>
          <w:tcPr>
            <w:tcW w:w="8220" w:type="dxa"/>
            <w:vAlign w:val="bottom"/>
            <w:gridSpan w:val="5"/>
          </w:tcPr>
          <w:p>
            <w:pPr>
              <w:ind w:left="1380"/>
              <w:spacing w:after="0" w:line="190" w:lineRule="exact"/>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22"/>
        </w:trPr>
        <w:tc>
          <w:tcPr>
            <w:tcW w:w="1240" w:type="dxa"/>
            <w:vAlign w:val="bottom"/>
            <w:gridSpan w:val="7"/>
          </w:tcPr>
          <w:p>
            <w:pPr>
              <w:spacing w:after="0"/>
              <w:rPr>
                <w:sz w:val="20"/>
                <w:szCs w:val="20"/>
                <w:color w:val="auto"/>
              </w:rPr>
            </w:pPr>
            <w:r>
              <w:rPr>
                <w:rFonts w:ascii="Arial" w:cs="Arial" w:eastAsia="Arial" w:hAnsi="Arial"/>
                <w:sz w:val="18"/>
                <w:szCs w:val="18"/>
                <w:color w:val="auto"/>
              </w:rPr>
              <w:t>Signature</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190"/>
        </w:trPr>
        <w:tc>
          <w:tcPr>
            <w:tcW w:w="440" w:type="dxa"/>
            <w:vAlign w:val="bottom"/>
            <w:gridSpan w:val="3"/>
          </w:tcPr>
          <w:p>
            <w:pPr>
              <w:spacing w:after="0" w:line="190" w:lineRule="exact"/>
              <w:rPr>
                <w:sz w:val="20"/>
                <w:szCs w:val="20"/>
                <w:color w:val="auto"/>
              </w:rPr>
            </w:pPr>
            <w:r>
              <w:rPr>
                <w:rFonts w:ascii="Arial" w:cs="Arial" w:eastAsia="Arial" w:hAnsi="Arial"/>
                <w:sz w:val="18"/>
                <w:szCs w:val="18"/>
                <w:color w:val="auto"/>
              </w:rPr>
              <w:t>Title:</w:t>
            </w:r>
          </w:p>
        </w:tc>
        <w:tc>
          <w:tcPr>
            <w:tcW w:w="400" w:type="dxa"/>
            <w:vAlign w:val="bottom"/>
            <w:tcBorders>
              <w:bottom w:val="single" w:sz="8" w:color="auto"/>
            </w:tcBorders>
            <w:gridSpan w:val="3"/>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220" w:type="dxa"/>
            <w:vAlign w:val="bottom"/>
            <w:gridSpan w:val="5"/>
          </w:tcPr>
          <w:p>
            <w:pPr>
              <w:ind w:left="1380"/>
              <w:spacing w:after="0" w:line="190" w:lineRule="exact"/>
              <w:rPr>
                <w:sz w:val="20"/>
                <w:szCs w:val="20"/>
                <w:color w:val="auto"/>
              </w:rPr>
            </w:pPr>
            <w:r>
              <w:rPr>
                <w:rFonts w:ascii="Arial" w:cs="Arial" w:eastAsia="Arial" w:hAnsi="Arial"/>
                <w:sz w:val="18"/>
                <w:szCs w:val="18"/>
                <w:color w:val="auto"/>
              </w:rPr>
              <w:t>Signature</w:t>
            </w:r>
          </w:p>
        </w:tc>
      </w:tr>
      <w:tr>
        <w:trPr>
          <w:trHeight w:val="196"/>
        </w:trPr>
        <w:tc>
          <w:tcPr>
            <w:tcW w:w="400" w:type="dxa"/>
            <w:vAlign w:val="bottom"/>
            <w:gridSpan w:val="2"/>
          </w:tcPr>
          <w:p>
            <w:pPr>
              <w:spacing w:after="0" w:line="196" w:lineRule="exact"/>
              <w:rPr>
                <w:sz w:val="20"/>
                <w:szCs w:val="20"/>
                <w:color w:val="auto"/>
              </w:rPr>
            </w:pPr>
            <w:r>
              <w:rPr>
                <w:rFonts w:ascii="Arial" w:cs="Arial" w:eastAsia="Arial" w:hAnsi="Arial"/>
                <w:sz w:val="18"/>
                <w:szCs w:val="18"/>
                <w:color w:val="auto"/>
                <w:w w:val="88"/>
              </w:rPr>
              <w:t>Date:</w:t>
            </w:r>
          </w:p>
        </w:tc>
        <w:tc>
          <w:tcPr>
            <w:tcW w:w="400" w:type="dxa"/>
            <w:vAlign w:val="bottom"/>
            <w:gridSpan w:val="3"/>
          </w:tcPr>
          <w:p>
            <w:pPr>
              <w:spacing w:after="0"/>
              <w:rPr>
                <w:sz w:val="17"/>
                <w:szCs w:val="17"/>
                <w:color w:val="auto"/>
              </w:rPr>
            </w:pPr>
          </w:p>
        </w:tc>
        <w:tc>
          <w:tcPr>
            <w:tcW w:w="440" w:type="dxa"/>
            <w:vAlign w:val="bottom"/>
            <w:gridSpan w:val="2"/>
          </w:tcPr>
          <w:p>
            <w:pPr>
              <w:spacing w:after="0"/>
              <w:rPr>
                <w:sz w:val="17"/>
                <w:szCs w:val="17"/>
                <w:color w:val="auto"/>
              </w:rPr>
            </w:pPr>
          </w:p>
        </w:tc>
        <w:tc>
          <w:tcPr>
            <w:tcW w:w="1780" w:type="dxa"/>
            <w:vAlign w:val="bottom"/>
          </w:tcPr>
          <w:p>
            <w:pPr>
              <w:spacing w:after="0"/>
              <w:rPr>
                <w:sz w:val="17"/>
                <w:szCs w:val="17"/>
                <w:color w:val="auto"/>
              </w:rPr>
            </w:pPr>
          </w:p>
        </w:tc>
        <w:tc>
          <w:tcPr>
            <w:tcW w:w="8220" w:type="dxa"/>
            <w:vAlign w:val="bottom"/>
            <w:gridSpan w:val="5"/>
          </w:tcPr>
          <w:p>
            <w:pPr>
              <w:ind w:left="1380"/>
              <w:spacing w:after="0" w:line="196" w:lineRule="exact"/>
              <w:rPr>
                <w:sz w:val="20"/>
                <w:szCs w:val="20"/>
                <w:color w:val="auto"/>
              </w:rPr>
            </w:pPr>
            <w:r>
              <w:rPr>
                <w:rFonts w:ascii="Arial" w:cs="Arial" w:eastAsia="Arial" w:hAnsi="Arial"/>
                <w:sz w:val="18"/>
                <w:szCs w:val="18"/>
                <w:color w:val="auto"/>
              </w:rPr>
              <w:t>Date:</w:t>
            </w:r>
          </w:p>
        </w:tc>
      </w:tr>
      <w:tr>
        <w:trPr>
          <w:trHeight w:val="20"/>
        </w:trPr>
        <w:tc>
          <w:tcPr>
            <w:tcW w:w="400" w:type="dxa"/>
            <w:vAlign w:val="bottom"/>
            <w:gridSpan w:val="2"/>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668"/>
        </w:trPr>
        <w:tc>
          <w:tcPr>
            <w:tcW w:w="1240" w:type="dxa"/>
            <w:vAlign w:val="bottom"/>
            <w:gridSpan w:val="7"/>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p>
        </w:tc>
        <w:tc>
          <w:tcPr>
            <w:tcW w:w="10000" w:type="dxa"/>
            <w:vAlign w:val="bottom"/>
            <w:gridSpan w:val="6"/>
          </w:tcPr>
          <w:p>
            <w:pPr>
              <w:ind w:left="20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ption</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2017 E</w:t>
            </w:r>
            <w:r>
              <w:rPr>
                <w:rFonts w:ascii="Arial" w:cs="Arial" w:eastAsia="Arial" w:hAnsi="Arial"/>
                <w:sz w:val="12"/>
                <w:szCs w:val="12"/>
                <w:color w:val="auto"/>
              </w:rPr>
              <w:t>quity</w:t>
            </w:r>
            <w:r>
              <w:rPr>
                <w:rFonts w:ascii="Arial" w:cs="Arial" w:eastAsia="Arial" w:hAnsi="Arial"/>
                <w:sz w:val="18"/>
                <w:szCs w:val="18"/>
                <w:color w:val="auto"/>
              </w:rPr>
              <w:t xml:space="preserve"> I</w:t>
            </w:r>
            <w:r>
              <w:rPr>
                <w:rFonts w:ascii="Arial" w:cs="Arial" w:eastAsia="Arial" w:hAnsi="Arial"/>
                <w:sz w:val="12"/>
                <w:szCs w:val="12"/>
                <w:color w:val="auto"/>
              </w:rPr>
              <w:t>ncentive</w:t>
            </w:r>
            <w:r>
              <w:rPr>
                <w:rFonts w:ascii="Arial" w:cs="Arial" w:eastAsia="Arial" w:hAnsi="Arial"/>
                <w:sz w:val="18"/>
                <w:szCs w:val="18"/>
                <w:color w:val="auto"/>
              </w:rPr>
              <w:t xml:space="preserve"> P</w:t>
            </w:r>
            <w:r>
              <w:rPr>
                <w:rFonts w:ascii="Arial" w:cs="Arial" w:eastAsia="Arial" w:hAnsi="Arial"/>
                <w:sz w:val="12"/>
                <w:szCs w:val="12"/>
                <w:color w:val="auto"/>
              </w:rPr>
              <w:t>lan</w:t>
            </w:r>
            <w:r>
              <w:rPr>
                <w:rFonts w:ascii="Arial" w:cs="Arial" w:eastAsia="Arial" w:hAnsi="Arial"/>
                <w:sz w:val="18"/>
                <w:szCs w:val="18"/>
                <w:color w:val="auto"/>
              </w:rPr>
              <w:t>, I</w:t>
            </w:r>
            <w:r>
              <w:rPr>
                <w:rFonts w:ascii="Arial" w:cs="Arial" w:eastAsia="Arial" w:hAnsi="Arial"/>
                <w:sz w:val="12"/>
                <w:szCs w:val="12"/>
                <w:color w:val="auto"/>
              </w:rPr>
              <w:t>sraeli</w:t>
            </w:r>
            <w:r>
              <w:rPr>
                <w:rFonts w:ascii="Arial" w:cs="Arial" w:eastAsia="Arial" w:hAnsi="Arial"/>
                <w:sz w:val="18"/>
                <w:szCs w:val="18"/>
                <w:color w:val="auto"/>
              </w:rPr>
              <w:t xml:space="preserve"> S</w:t>
            </w:r>
            <w:r>
              <w:rPr>
                <w:rFonts w:ascii="Arial" w:cs="Arial" w:eastAsia="Arial" w:hAnsi="Arial"/>
                <w:sz w:val="12"/>
                <w:szCs w:val="12"/>
                <w:color w:val="auto"/>
              </w:rPr>
              <w:t>ub</w:t>
            </w:r>
            <w:r>
              <w:rPr>
                <w:rFonts w:ascii="Arial" w:cs="Arial" w:eastAsia="Arial" w:hAnsi="Arial"/>
                <w:sz w:val="18"/>
                <w:szCs w:val="18"/>
                <w:color w:val="auto"/>
              </w:rPr>
              <w:t>-P</w:t>
            </w:r>
            <w:r>
              <w:rPr>
                <w:rFonts w:ascii="Arial" w:cs="Arial" w:eastAsia="Arial" w:hAnsi="Arial"/>
                <w:sz w:val="12"/>
                <w:szCs w:val="12"/>
                <w:color w:val="auto"/>
              </w:rPr>
              <w:t>lan to the</w:t>
            </w:r>
            <w:r>
              <w:rPr>
                <w:rFonts w:ascii="Arial" w:cs="Arial" w:eastAsia="Arial" w:hAnsi="Arial"/>
                <w:sz w:val="18"/>
                <w:szCs w:val="18"/>
                <w:color w:val="auto"/>
              </w:rPr>
              <w:t xml:space="preserve"> 2017 E</w:t>
            </w:r>
            <w:r>
              <w:rPr>
                <w:rFonts w:ascii="Arial" w:cs="Arial" w:eastAsia="Arial" w:hAnsi="Arial"/>
                <w:sz w:val="12"/>
                <w:szCs w:val="12"/>
                <w:color w:val="auto"/>
              </w:rPr>
              <w:t>quity</w:t>
            </w:r>
            <w:r>
              <w:rPr>
                <w:rFonts w:ascii="Arial" w:cs="Arial" w:eastAsia="Arial" w:hAnsi="Arial"/>
                <w:sz w:val="18"/>
                <w:szCs w:val="18"/>
                <w:color w:val="auto"/>
              </w:rPr>
              <w:t xml:space="preserve"> I</w:t>
            </w:r>
            <w:r>
              <w:rPr>
                <w:rFonts w:ascii="Arial" w:cs="Arial" w:eastAsia="Arial" w:hAnsi="Arial"/>
                <w:sz w:val="12"/>
                <w:szCs w:val="12"/>
                <w:color w:val="auto"/>
              </w:rPr>
              <w:t>ncentive</w:t>
            </w:r>
            <w:r>
              <w:rPr>
                <w:rFonts w:ascii="Arial" w:cs="Arial" w:eastAsia="Arial" w:hAnsi="Arial"/>
                <w:sz w:val="18"/>
                <w:szCs w:val="18"/>
                <w:color w:val="auto"/>
              </w:rPr>
              <w:t xml:space="preserve"> P</w:t>
            </w:r>
            <w:r>
              <w:rPr>
                <w:rFonts w:ascii="Arial" w:cs="Arial" w:eastAsia="Arial" w:hAnsi="Arial"/>
                <w:sz w:val="12"/>
                <w:szCs w:val="12"/>
                <w:color w:val="auto"/>
              </w:rPr>
              <w:t>lan and</w:t>
            </w:r>
            <w:r>
              <w:rPr>
                <w:rFonts w:ascii="Arial" w:cs="Arial" w:eastAsia="Arial" w:hAnsi="Arial"/>
                <w:sz w:val="18"/>
                <w:szCs w:val="18"/>
                <w:color w:val="auto"/>
              </w:rPr>
              <w:t xml:space="preserve"> N</w:t>
            </w:r>
            <w:r>
              <w:rPr>
                <w:rFonts w:ascii="Arial" w:cs="Arial" w:eastAsia="Arial" w:hAnsi="Arial"/>
                <w:sz w:val="12"/>
                <w:szCs w:val="12"/>
                <w:color w:val="auto"/>
              </w:rPr>
              <w:t>otice of</w:t>
            </w:r>
            <w:r>
              <w:rPr>
                <w:rFonts w:ascii="Arial" w:cs="Arial" w:eastAsia="Arial" w:hAnsi="Arial"/>
                <w:sz w:val="18"/>
                <w:szCs w:val="18"/>
                <w:color w:val="auto"/>
              </w:rPr>
              <w:t xml:space="preserve"> E</w:t>
            </w:r>
            <w:r>
              <w:rPr>
                <w:rFonts w:ascii="Arial" w:cs="Arial" w:eastAsia="Arial" w:hAnsi="Arial"/>
                <w:sz w:val="12"/>
                <w:szCs w:val="12"/>
                <w:color w:val="auto"/>
              </w:rPr>
              <w:t>xercise</w:t>
            </w:r>
          </w:p>
        </w:tc>
      </w:tr>
      <w:tr>
        <w:trPr>
          <w:trHeight w:val="790"/>
        </w:trPr>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Israeli Equity Incentive Sub Plan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Nonstatutory Stock Option or Section 3(i) Option)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your Stock Option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Option Agreement, UroGen Pharma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granted you an option under its 2017 Equity Incentive Plan and the 2017 Israeli Equity Incentive Sub Plan to the 2017 Equity Incentive Plan (together,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purchase the number of shares of the Company’s Ordinary Shares indicated in your Grant Notice at the exercise price indicated in your Grant Notice. The option is granted to you effective as of the date of grant set forth in the Grant Notice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Capitalized terms not explicitly defined in this Option Agreement or in the Grant Notice but defined in the Plan will have the same definitions as in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right="420" w:firstLine="656"/>
        <w:spacing w:after="0" w:line="282" w:lineRule="auto"/>
        <w:tabs>
          <w:tab w:leader="none" w:pos="9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and Exercise Price. </w:t>
      </w:r>
      <w:r>
        <w:rPr>
          <w:rFonts w:ascii="Arial" w:cs="Arial" w:eastAsia="Arial" w:hAnsi="Arial"/>
          <w:sz w:val="18"/>
          <w:szCs w:val="18"/>
          <w:color w:val="auto"/>
        </w:rPr>
        <w:t>The number of Ordinary Shares subject to your option and your exercise price per share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will be adjusted for Capitalization Adjustments.</w:t>
      </w:r>
    </w:p>
    <w:p>
      <w:pPr>
        <w:spacing w:after="0" w:line="161" w:lineRule="exact"/>
        <w:rPr>
          <w:rFonts w:ascii="Arial" w:cs="Arial" w:eastAsia="Arial" w:hAnsi="Arial"/>
          <w:sz w:val="18"/>
          <w:szCs w:val="18"/>
          <w:color w:val="auto"/>
        </w:rPr>
      </w:pPr>
    </w:p>
    <w:p>
      <w:pPr>
        <w:ind w:right="60" w:firstLine="656"/>
        <w:spacing w:after="0" w:line="266" w:lineRule="auto"/>
        <w:tabs>
          <w:tab w:leader="none" w:pos="9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Method of Payment. </w:t>
      </w:r>
      <w:r>
        <w:rPr>
          <w:rFonts w:ascii="Arial" w:cs="Arial" w:eastAsia="Arial" w:hAnsi="Arial"/>
          <w:sz w:val="18"/>
          <w:szCs w:val="18"/>
          <w:color w:val="auto"/>
        </w:rPr>
        <w:t>You must pay the full amount of the exercise price for the shares you wish to exercise. You may pay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 as described in more detail below:</w:t>
      </w:r>
    </w:p>
    <w:p>
      <w:pPr>
        <w:spacing w:after="0" w:line="179" w:lineRule="exact"/>
        <w:rPr>
          <w:rFonts w:ascii="Arial" w:cs="Arial" w:eastAsia="Arial" w:hAnsi="Arial"/>
          <w:sz w:val="18"/>
          <w:szCs w:val="18"/>
          <w:color w:val="auto"/>
        </w:rPr>
      </w:pPr>
    </w:p>
    <w:p>
      <w:pPr>
        <w:ind w:right="100" w:firstLine="1304"/>
        <w:spacing w:after="0" w:line="259" w:lineRule="auto"/>
        <w:tabs>
          <w:tab w:leader="none" w:pos="1676"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Provided that at the time of exercise the Ordinary Shares are publicly traded, pursuant to a program developed under Regulation T as promulgated by the Federal Reserve Board 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6" w:lineRule="exact"/>
        <w:rPr>
          <w:rFonts w:ascii="Arial" w:cs="Arial" w:eastAsia="Arial" w:hAnsi="Arial"/>
          <w:sz w:val="18"/>
          <w:szCs w:val="18"/>
          <w:color w:val="auto"/>
        </w:rPr>
      </w:pPr>
    </w:p>
    <w:p>
      <w:pPr>
        <w:ind w:right="20" w:firstLine="1304"/>
        <w:spacing w:after="0" w:line="255" w:lineRule="auto"/>
        <w:tabs>
          <w:tab w:leader="none" w:pos="16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Provided that at the time of exercise the Ordinary Shares is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restricting the redemption of the Company’s stock.</w:t>
      </w:r>
    </w:p>
    <w:p>
      <w:pPr>
        <w:spacing w:after="0" w:line="192" w:lineRule="exact"/>
        <w:rPr>
          <w:rFonts w:ascii="Arial" w:cs="Arial" w:eastAsia="Arial" w:hAnsi="Arial"/>
          <w:sz w:val="18"/>
          <w:szCs w:val="18"/>
          <w:color w:val="auto"/>
        </w:rPr>
      </w:pPr>
    </w:p>
    <w:p>
      <w:pPr>
        <w:ind w:right="200" w:firstLine="1304"/>
        <w:spacing w:after="0" w:line="279" w:lineRule="auto"/>
        <w:tabs>
          <w:tab w:leader="none" w:pos="1676"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this option is a Nonstatutory Stock Option or Section 3(i) Option, subject to the consent of the Company at the time of exercise, by a “net exercise” arrangement pursuant to which the Company will reduce the number of Ordinary Shares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w:t>
      </w:r>
    </w:p>
    <w:p>
      <w:pPr>
        <w:spacing w:after="0" w:line="167" w:lineRule="exact"/>
        <w:rPr>
          <w:rFonts w:ascii="Arial" w:cs="Arial" w:eastAsia="Arial" w:hAnsi="Arial"/>
          <w:sz w:val="17"/>
          <w:szCs w:val="17"/>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You may exercise your option only for whole Ordinary Shares.</w:t>
      </w:r>
    </w:p>
    <w:p>
      <w:pPr>
        <w:spacing w:after="0" w:line="225" w:lineRule="exact"/>
        <w:rPr>
          <w:rFonts w:ascii="Arial" w:cs="Arial" w:eastAsia="Arial" w:hAnsi="Arial"/>
          <w:sz w:val="18"/>
          <w:szCs w:val="18"/>
          <w:color w:val="auto"/>
        </w:rPr>
      </w:pPr>
    </w:p>
    <w:p>
      <w:pPr>
        <w:ind w:right="40" w:firstLine="656"/>
        <w:spacing w:after="0" w:line="282" w:lineRule="auto"/>
        <w:tabs>
          <w:tab w:leader="none" w:pos="9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165" w:lineRule="exact"/>
        <w:rPr>
          <w:rFonts w:ascii="Arial" w:cs="Arial" w:eastAsia="Arial" w:hAnsi="Arial"/>
          <w:sz w:val="18"/>
          <w:szCs w:val="18"/>
          <w:color w:val="auto"/>
        </w:rPr>
      </w:pPr>
    </w:p>
    <w:p>
      <w:pPr>
        <w:ind w:right="300" w:firstLine="1304"/>
        <w:spacing w:after="0" w:line="277" w:lineRule="auto"/>
        <w:tabs>
          <w:tab w:leader="none" w:pos="1676"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the termination of your Continuous Service, at the end of the relevant period set forth in Section 5 of the Plan, based on the reason for your termination;</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color w:val="auto"/>
        </w:rPr>
      </w:pPr>
    </w:p>
    <w:p>
      <w:pPr>
        <w:ind w:left="1680" w:hanging="376"/>
        <w:spacing w:after="0"/>
        <w:tabs>
          <w:tab w:leader="none" w:pos="16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day before the tenth (10th) anniversary of the Date of Grant.</w:t>
      </w:r>
    </w:p>
    <w:p>
      <w:pPr>
        <w:spacing w:after="0" w:line="221"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Exercise.</w:t>
      </w:r>
    </w:p>
    <w:p>
      <w:pPr>
        <w:spacing w:after="0" w:line="229" w:lineRule="exact"/>
        <w:rPr>
          <w:rFonts w:ascii="Arial" w:cs="Arial" w:eastAsia="Arial" w:hAnsi="Arial"/>
          <w:sz w:val="18"/>
          <w:szCs w:val="18"/>
          <w:color w:val="auto"/>
        </w:rPr>
      </w:pPr>
    </w:p>
    <w:p>
      <w:pPr>
        <w:jc w:val="both"/>
        <w:ind w:right="40" w:firstLine="1304"/>
        <w:spacing w:after="0" w:line="301" w:lineRule="auto"/>
        <w:tabs>
          <w:tab w:leader="none" w:pos="1676" w:val="left"/>
        </w:tabs>
        <w:numPr>
          <w:ilvl w:val="1"/>
          <w:numId w:val="60"/>
        </w:numPr>
        <w:rPr>
          <w:rFonts w:ascii="Arial" w:cs="Arial" w:eastAsia="Arial" w:hAnsi="Arial"/>
          <w:sz w:val="16"/>
          <w:szCs w:val="16"/>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57" w:lineRule="exact"/>
        <w:rPr>
          <w:rFonts w:ascii="Arial" w:cs="Arial" w:eastAsia="Arial" w:hAnsi="Arial"/>
          <w:sz w:val="16"/>
          <w:szCs w:val="16"/>
          <w:color w:val="auto"/>
        </w:rPr>
      </w:pPr>
    </w:p>
    <w:p>
      <w:pPr>
        <w:ind w:right="20" w:firstLine="1304"/>
        <w:spacing w:after="0" w:line="259" w:lineRule="auto"/>
        <w:tabs>
          <w:tab w:leader="none" w:pos="16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Ordinary Shares are subject at the time of exercise, or (iii) the disposition of shares of Ordinary Shares acquired upon such exercise.</w:t>
      </w:r>
    </w:p>
    <w:p>
      <w:pPr>
        <w:spacing w:after="0" w:line="186" w:lineRule="exact"/>
        <w:rPr>
          <w:rFonts w:ascii="Arial" w:cs="Arial" w:eastAsia="Arial" w:hAnsi="Arial"/>
          <w:sz w:val="18"/>
          <w:szCs w:val="18"/>
          <w:color w:val="auto"/>
        </w:rPr>
      </w:pPr>
    </w:p>
    <w:p>
      <w:pPr>
        <w:ind w:right="80" w:firstLine="1304"/>
        <w:spacing w:after="0" w:line="263" w:lineRule="auto"/>
        <w:tabs>
          <w:tab w:leader="none" w:pos="167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your option is an Incentive Stock Option, by exercising your option you agree that you will notify the Company in writing within fifteen (15) days after the date of any disposition of any of the Ordinary Shares issued upon exercise of your option that occurs within two (2) years after the Date of Grant or within one (1) year after such Ordinary Shares are transferred upon exercise of your option.</w:t>
      </w:r>
    </w:p>
    <w:p>
      <w:pPr>
        <w:spacing w:after="0" w:line="179" w:lineRule="exact"/>
        <w:rPr>
          <w:rFonts w:ascii="Arial" w:cs="Arial" w:eastAsia="Arial" w:hAnsi="Arial"/>
          <w:sz w:val="18"/>
          <w:szCs w:val="18"/>
          <w:color w:val="auto"/>
        </w:rPr>
      </w:pPr>
    </w:p>
    <w:p>
      <w:pPr>
        <w:ind w:right="40" w:firstLine="656"/>
        <w:spacing w:after="0" w:line="347" w:lineRule="auto"/>
        <w:tabs>
          <w:tab w:leader="none" w:pos="963"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Option not a Service Contract. </w:t>
      </w:r>
      <w:r>
        <w:rPr>
          <w:rFonts w:ascii="Arial" w:cs="Arial" w:eastAsia="Arial" w:hAnsi="Arial"/>
          <w:sz w:val="16"/>
          <w:szCs w:val="16"/>
          <w:color w:val="auto"/>
        </w:rPr>
        <w:t>Your option is not an employment or service contract, and nothing in your option will be deemed to create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way whatsoever any obligation on your part to continue in the employ of the Company or an Affiliate, or of the Company or an Affiliate to continue</w:t>
      </w:r>
    </w:p>
    <w:p>
      <w:pPr>
        <w:sectPr>
          <w:pgSz w:w="11900" w:h="16838" w:orient="portrait"/>
          <w:cols w:equalWidth="0" w:num="1">
            <w:col w:w="11240"/>
          </w:cols>
          <w:pgMar w:left="320" w:top="796" w:right="339" w:bottom="0" w:gutter="0" w:footer="0" w:header="0"/>
        </w:sectPr>
      </w:pPr>
    </w:p>
    <w:bookmarkStart w:id="103" w:name="page104"/>
    <w:bookmarkEnd w:id="103"/>
    <w:p>
      <w:pPr>
        <w:ind w:right="140"/>
        <w:spacing w:after="0" w:line="277" w:lineRule="auto"/>
        <w:rPr>
          <w:sz w:val="20"/>
          <w:szCs w:val="20"/>
          <w:color w:val="auto"/>
        </w:rPr>
      </w:pPr>
      <w:r>
        <w:rPr>
          <w:rFonts w:ascii="Arial" w:cs="Arial" w:eastAsia="Arial" w:hAnsi="Arial"/>
          <w:sz w:val="18"/>
          <w:szCs w:val="18"/>
          <w:color w:val="auto"/>
        </w:rPr>
        <w:t>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66"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p>
    <w:p>
      <w:pPr>
        <w:spacing w:after="0" w:line="229" w:lineRule="exact"/>
        <w:rPr>
          <w:rFonts w:ascii="Arial" w:cs="Arial" w:eastAsia="Arial" w:hAnsi="Arial"/>
          <w:sz w:val="18"/>
          <w:szCs w:val="18"/>
          <w:color w:val="auto"/>
        </w:rPr>
      </w:pPr>
    </w:p>
    <w:p>
      <w:pPr>
        <w:ind w:right="120" w:firstLine="1304"/>
        <w:spacing w:after="0" w:line="257" w:lineRule="auto"/>
        <w:tabs>
          <w:tab w:leader="none" w:pos="16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7" w:lineRule="exact"/>
        <w:rPr>
          <w:rFonts w:ascii="Arial" w:cs="Arial" w:eastAsia="Arial" w:hAnsi="Arial"/>
          <w:sz w:val="18"/>
          <w:szCs w:val="18"/>
          <w:color w:val="auto"/>
        </w:rPr>
      </w:pPr>
    </w:p>
    <w:p>
      <w:pPr>
        <w:ind w:firstLine="1304"/>
        <w:spacing w:after="0" w:line="291" w:lineRule="auto"/>
        <w:tabs>
          <w:tab w:leader="none" w:pos="1686"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this option is a Nonstatutory Stock Option or Section 3(i) Option, then upon your request and subject to approval by the Company, and compliance with any applicable legal conditions or restrictions, the Company may withhold from fully vested Ordinary Shares otherwise issuable to you upon the exercise of your option a number of whole Ordinary Shares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Ordinary Shares shall be withheld solely from fully vested Ordinary Shares determined as of the date of exercise of your option that are otherwise issuable to you upon such exercise. Any adverse consequences to you arising in connection with such share withholding procedure shall be your sole responsibility.</w:t>
      </w:r>
    </w:p>
    <w:p>
      <w:pPr>
        <w:spacing w:after="0" w:line="166" w:lineRule="exact"/>
        <w:rPr>
          <w:rFonts w:ascii="Arial" w:cs="Arial" w:eastAsia="Arial" w:hAnsi="Arial"/>
          <w:sz w:val="16"/>
          <w:szCs w:val="16"/>
          <w:color w:val="auto"/>
        </w:rPr>
      </w:pPr>
    </w:p>
    <w:p>
      <w:pPr>
        <w:ind w:right="100" w:firstLine="1304"/>
        <w:spacing w:after="0" w:line="259" w:lineRule="auto"/>
        <w:tabs>
          <w:tab w:leader="none" w:pos="16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Ordinary Shares or release such Ordinary Shares from any escrow provided for herein, if applicable, unless such obligations are satisfied.</w:t>
      </w:r>
    </w:p>
    <w:p>
      <w:pPr>
        <w:spacing w:after="0" w:line="182" w:lineRule="exact"/>
        <w:rPr>
          <w:rFonts w:ascii="Arial" w:cs="Arial" w:eastAsia="Arial" w:hAnsi="Arial"/>
          <w:sz w:val="18"/>
          <w:szCs w:val="18"/>
          <w:color w:val="auto"/>
        </w:rPr>
      </w:pPr>
    </w:p>
    <w:p>
      <w:pPr>
        <w:ind w:right="40" w:firstLine="656"/>
        <w:spacing w:after="0" w:line="266" w:lineRule="auto"/>
        <w:tabs>
          <w:tab w:leader="none" w:pos="96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Tax Consequences</w:t>
      </w:r>
      <w:r>
        <w:rPr>
          <w:rFonts w:ascii="Arial" w:cs="Arial" w:eastAsia="Arial" w:hAnsi="Arial"/>
          <w:sz w:val="18"/>
          <w:szCs w:val="18"/>
          <w:color w:val="auto"/>
        </w:rPr>
        <w:t>. You hereby agree that the Company does not have a duty to design or administer the Plan or its other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w:t>
      </w:r>
    </w:p>
    <w:p>
      <w:pPr>
        <w:spacing w:after="0" w:line="175" w:lineRule="exact"/>
        <w:rPr>
          <w:rFonts w:ascii="Arial" w:cs="Arial" w:eastAsia="Arial" w:hAnsi="Arial"/>
          <w:sz w:val="18"/>
          <w:szCs w:val="18"/>
          <w:color w:val="auto"/>
        </w:rPr>
      </w:pPr>
    </w:p>
    <w:p>
      <w:pPr>
        <w:jc w:val="both"/>
        <w:ind w:right="40" w:firstLine="656"/>
        <w:spacing w:after="0" w:line="261" w:lineRule="auto"/>
        <w:tabs>
          <w:tab w:leader="none" w:pos="96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for in your option or the Plan will be given in writing (including electronically) and will be deemed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w:t>
      </w:r>
    </w:p>
    <w:p>
      <w:pPr>
        <w:spacing w:after="0" w:line="179" w:lineRule="exact"/>
        <w:rPr>
          <w:rFonts w:ascii="Arial" w:cs="Arial" w:eastAsia="Arial" w:hAnsi="Arial"/>
          <w:sz w:val="18"/>
          <w:szCs w:val="18"/>
          <w:color w:val="auto"/>
        </w:rPr>
      </w:pPr>
    </w:p>
    <w:p>
      <w:pPr>
        <w:ind w:right="40" w:firstLine="656"/>
        <w:spacing w:after="0" w:line="256" w:lineRule="auto"/>
        <w:tabs>
          <w:tab w:leader="none" w:pos="105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Governing Plan Document. </w:t>
      </w:r>
      <w:r>
        <w:rPr>
          <w:rFonts w:ascii="Arial" w:cs="Arial" w:eastAsia="Arial" w:hAnsi="Arial"/>
          <w:sz w:val="18"/>
          <w:szCs w:val="18"/>
          <w:color w:val="auto"/>
        </w:rPr>
        <w:t>Your option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7" w:lineRule="exact"/>
        <w:rPr>
          <w:rFonts w:ascii="Arial" w:cs="Arial" w:eastAsia="Arial" w:hAnsi="Arial"/>
          <w:sz w:val="18"/>
          <w:szCs w:val="18"/>
          <w:color w:val="auto"/>
        </w:rPr>
      </w:pPr>
    </w:p>
    <w:p>
      <w:pPr>
        <w:ind w:right="320" w:firstLine="656"/>
        <w:spacing w:after="0" w:line="314" w:lineRule="auto"/>
        <w:tabs>
          <w:tab w:leader="none" w:pos="1046"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Other Documents. </w:t>
      </w:r>
      <w:r>
        <w:rPr>
          <w:rFonts w:ascii="Arial" w:cs="Arial" w:eastAsia="Arial" w:hAnsi="Arial"/>
          <w:sz w:val="16"/>
          <w:szCs w:val="16"/>
          <w:color w:val="auto"/>
        </w:rPr>
        <w:t>You hereby acknowledge receipt of and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41" w:lineRule="exact"/>
        <w:rPr>
          <w:rFonts w:ascii="Arial" w:cs="Arial" w:eastAsia="Arial" w:hAnsi="Arial"/>
          <w:sz w:val="16"/>
          <w:szCs w:val="16"/>
          <w:color w:val="auto"/>
        </w:rPr>
      </w:pPr>
    </w:p>
    <w:p>
      <w:pPr>
        <w:ind w:right="60" w:firstLine="656"/>
        <w:spacing w:after="0" w:line="261" w:lineRule="auto"/>
        <w:tabs>
          <w:tab w:leader="none" w:pos="105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this option will not be included as compensation, earnings, salaries,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color w:val="auto"/>
        </w:rPr>
      </w:pPr>
    </w:p>
    <w:p>
      <w:pPr>
        <w:jc w:val="both"/>
        <w:ind w:right="20" w:firstLine="656"/>
        <w:spacing w:after="0" w:line="261" w:lineRule="auto"/>
        <w:tabs>
          <w:tab w:leader="none" w:pos="105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You will not have voting or any other rights as a stockholder of the Company with respect to the shares to be issued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9" w:lineRule="exact"/>
        <w:rPr>
          <w:rFonts w:ascii="Arial" w:cs="Arial" w:eastAsia="Arial" w:hAnsi="Arial"/>
          <w:sz w:val="18"/>
          <w:szCs w:val="18"/>
          <w:color w:val="auto"/>
        </w:rPr>
      </w:pPr>
    </w:p>
    <w:p>
      <w:pPr>
        <w:jc w:val="both"/>
        <w:ind w:right="280" w:firstLine="656"/>
        <w:spacing w:after="0" w:line="281" w:lineRule="auto"/>
        <w:tabs>
          <w:tab w:leader="none" w:pos="1053"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all or any part of this Option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4" w:lineRule="exact"/>
        <w:rPr>
          <w:rFonts w:ascii="Arial" w:cs="Arial" w:eastAsia="Arial" w:hAnsi="Arial"/>
          <w:sz w:val="17"/>
          <w:szCs w:val="17"/>
          <w:color w:val="auto"/>
        </w:rPr>
      </w:pPr>
    </w:p>
    <w:p>
      <w:pPr>
        <w:ind w:left="1060" w:hanging="40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360" w:firstLine="1304"/>
        <w:spacing w:after="0" w:line="308" w:lineRule="auto"/>
        <w:tabs>
          <w:tab w:leader="none" w:pos="1676"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46" w:lineRule="exact"/>
        <w:rPr>
          <w:rFonts w:ascii="Arial" w:cs="Arial" w:eastAsia="Arial" w:hAnsi="Arial"/>
          <w:sz w:val="17"/>
          <w:szCs w:val="17"/>
          <w:color w:val="auto"/>
        </w:rPr>
      </w:pPr>
    </w:p>
    <w:p>
      <w:pPr>
        <w:ind w:right="400" w:firstLine="1304"/>
        <w:spacing w:after="0" w:line="277" w:lineRule="auto"/>
        <w:tabs>
          <w:tab w:leader="none" w:pos="16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170" w:lineRule="exact"/>
        <w:rPr>
          <w:rFonts w:ascii="Arial" w:cs="Arial" w:eastAsia="Arial" w:hAnsi="Arial"/>
          <w:sz w:val="18"/>
          <w:szCs w:val="18"/>
          <w:color w:val="auto"/>
        </w:rPr>
      </w:pPr>
    </w:p>
    <w:p>
      <w:pPr>
        <w:ind w:right="460" w:firstLine="1304"/>
        <w:spacing w:after="0" w:line="277" w:lineRule="auto"/>
        <w:tabs>
          <w:tab w:leader="none" w:pos="16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70" w:lineRule="exact"/>
        <w:rPr>
          <w:rFonts w:ascii="Arial" w:cs="Arial" w:eastAsia="Arial" w:hAnsi="Arial"/>
          <w:sz w:val="18"/>
          <w:szCs w:val="18"/>
          <w:color w:val="auto"/>
        </w:rPr>
      </w:pPr>
    </w:p>
    <w:p>
      <w:pPr>
        <w:ind w:right="320" w:firstLine="1304"/>
        <w:spacing w:after="0" w:line="277" w:lineRule="auto"/>
        <w:tabs>
          <w:tab w:leader="none" w:pos="16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Option Agreement will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right="320" w:firstLine="1304"/>
        <w:spacing w:after="0" w:line="263" w:lineRule="auto"/>
        <w:tabs>
          <w:tab w:leader="none" w:pos="16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ectPr>
          <w:pgSz w:w="11900" w:h="16838" w:orient="portrait"/>
          <w:cols w:equalWidth="0" w:num="1">
            <w:col w:w="11240"/>
          </w:cols>
          <w:pgMar w:left="320" w:top="125" w:right="339" w:bottom="0" w:gutter="0" w:footer="0" w:header="0"/>
        </w:sectPr>
      </w:pPr>
    </w:p>
    <w:bookmarkStart w:id="104" w:name="page105"/>
    <w:bookmarkEnd w:id="104"/>
    <w:p>
      <w:pPr>
        <w:ind w:left="4420"/>
        <w:spacing w:after="0"/>
        <w:tabs>
          <w:tab w:leader="none" w:pos="4900" w:val="left"/>
          <w:tab w:leader="none" w:pos="5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Option Agreement will be deemed to be signed by you upon the signing by you of the Stock Option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663575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41" w:right="7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UROGEN PHARMA LTD.</w:t>
      </w: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of Exercise: _______________</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constitutes notice to UroGen Pharma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Ordinary Shares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322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20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232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c>
          <w:tcPr>
            <w:tcW w:w="180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Section 3(i) </w:t>
            </w:r>
            <w:r>
              <w:rPr>
                <w:rFonts w:ascii="MS PGothic" w:cs="MS PGothic" w:eastAsia="MS PGothic" w:hAnsi="MS PGothic"/>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Stock option dated:</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91"/>
              </w:rPr>
              <w:t>_______________</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Number of Shares as</w:t>
            </w:r>
          </w:p>
        </w:tc>
        <w:tc>
          <w:tcPr>
            <w:tcW w:w="2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 which option is</w:t>
            </w:r>
          </w:p>
        </w:tc>
        <w:tc>
          <w:tcPr>
            <w:tcW w:w="2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exercised:</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91"/>
              </w:rPr>
              <w:t>_______________</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Certificates to be</w:t>
            </w:r>
          </w:p>
        </w:tc>
        <w:tc>
          <w:tcPr>
            <w:tcW w:w="2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issued in name of:</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91"/>
              </w:rPr>
              <w:t>_______________</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Total exercise price:</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91"/>
              </w:rPr>
              <w:t>$______________</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Cash payment delivered</w:t>
            </w:r>
          </w:p>
        </w:tc>
        <w:tc>
          <w:tcPr>
            <w:tcW w:w="2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herewith:</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91"/>
              </w:rPr>
              <w:t>$______________</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w w:val="99"/>
              </w:rPr>
              <w:t>Value of ________ Shares delivered herewith: $______________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4"/>
              </w:rPr>
              <w:t>Value of ________ Shares pursuant to net</w:t>
            </w:r>
          </w:p>
        </w:tc>
        <w:tc>
          <w:tcPr>
            <w:tcW w:w="2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exercise:</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88"/>
              </w:rPr>
              <w:t>$______________]</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w w:val="94"/>
              </w:rPr>
              <w:t>Regulation T Program (cashless exercise):</w:t>
            </w:r>
          </w:p>
        </w:tc>
        <w:tc>
          <w:tcPr>
            <w:tcW w:w="2020" w:type="dxa"/>
            <w:vAlign w:val="bottom"/>
          </w:tcPr>
          <w:p>
            <w:pPr>
              <w:ind w:left="160"/>
              <w:spacing w:after="0"/>
              <w:rPr>
                <w:sz w:val="20"/>
                <w:szCs w:val="20"/>
                <w:color w:val="auto"/>
              </w:rPr>
            </w:pPr>
            <w:r>
              <w:rPr>
                <w:rFonts w:ascii="Arial" w:cs="Arial" w:eastAsia="Arial" w:hAnsi="Arial"/>
                <w:sz w:val="18"/>
                <w:szCs w:val="18"/>
                <w:color w:val="auto"/>
              </w:rPr>
              <w:t>$______________</w:t>
            </w:r>
          </w:p>
        </w:tc>
        <w:tc>
          <w:tcPr>
            <w:tcW w:w="2320" w:type="dxa"/>
            <w:vAlign w:val="bottom"/>
          </w:tcPr>
          <w:p>
            <w:pPr>
              <w:ind w:left="520"/>
              <w:spacing w:after="0"/>
              <w:rPr>
                <w:sz w:val="20"/>
                <w:szCs w:val="20"/>
                <w:color w:val="auto"/>
              </w:rPr>
            </w:pPr>
            <w:r>
              <w:rPr>
                <w:rFonts w:ascii="Arial" w:cs="Arial" w:eastAsia="Arial" w:hAnsi="Arial"/>
                <w:sz w:val="18"/>
                <w:szCs w:val="18"/>
                <w:color w:val="auto"/>
              </w:rPr>
              <w:t>$______________]</w:t>
            </w:r>
          </w:p>
        </w:tc>
        <w:tc>
          <w:tcPr>
            <w:tcW w:w="1800" w:type="dxa"/>
            <w:vAlign w:val="bottom"/>
          </w:tcPr>
          <w:p>
            <w:pPr>
              <w:ind w:left="400"/>
              <w:spacing w:after="0"/>
              <w:rPr>
                <w:sz w:val="20"/>
                <w:szCs w:val="20"/>
                <w:color w:val="auto"/>
              </w:rPr>
            </w:pPr>
            <w:r>
              <w:rPr>
                <w:rFonts w:ascii="Arial" w:cs="Arial" w:eastAsia="Arial" w:hAnsi="Arial"/>
                <w:sz w:val="18"/>
                <w:szCs w:val="18"/>
                <w:color w:val="auto"/>
                <w:w w:val="88"/>
              </w:rPr>
              <w:t>$______________]</w:t>
            </w: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By this exercise, I agree (i) to provide such additional documents as you may require pursuant to the terms of the UroGen Pharma Ltd. 2017 Equity Incentive Plan and Israeli Sub-Plan to the 2017 Equity Incentive Plan, (ii) to provide for the payment by me to you (in the manner designated by you) of your withholding obligation, if any, relating to the exercise of this option, and (iii) if this exercise relates to an Incentive Stock Option or Section 3(i)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w:t>
      </w:r>
    </w:p>
    <w:p>
      <w:pPr>
        <w:sectPr>
          <w:pgSz w:w="11900" w:h="16838" w:orient="portrait"/>
          <w:cols w:equalWidth="0" w:num="1">
            <w:col w:w="11240"/>
          </w:cols>
          <w:pgMar w:left="320" w:top="796" w:right="339" w:bottom="1440" w:gutter="0" w:footer="0" w:header="0"/>
        </w:sectPr>
      </w:pPr>
    </w:p>
    <w:bookmarkStart w:id="107" w:name="page108"/>
    <w:bookmarkEnd w:id="107"/>
    <w:p>
      <w:pPr>
        <w:ind w:left="10320"/>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UroGen Pharma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2017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awards to Participant a Restricted Stock Unit Award for the number of the Company’s Ordinary Shares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Restricted Stock Unit Grant Notice</w:t>
      </w:r>
      <w:r>
        <w:rPr>
          <w:rFonts w:ascii="Arial" w:cs="Arial" w:eastAsia="Arial" w:hAnsi="Arial"/>
          <w:sz w:val="17"/>
          <w:szCs w:val="17"/>
          <w:color w:val="auto"/>
        </w:rPr>
        <w:t>”), and in the Plan and the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178"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Participant:</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-130175</wp:posOffset>
            </wp:positionV>
            <wp:extent cx="1619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-130175</wp:posOffset>
            </wp:positionV>
            <wp:extent cx="1619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-130175</wp:posOffset>
            </wp:positionV>
            <wp:extent cx="16198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61988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31750</wp:posOffset>
            </wp:positionV>
            <wp:extent cx="16198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194945</wp:posOffset>
            </wp:positionV>
            <wp:extent cx="1619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[__________________, subject to Grantee’s Continuous Service (as defined in the 2017 Plan) as of each such date.</w:t>
      </w:r>
    </w:p>
    <w:p>
      <w:pPr>
        <w:spacing w:after="0" w:line="225" w:lineRule="exact"/>
        <w:rPr>
          <w:sz w:val="20"/>
          <w:szCs w:val="20"/>
          <w:color w:val="auto"/>
        </w:rPr>
      </w:pPr>
    </w:p>
    <w:p>
      <w:pPr>
        <w:ind w:left="1860" w:right="240" w:hanging="1943"/>
        <w:spacing w:after="0" w:line="308" w:lineRule="auto"/>
        <w:tabs>
          <w:tab w:leader="none" w:pos="18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7"/>
          <w:szCs w:val="17"/>
          <w:color w:val="auto"/>
        </w:rPr>
        <w:t>Subject to any Capitalization Adjustment, one Ordinary Share (or its cash equivalent, at the discretion of the Company) will be issued for each Restricted Stock Unit that vests at the time set forth in Section 6 of the Award Agreement.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Restricted Stock Unit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and the Plan. Participant further acknowledges that as of the Date of Grant, this Restricted Stock Unit Grant Notice, the Award Agreement and the Plan set forth the entire understanding between Participant and the Company regarding the acquisition of the Ordinary Shares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7"/>
          </w:tcPr>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6920" w:type="dxa"/>
            <w:vAlign w:val="bottom"/>
            <w:gridSpan w:val="3"/>
          </w:tcPr>
          <w:p>
            <w:pPr>
              <w:ind w:left="22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gridSpan w:val="3"/>
          </w:tcPr>
          <w:p>
            <w:pPr>
              <w:spacing w:after="0"/>
              <w:rPr>
                <w:sz w:val="24"/>
                <w:szCs w:val="24"/>
                <w:color w:val="auto"/>
              </w:rPr>
            </w:pPr>
          </w:p>
        </w:tc>
        <w:tc>
          <w:tcPr>
            <w:tcW w:w="3600" w:type="dxa"/>
            <w:vAlign w:val="bottom"/>
            <w:gridSpan w:val="3"/>
          </w:tcPr>
          <w:p>
            <w:pPr>
              <w:spacing w:after="0"/>
              <w:rPr>
                <w:sz w:val="24"/>
                <w:szCs w:val="24"/>
                <w:color w:val="auto"/>
              </w:rPr>
            </w:pPr>
          </w:p>
        </w:tc>
        <w:tc>
          <w:tcPr>
            <w:tcW w:w="2680" w:type="dxa"/>
            <w:vAlign w:val="bottom"/>
          </w:tcPr>
          <w:p>
            <w:pPr>
              <w:ind w:left="2380"/>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r>
      <w:tr>
        <w:trPr>
          <w:trHeight w:val="237"/>
        </w:trPr>
        <w:tc>
          <w:tcPr>
            <w:tcW w:w="4320" w:type="dxa"/>
            <w:vAlign w:val="bottom"/>
            <w:gridSpan w:val="7"/>
          </w:tcPr>
          <w:p>
            <w:pPr>
              <w:ind w:left="180"/>
              <w:spacing w:after="0"/>
              <w:rPr>
                <w:sz w:val="20"/>
                <w:szCs w:val="20"/>
                <w:color w:val="auto"/>
              </w:rPr>
            </w:pPr>
            <w:r>
              <w:rPr>
                <w:rFonts w:ascii="Arial" w:cs="Arial" w:eastAsia="Arial" w:hAnsi="Arial"/>
                <w:sz w:val="18"/>
                <w:szCs w:val="18"/>
                <w:color w:val="auto"/>
              </w:rPr>
              <w:t>Signature</w:t>
            </w:r>
          </w:p>
        </w:tc>
        <w:tc>
          <w:tcPr>
            <w:tcW w:w="6920" w:type="dxa"/>
            <w:vAlign w:val="bottom"/>
            <w:gridSpan w:val="3"/>
          </w:tcPr>
          <w:p>
            <w:pPr>
              <w:ind w:left="2560"/>
              <w:spacing w:after="0"/>
              <w:rPr>
                <w:sz w:val="20"/>
                <w:szCs w:val="20"/>
                <w:color w:val="auto"/>
              </w:rPr>
            </w:pPr>
            <w:r>
              <w:rPr>
                <w:rFonts w:ascii="Arial" w:cs="Arial" w:eastAsia="Arial" w:hAnsi="Arial"/>
                <w:sz w:val="18"/>
                <w:szCs w:val="18"/>
                <w:color w:val="auto"/>
              </w:rPr>
              <w:t>Signature</w:t>
            </w:r>
          </w:p>
        </w:tc>
      </w:tr>
      <w:tr>
        <w:trPr>
          <w:trHeight w:val="391"/>
        </w:trPr>
        <w:tc>
          <w:tcPr>
            <w:tcW w:w="4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00" w:type="dxa"/>
            <w:vAlign w:val="bottom"/>
            <w:tcBorders>
              <w:bottom w:val="single" w:sz="8" w:color="auto"/>
            </w:tcBorders>
            <w:gridSpan w:val="3"/>
          </w:tcPr>
          <w:p>
            <w:pPr>
              <w:spacing w:after="0"/>
              <w:rPr>
                <w:sz w:val="24"/>
                <w:szCs w:val="24"/>
                <w:color w:val="auto"/>
              </w:rPr>
            </w:pPr>
          </w:p>
        </w:tc>
        <w:tc>
          <w:tcPr>
            <w:tcW w:w="348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color w:val="auto"/>
              </w:rPr>
              <w:t>Date: ____</w:t>
            </w:r>
          </w:p>
        </w:tc>
      </w:tr>
      <w:tr>
        <w:trPr>
          <w:trHeight w:val="412"/>
        </w:trPr>
        <w:tc>
          <w:tcPr>
            <w:tcW w:w="4320" w:type="dxa"/>
            <w:vAlign w:val="bottom"/>
            <w:gridSpan w:val="7"/>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Pr>
          <w:p>
            <w:pPr>
              <w:ind w:left="222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tc>
        <w:tc>
          <w:tcPr>
            <w:tcW w:w="6920" w:type="dxa"/>
            <w:vAlign w:val="bottom"/>
            <w:gridSpan w:val="3"/>
          </w:tcPr>
          <w:p>
            <w:pPr>
              <w:ind w:left="220"/>
              <w:spacing w:after="0"/>
              <w:rPr>
                <w:sz w:val="20"/>
                <w:szCs w:val="20"/>
                <w:color w:val="auto"/>
              </w:rPr>
            </w:pPr>
            <w:r>
              <w:rPr>
                <w:rFonts w:ascii="Arial" w:cs="Arial" w:eastAsia="Arial" w:hAnsi="Arial"/>
                <w:sz w:val="18"/>
                <w:szCs w:val="18"/>
                <w:color w:val="auto"/>
              </w:rPr>
              <w:t>Award Agreement and 2017 Equity Incentive Plan</w:t>
            </w:r>
          </w:p>
        </w:tc>
      </w:tr>
      <w:tr>
        <w:trPr>
          <w:trHeight w:val="790"/>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UroGen Pharma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84" w:lineRule="exact"/>
        <w:rPr>
          <w:sz w:val="20"/>
          <w:szCs w:val="20"/>
          <w:color w:val="auto"/>
        </w:rPr>
      </w:pPr>
    </w:p>
    <w:p>
      <w:pPr>
        <w:ind w:right="100" w:firstLine="656"/>
        <w:spacing w:after="0" w:line="292" w:lineRule="auto"/>
        <w:tabs>
          <w:tab w:leader="none" w:pos="963"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Grant of the Award. </w:t>
      </w:r>
      <w:r>
        <w:rPr>
          <w:rFonts w:ascii="Arial" w:cs="Arial" w:eastAsia="Arial" w:hAnsi="Arial"/>
          <w:sz w:val="16"/>
          <w:szCs w:val="16"/>
          <w:color w:val="auto"/>
        </w:rPr>
        <w:t>This Award represents the right to be issued on a future date one (1) Ordinary Share for each Restricted Stock Unit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the number of Restricted Stock Units/Ordinary Shares subject to the Award. Notwithstanding the foregoing, the Company reserves the right to issue you the cash equivalent of Ordinary Shares, in part or in full satisfaction of the delivery of Ordinary Shares in connection with the vesting of the Restricted Stock Units, and, to the extent applicable, references in this Agreement and the Grant Notice to Ordinary Shares issuable in connection with your Restricted Stock Units will include the potential issuance of its cash equivalent pursuant to such right. This Award was granted in consideration of your services to the Company.</w:t>
      </w:r>
    </w:p>
    <w:p>
      <w:pPr>
        <w:spacing w:after="0" w:line="161" w:lineRule="exact"/>
        <w:rPr>
          <w:rFonts w:ascii="Arial" w:cs="Arial" w:eastAsia="Arial" w:hAnsi="Arial"/>
          <w:sz w:val="16"/>
          <w:szCs w:val="16"/>
          <w:color w:val="auto"/>
        </w:rPr>
      </w:pPr>
    </w:p>
    <w:p>
      <w:pPr>
        <w:ind w:right="100" w:firstLine="656"/>
        <w:spacing w:after="0" w:line="261" w:lineRule="auto"/>
        <w:tabs>
          <w:tab w:leader="none" w:pos="9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if at all, in accordance with the vesting schedule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Ordinary Shares to be issued in respect of such portion of the Award.</w:t>
      </w:r>
    </w:p>
    <w:p>
      <w:pPr>
        <w:spacing w:after="0" w:line="179" w:lineRule="exact"/>
        <w:rPr>
          <w:rFonts w:ascii="Arial" w:cs="Arial" w:eastAsia="Arial" w:hAnsi="Arial"/>
          <w:sz w:val="18"/>
          <w:szCs w:val="18"/>
          <w:color w:val="auto"/>
        </w:rPr>
      </w:pPr>
    </w:p>
    <w:p>
      <w:pPr>
        <w:ind w:right="100" w:firstLine="656"/>
        <w:spacing w:after="0" w:line="256" w:lineRule="auto"/>
        <w:tabs>
          <w:tab w:leader="none" w:pos="9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Restricted Stock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Ordinary Shares shall be created pursuant to this Section 3. Any fraction of a share will be rounded down to the nearest whole share.</w:t>
      </w:r>
    </w:p>
    <w:p>
      <w:pPr>
        <w:spacing w:after="0" w:line="187" w:lineRule="exact"/>
        <w:rPr>
          <w:rFonts w:ascii="Arial" w:cs="Arial" w:eastAsia="Arial" w:hAnsi="Arial"/>
          <w:sz w:val="18"/>
          <w:szCs w:val="18"/>
          <w:color w:val="auto"/>
        </w:rPr>
      </w:pPr>
    </w:p>
    <w:p>
      <w:pPr>
        <w:ind w:right="60" w:firstLine="656"/>
        <w:spacing w:after="0" w:line="303" w:lineRule="auto"/>
        <w:tabs>
          <w:tab w:leader="none" w:pos="963"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You may not be issued any Ordinary Shares under your Award unless the Ordinary Shares underlying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Ordinary Shares if the Company determines that such receipt would not be in material compliance with such laws and regulations.</w:t>
      </w:r>
    </w:p>
    <w:p>
      <w:pPr>
        <w:spacing w:after="0" w:line="150" w:lineRule="exact"/>
        <w:rPr>
          <w:rFonts w:ascii="Arial" w:cs="Arial" w:eastAsia="Arial" w:hAnsi="Arial"/>
          <w:sz w:val="16"/>
          <w:szCs w:val="16"/>
          <w:color w:val="auto"/>
        </w:rPr>
      </w:pPr>
    </w:p>
    <w:p>
      <w:pPr>
        <w:ind w:right="140" w:firstLine="656"/>
        <w:spacing w:after="0" w:line="261" w:lineRule="auto"/>
        <w:tabs>
          <w:tab w:leader="none" w:pos="9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Prior to the time that Ordinary Shares have been delivered to you, you may not transfer, pledge, sell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9" w:lineRule="exact"/>
        <w:rPr>
          <w:rFonts w:ascii="Arial" w:cs="Arial" w:eastAsia="Arial" w:hAnsi="Arial"/>
          <w:sz w:val="18"/>
          <w:szCs w:val="18"/>
          <w:color w:val="auto"/>
        </w:rPr>
      </w:pPr>
    </w:p>
    <w:p>
      <w:pPr>
        <w:ind w:right="40" w:firstLine="1304"/>
        <w:spacing w:after="0" w:line="266" w:lineRule="auto"/>
        <w:tabs>
          <w:tab w:leader="none" w:pos="1675"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and your executor or administrator of your estate shall be entitled to receive, on behalf of your estate, any Ordinary Shares or other consideration that vested but was not issued before your death.</w:t>
      </w:r>
    </w:p>
    <w:p>
      <w:pPr>
        <w:spacing w:after="0" w:line="175" w:lineRule="exact"/>
        <w:rPr>
          <w:rFonts w:ascii="Arial" w:cs="Arial" w:eastAsia="Arial" w:hAnsi="Arial"/>
          <w:sz w:val="18"/>
          <w:szCs w:val="18"/>
          <w:color w:val="auto"/>
        </w:rPr>
      </w:pPr>
    </w:p>
    <w:p>
      <w:pPr>
        <w:ind w:right="100" w:firstLine="1304"/>
        <w:spacing w:after="0" w:line="255" w:lineRule="auto"/>
        <w:tabs>
          <w:tab w:leader="none" w:pos="1686"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designated transferee enter into transfer and other agreements required by the Company, you may transfer your right to receive the distribution of Ordinary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Date of Issuance.</w:t>
      </w:r>
    </w:p>
    <w:p>
      <w:pPr>
        <w:spacing w:after="0" w:line="229" w:lineRule="exact"/>
        <w:rPr>
          <w:rFonts w:ascii="Arial" w:cs="Arial" w:eastAsia="Arial" w:hAnsi="Arial"/>
          <w:sz w:val="18"/>
          <w:szCs w:val="18"/>
          <w:color w:val="auto"/>
        </w:rPr>
      </w:pPr>
    </w:p>
    <w:p>
      <w:pPr>
        <w:jc w:val="both"/>
        <w:ind w:right="220" w:firstLine="1304"/>
        <w:spacing w:after="0" w:line="275" w:lineRule="auto"/>
        <w:tabs>
          <w:tab w:leader="none" w:pos="1676"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Ordinary Share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700" w:hanging="396"/>
        <w:spacing w:after="0"/>
        <w:tabs>
          <w:tab w:leader="none" w:pos="17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the Original Issuance Date falls on a date that is not a business day, delivery shall instead occur on the next following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 In addition, if:</w:t>
      </w:r>
    </w:p>
    <w:p>
      <w:pPr>
        <w:spacing w:after="0" w:line="210" w:lineRule="exact"/>
        <w:rPr>
          <w:rFonts w:ascii="Arial" w:cs="Arial" w:eastAsia="Arial" w:hAnsi="Arial"/>
          <w:sz w:val="16"/>
          <w:szCs w:val="16"/>
          <w:color w:val="auto"/>
        </w:rPr>
      </w:pPr>
    </w:p>
    <w:p>
      <w:pPr>
        <w:ind w:right="160" w:firstLine="1952"/>
        <w:spacing w:after="0" w:line="257" w:lineRule="auto"/>
        <w:tabs>
          <w:tab w:leader="none" w:pos="2294"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Ordinary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ectPr>
          <w:pgSz w:w="11900" w:h="16838" w:orient="portrait"/>
          <w:cols w:equalWidth="0" w:num="1">
            <w:col w:w="11240"/>
          </w:cols>
          <w:pgMar w:left="320" w:top="796" w:right="339" w:bottom="109" w:gutter="0" w:footer="0" w:header="0"/>
        </w:sectPr>
      </w:pPr>
    </w:p>
    <w:bookmarkStart w:id="109" w:name="page110"/>
    <w:bookmarkEnd w:id="109"/>
    <w:p>
      <w:pPr>
        <w:ind w:firstLine="656"/>
        <w:spacing w:after="0" w:line="269" w:lineRule="auto"/>
        <w:tabs>
          <w:tab w:leader="none" w:pos="104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either (1) a Withholding Obligation does not apply, or (2) the Company decides, prior to the Original Issuance Date, (A) not to satisfy the Withholding Obligation by withholding Ordinary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the Company’s Ordinary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Ordinary Shares under this Award are no longer subject to a “substantial risk of forfeiture” within the meaning of Treasury Regulations Section 1.409A-1(d).</w:t>
      </w:r>
    </w:p>
    <w:p>
      <w:pPr>
        <w:spacing w:after="0" w:line="185" w:lineRule="exact"/>
        <w:rPr>
          <w:rFonts w:ascii="Arial" w:cs="Arial" w:eastAsia="Arial" w:hAnsi="Arial"/>
          <w:sz w:val="17"/>
          <w:szCs w:val="17"/>
          <w:color w:val="auto"/>
        </w:rPr>
      </w:pPr>
    </w:p>
    <w:p>
      <w:pPr>
        <w:ind w:left="1680" w:hanging="376"/>
        <w:spacing w:after="0"/>
        <w:tabs>
          <w:tab w:leader="none" w:pos="16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form of delivery (</w:t>
      </w:r>
      <w:r>
        <w:rPr>
          <w:rFonts w:ascii="Arial" w:cs="Arial" w:eastAsia="Arial" w:hAnsi="Arial"/>
          <w:sz w:val="17"/>
          <w:szCs w:val="17"/>
          <w:i w:val="1"/>
          <w:iCs w:val="1"/>
          <w:color w:val="auto"/>
        </w:rPr>
        <w:t>e.g.</w:t>
      </w:r>
      <w:r>
        <w:rPr>
          <w:rFonts w:ascii="Arial" w:cs="Arial" w:eastAsia="Arial" w:hAnsi="Arial"/>
          <w:sz w:val="17"/>
          <w:szCs w:val="17"/>
          <w:color w:val="auto"/>
        </w:rPr>
        <w:t>, a stock certificate or electronic entry evidencing such shares) shall be determined by the Company.</w:t>
      </w:r>
    </w:p>
    <w:p>
      <w:pPr>
        <w:spacing w:after="0" w:line="233" w:lineRule="exact"/>
        <w:rPr>
          <w:sz w:val="20"/>
          <w:szCs w:val="20"/>
          <w:color w:val="auto"/>
        </w:rPr>
      </w:pPr>
    </w:p>
    <w:p>
      <w:pPr>
        <w:ind w:right="220" w:firstLine="656"/>
        <w:spacing w:after="0" w:line="266" w:lineRule="auto"/>
        <w:tabs>
          <w:tab w:leader="none" w:pos="963"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shall receive no benefit or adjustment to your Award with respect to any cash dividend, stock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does not result from a Capitalization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sentence will not apply with respect to any Ordinary Shares that are delivered to you in connection with your Award after such shares have been delivered to you.</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Restrictive Legends. </w:t>
      </w:r>
      <w:r>
        <w:rPr>
          <w:rFonts w:ascii="Arial" w:cs="Arial" w:eastAsia="Arial" w:hAnsi="Arial"/>
          <w:sz w:val="16"/>
          <w:szCs w:val="16"/>
          <w:color w:val="auto"/>
        </w:rPr>
        <w:t>The Ordinary Shares issued in respect of your Award shall be endorsed with appropriate legends as determined by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6" w:lineRule="exact"/>
        <w:rPr>
          <w:rFonts w:ascii="Arial" w:cs="Arial" w:eastAsia="Arial" w:hAnsi="Arial"/>
          <w:sz w:val="16"/>
          <w:szCs w:val="16"/>
          <w:color w:val="auto"/>
        </w:rPr>
      </w:pPr>
    </w:p>
    <w:p>
      <w:pPr>
        <w:ind w:right="40" w:firstLine="656"/>
        <w:spacing w:after="0" w:line="314" w:lineRule="auto"/>
        <w:tabs>
          <w:tab w:leader="none" w:pos="963"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Execution of Documents. </w:t>
      </w:r>
      <w:r>
        <w:rPr>
          <w:rFonts w:ascii="Arial" w:cs="Arial" w:eastAsia="Arial" w:hAnsi="Arial"/>
          <w:sz w:val="16"/>
          <w:szCs w:val="16"/>
          <w:color w:val="auto"/>
        </w:rPr>
        <w:t>You hereby acknowledge and agree that the manner selected by the Company by which you indicate your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41" w:lineRule="exact"/>
        <w:rPr>
          <w:rFonts w:ascii="Arial" w:cs="Arial" w:eastAsia="Arial" w:hAnsi="Arial"/>
          <w:sz w:val="16"/>
          <w:szCs w:val="16"/>
          <w:color w:val="auto"/>
        </w:rPr>
      </w:pPr>
    </w:p>
    <w:p>
      <w:pPr>
        <w:ind w:left="1060" w:hanging="40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Award not a Service Contract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54" w:lineRule="auto"/>
        <w:tabs>
          <w:tab w:leader="none" w:pos="1676"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4" w:lineRule="exact"/>
        <w:rPr>
          <w:rFonts w:ascii="Arial" w:cs="Arial" w:eastAsia="Arial" w:hAnsi="Arial"/>
          <w:sz w:val="18"/>
          <w:szCs w:val="18"/>
          <w:color w:val="auto"/>
        </w:rPr>
      </w:pPr>
    </w:p>
    <w:p>
      <w:pPr>
        <w:ind w:firstLine="1304"/>
        <w:spacing w:after="0" w:line="287" w:lineRule="auto"/>
        <w:tabs>
          <w:tab w:leader="none" w:pos="1686" w:val="left"/>
        </w:tabs>
        <w:numPr>
          <w:ilvl w:val="2"/>
          <w:numId w:val="64"/>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67" w:lineRule="exact"/>
        <w:rPr>
          <w:rFonts w:ascii="Arial" w:cs="Arial" w:eastAsia="Arial" w:hAnsi="Arial"/>
          <w:sz w:val="16"/>
          <w:szCs w:val="16"/>
          <w:color w:val="auto"/>
        </w:rPr>
      </w:pPr>
    </w:p>
    <w:p>
      <w:pPr>
        <w:ind w:left="1060" w:hanging="40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Withholding Obligation.</w:t>
      </w:r>
    </w:p>
    <w:p>
      <w:pPr>
        <w:spacing w:after="0" w:line="229" w:lineRule="exact"/>
        <w:rPr>
          <w:rFonts w:ascii="Arial" w:cs="Arial" w:eastAsia="Arial" w:hAnsi="Arial"/>
          <w:sz w:val="18"/>
          <w:szCs w:val="18"/>
          <w:color w:val="auto"/>
        </w:rPr>
      </w:pPr>
    </w:p>
    <w:p>
      <w:pPr>
        <w:jc w:val="both"/>
        <w:ind w:firstLine="1304"/>
        <w:spacing w:after="0" w:line="257" w:lineRule="auto"/>
        <w:tabs>
          <w:tab w:leader="none" w:pos="1979" w:val="left"/>
        </w:tabs>
        <w:numPr>
          <w:ilvl w:val="2"/>
          <w:numId w:val="64"/>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Ordinary Shares in respect of your Restricted Stock Units, and at any other time as reasonably requested by the Company in accordance with applicable tax laws, you hereby authorize any required withholding from the Ordinary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1947" w:val="left"/>
        </w:tabs>
        <w:numPr>
          <w:ilvl w:val="2"/>
          <w:numId w:val="64"/>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w:t>
      </w:r>
    </w:p>
    <w:p>
      <w:pPr>
        <w:spacing w:after="0" w:line="2" w:lineRule="exact"/>
        <w:rPr>
          <w:rFonts w:ascii="Arial" w:cs="Arial" w:eastAsia="Arial" w:hAnsi="Arial"/>
          <w:sz w:val="16"/>
          <w:szCs w:val="16"/>
          <w:color w:val="auto"/>
        </w:rPr>
      </w:pPr>
    </w:p>
    <w:p>
      <w:pPr>
        <w:jc w:val="both"/>
        <w:ind w:firstLine="8"/>
        <w:spacing w:after="0" w:line="267" w:lineRule="auto"/>
        <w:tabs>
          <w:tab w:leader="none" w:pos="3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withholding Ordinary Shares from the Ordinary Shares issued or otherwise issuable to you in connection with the Award with a Fair Market Value (measured as of the date Ordinary Shares are issued pursuant to Section 6) equal to the amount of such Withholding Obligation;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Ordinary Shares are withheld with a value exceeding the minimum amount of tax required to be withheld by law (or such lesser amount as may be necessary to avoid classification of the Award as a liability for financial accounting purposes);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Ordinary Shares or any other consideration pursuant to this Award.</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2083" w:val="left"/>
        </w:tabs>
        <w:numPr>
          <w:ilvl w:val="2"/>
          <w:numId w:val="65"/>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Ordinary Shares or it is determined after the delivery of Ordinary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color w:val="auto"/>
        </w:rPr>
      </w:pPr>
    </w:p>
    <w:p>
      <w:pPr>
        <w:jc w:val="both"/>
        <w:ind w:firstLine="656"/>
        <w:spacing w:after="0" w:line="314" w:lineRule="auto"/>
        <w:tabs>
          <w:tab w:leader="none" w:pos="1053"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Tax Consequences. </w:t>
      </w:r>
      <w:r>
        <w:rPr>
          <w:rFonts w:ascii="Arial" w:cs="Arial" w:eastAsia="Arial" w:hAnsi="Arial"/>
          <w:sz w:val="16"/>
          <w:szCs w:val="16"/>
          <w:color w:val="auto"/>
        </w:rPr>
        <w:t>The Company has no duty or obligation to minimize the tax consequences to you of this Award and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w:t>
      </w:r>
    </w:p>
    <w:p>
      <w:pPr>
        <w:sectPr>
          <w:pgSz w:w="11900" w:h="16838" w:orient="portrait"/>
          <w:cols w:equalWidth="0" w:num="1">
            <w:col w:w="11240"/>
          </w:cols>
          <w:pgMar w:left="320" w:top="125" w:right="339" w:bottom="0" w:gutter="0" w:footer="0" w:header="0"/>
        </w:sectPr>
      </w:pPr>
    </w:p>
    <w:bookmarkStart w:id="110" w:name="page111"/>
    <w:bookmarkEnd w:id="110"/>
    <w:p>
      <w:pPr>
        <w:ind w:right="180"/>
        <w:spacing w:after="0" w:line="277" w:lineRule="auto"/>
        <w:rPr>
          <w:sz w:val="20"/>
          <w:szCs w:val="20"/>
          <w:color w:val="auto"/>
        </w:rPr>
      </w:pPr>
      <w:r>
        <w:rPr>
          <w:rFonts w:ascii="Arial" w:cs="Arial" w:eastAsia="Arial" w:hAnsi="Arial"/>
          <w:sz w:val="18"/>
          <w:szCs w:val="18"/>
          <w:color w:val="auto"/>
        </w:rPr>
        <w:t>and voluntarily declined to do so. You understand that you (and not the Company) shall be responsible for your own tax liability that may arise as a result of this investment or the transactions contemplated by this Agreement.</w:t>
      </w:r>
    </w:p>
    <w:p>
      <w:pPr>
        <w:spacing w:after="0" w:line="166" w:lineRule="exact"/>
        <w:rPr>
          <w:sz w:val="20"/>
          <w:szCs w:val="20"/>
          <w:color w:val="auto"/>
        </w:rPr>
      </w:pPr>
    </w:p>
    <w:p>
      <w:pPr>
        <w:ind w:right="40" w:firstLine="656"/>
        <w:spacing w:after="0" w:line="256"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 unsecured creditor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7" w:lineRule="exact"/>
        <w:rPr>
          <w:rFonts w:ascii="Arial" w:cs="Arial" w:eastAsia="Arial" w:hAnsi="Arial"/>
          <w:sz w:val="18"/>
          <w:szCs w:val="18"/>
          <w:color w:val="auto"/>
        </w:rPr>
      </w:pPr>
    </w:p>
    <w:p>
      <w:pPr>
        <w:ind w:right="100" w:firstLine="656"/>
        <w:spacing w:after="0" w:line="274" w:lineRule="auto"/>
        <w:tabs>
          <w:tab w:leader="none" w:pos="1053"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request required or permitted hereunder shall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color w:val="auto"/>
        </w:rPr>
      </w:pPr>
    </w:p>
    <w:p>
      <w:pPr>
        <w:ind w:right="160" w:firstLine="656"/>
        <w:spacing w:after="0" w:line="282"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in this Agreement are inserted for convenience only and shall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meaning of this Agreement.</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0" w:firstLine="1304"/>
        <w:spacing w:after="0" w:line="342" w:lineRule="auto"/>
        <w:tabs>
          <w:tab w:leader="none" w:pos="167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23" w:lineRule="exact"/>
        <w:rPr>
          <w:rFonts w:ascii="Arial" w:cs="Arial" w:eastAsia="Arial" w:hAnsi="Arial"/>
          <w:sz w:val="16"/>
          <w:szCs w:val="16"/>
          <w:color w:val="auto"/>
        </w:rPr>
      </w:pPr>
    </w:p>
    <w:p>
      <w:pPr>
        <w:ind w:right="400" w:firstLine="1304"/>
        <w:spacing w:after="0" w:line="277" w:lineRule="auto"/>
        <w:tabs>
          <w:tab w:leader="none" w:pos="16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70" w:lineRule="exact"/>
        <w:rPr>
          <w:rFonts w:ascii="Arial" w:cs="Arial" w:eastAsia="Arial" w:hAnsi="Arial"/>
          <w:sz w:val="18"/>
          <w:szCs w:val="18"/>
          <w:color w:val="auto"/>
        </w:rPr>
      </w:pPr>
    </w:p>
    <w:p>
      <w:pPr>
        <w:ind w:right="440" w:firstLine="1304"/>
        <w:spacing w:after="0" w:line="277" w:lineRule="auto"/>
        <w:tabs>
          <w:tab w:leader="none" w:pos="1676"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8"/>
          <w:szCs w:val="18"/>
          <w:color w:val="auto"/>
        </w:rPr>
      </w:pPr>
    </w:p>
    <w:p>
      <w:pPr>
        <w:ind w:right="140" w:firstLine="1304"/>
        <w:spacing w:after="0" w:line="277" w:lineRule="auto"/>
        <w:tabs>
          <w:tab w:leader="none" w:pos="16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right="40" w:firstLine="1304"/>
        <w:spacing w:after="0" w:line="263" w:lineRule="auto"/>
        <w:tabs>
          <w:tab w:leader="none" w:pos="167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ind w:right="120" w:firstLine="656"/>
        <w:spacing w:after="0" w:line="255"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8" w:lineRule="exact"/>
        <w:rPr>
          <w:rFonts w:ascii="Arial" w:cs="Arial" w:eastAsia="Arial" w:hAnsi="Arial"/>
          <w:sz w:val="18"/>
          <w:szCs w:val="18"/>
          <w:color w:val="auto"/>
        </w:rPr>
      </w:pPr>
    </w:p>
    <w:p>
      <w:pPr>
        <w:ind w:right="160" w:firstLine="656"/>
        <w:spacing w:after="0" w:line="261"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the Award subject to this Agreement shall not be included as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9" w:lineRule="exact"/>
        <w:rPr>
          <w:rFonts w:ascii="Arial" w:cs="Arial" w:eastAsia="Arial" w:hAnsi="Arial"/>
          <w:sz w:val="18"/>
          <w:szCs w:val="18"/>
          <w:color w:val="auto"/>
        </w:rPr>
      </w:pPr>
    </w:p>
    <w:p>
      <w:pPr>
        <w:jc w:val="both"/>
        <w:ind w:firstLine="656"/>
        <w:spacing w:after="0" w:line="261"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Agreement or the Plan is declared by any court or governmental authority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9" w:lineRule="exact"/>
        <w:rPr>
          <w:rFonts w:ascii="Arial" w:cs="Arial" w:eastAsia="Arial" w:hAnsi="Arial"/>
          <w:sz w:val="18"/>
          <w:szCs w:val="18"/>
          <w:color w:val="auto"/>
        </w:rPr>
      </w:pPr>
    </w:p>
    <w:p>
      <w:pPr>
        <w:ind w:firstLine="656"/>
        <w:spacing w:after="0" w:line="266"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You hereby acknowledge receipt or the right to receive a document providing the information required by Rule 428(b)(1)</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5" w:lineRule="exact"/>
        <w:rPr>
          <w:rFonts w:ascii="Arial" w:cs="Arial" w:eastAsia="Arial" w:hAnsi="Arial"/>
          <w:sz w:val="18"/>
          <w:szCs w:val="18"/>
          <w:color w:val="auto"/>
        </w:rPr>
      </w:pPr>
    </w:p>
    <w:p>
      <w:pPr>
        <w:ind w:right="20" w:firstLine="656"/>
        <w:spacing w:after="0" w:line="254" w:lineRule="auto"/>
        <w:tabs>
          <w:tab w:leader="none" w:pos="105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Agreement may not be modified, amended or terminated except by an instrument in writing, signed by you and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91" w:lineRule="exact"/>
        <w:rPr>
          <w:rFonts w:ascii="Arial" w:cs="Arial" w:eastAsia="Arial" w:hAnsi="Arial"/>
          <w:sz w:val="18"/>
          <w:szCs w:val="18"/>
          <w:color w:val="auto"/>
        </w:rPr>
      </w:pPr>
    </w:p>
    <w:p>
      <w:pPr>
        <w:ind w:right="60" w:firstLine="656"/>
        <w:spacing w:after="0" w:line="292" w:lineRule="auto"/>
        <w:tabs>
          <w:tab w:leader="none" w:pos="1053"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is intended to be exempt from the application of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w:t>
      </w:r>
    </w:p>
    <w:p>
      <w:pPr>
        <w:sectPr>
          <w:pgSz w:w="11900" w:h="16838" w:orient="portrait"/>
          <w:cols w:equalWidth="0" w:num="1">
            <w:col w:w="11240"/>
          </w:cols>
          <w:pgMar w:left="320" w:top="125" w:right="339" w:bottom="0" w:gutter="0" w:footer="0" w:header="0"/>
        </w:sectPr>
      </w:pPr>
    </w:p>
    <w:bookmarkStart w:id="111" w:name="page112"/>
    <w:bookmarkEnd w:id="111"/>
    <w:p>
      <w:pPr>
        <w:ind w:right="200"/>
        <w:spacing w:after="0" w:line="296" w:lineRule="auto"/>
        <w:rPr>
          <w:sz w:val="20"/>
          <w:szCs w:val="20"/>
          <w:color w:val="auto"/>
        </w:rPr>
      </w:pPr>
      <w:r>
        <w:rPr>
          <w:rFonts w:ascii="Arial" w:cs="Arial" w:eastAsia="Arial" w:hAnsi="Arial"/>
          <w:sz w:val="16"/>
          <w:szCs w:val="16"/>
          <w:color w:val="auto"/>
        </w:rPr>
        <w:t>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This Restricted Stock Unit Award Agreement shall be deemed to be signed by the Company and the Participant upon the signing by the Participant of the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UROGEN PHARMA LTD.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ectPr>
          <w:pgSz w:w="11900" w:h="16838" w:orient="portrait"/>
          <w:cols w:equalWidth="0" w:num="1">
            <w:col w:w="9019"/>
          </w:cols>
          <w:pgMar w:left="1440" w:top="796"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UroGen Pharma Ltd.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2017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awards to Participant a Performance-Based Restricted Stock Unit Award for the number of the Company’s Ordinary Shares (“</w:t>
      </w:r>
      <w:r>
        <w:rPr>
          <w:rFonts w:ascii="Arial" w:cs="Arial" w:eastAsia="Arial" w:hAnsi="Arial"/>
          <w:sz w:val="16"/>
          <w:szCs w:val="16"/>
          <w:b w:val="1"/>
          <w:bCs w:val="1"/>
          <w:i w:val="1"/>
          <w:iCs w:val="1"/>
          <w:color w:val="auto"/>
        </w:rPr>
        <w:t>Performance Stock Units</w:t>
      </w:r>
      <w:r>
        <w:rPr>
          <w:rFonts w:ascii="Arial" w:cs="Arial" w:eastAsia="Arial" w:hAnsi="Arial"/>
          <w:sz w:val="16"/>
          <w:szCs w:val="16"/>
          <w:color w:val="auto"/>
        </w:rPr>
        <w:t>” or “P</w:t>
      </w:r>
      <w:r>
        <w:rPr>
          <w:rFonts w:ascii="Arial" w:cs="Arial" w:eastAsia="Arial" w:hAnsi="Arial"/>
          <w:sz w:val="16"/>
          <w:szCs w:val="16"/>
          <w:b w:val="1"/>
          <w:bCs w:val="1"/>
          <w:i w:val="1"/>
          <w:iCs w:val="1"/>
          <w:color w:val="auto"/>
        </w:rPr>
        <w:t>SUs</w:t>
      </w:r>
      <w:r>
        <w:rPr>
          <w:rFonts w:ascii="Arial" w:cs="Arial" w:eastAsia="Arial" w:hAnsi="Arial"/>
          <w:sz w:val="16"/>
          <w:szCs w:val="16"/>
          <w:color w:val="auto"/>
        </w:rPr>
        <w:t>”) set forth below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of the terms and conditions as set forth in this notice of grant (this “</w:t>
      </w:r>
      <w:r>
        <w:rPr>
          <w:rFonts w:ascii="Arial" w:cs="Arial" w:eastAsia="Arial" w:hAnsi="Arial"/>
          <w:sz w:val="16"/>
          <w:szCs w:val="16"/>
          <w:b w:val="1"/>
          <w:bCs w:val="1"/>
          <w:i w:val="1"/>
          <w:iCs w:val="1"/>
          <w:color w:val="auto"/>
        </w:rPr>
        <w:t>Performance Stock Unit Grant Notice</w:t>
      </w:r>
      <w:r>
        <w:rPr>
          <w:rFonts w:ascii="Arial" w:cs="Arial" w:eastAsia="Arial" w:hAnsi="Arial"/>
          <w:sz w:val="16"/>
          <w:szCs w:val="16"/>
          <w:color w:val="auto"/>
        </w:rPr>
        <w:t>”), and in the Plan and the Performance-Based Restricted Stock Unit Award Agreement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both of which are attached hereto and incorporated herein in their entirety. Capitalized terms not explicitly defined herein shall have the meanings set forth in the Plan or the Award Agreement. In the event of any conflict between the terms in this Performance Stock Unit Grant Notice or the Award Agreement and the Plan, the terms of the Plan shall control.</w:t>
      </w:r>
    </w:p>
    <w:p>
      <w:pPr>
        <w:spacing w:after="0" w:line="16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Participant:</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-130175</wp:posOffset>
            </wp:positionV>
            <wp:extent cx="16198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-130175</wp:posOffset>
            </wp:positionV>
            <wp:extent cx="16198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31750</wp:posOffset>
            </wp:positionV>
            <wp:extent cx="1619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61988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194945</wp:posOffset>
            </wp:positionV>
            <wp:extent cx="16198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[_________________, in each case subject to Grantee’s Continuous Service (as defined in the 2017 Plan) as of such date.</w:t>
      </w:r>
    </w:p>
    <w:p>
      <w:pPr>
        <w:spacing w:after="0" w:line="225" w:lineRule="exact"/>
        <w:rPr>
          <w:sz w:val="20"/>
          <w:szCs w:val="20"/>
          <w:color w:val="auto"/>
        </w:rPr>
      </w:pPr>
    </w:p>
    <w:p>
      <w:pPr>
        <w:ind w:left="1860" w:right="240" w:hanging="1943"/>
        <w:spacing w:after="0" w:line="308" w:lineRule="auto"/>
        <w:tabs>
          <w:tab w:leader="none" w:pos="18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7"/>
          <w:szCs w:val="17"/>
          <w:color w:val="auto"/>
        </w:rPr>
        <w:t>Subject to any Capitalization Adjustment, one Ordinary Share (or its cash equivalent, at the discretion of the Company) will be issued for each Performance Stock Unit that vests at the time set forth in Section 6 of the Award Agreement.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Performance Stock Unit Grant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Agreement and the Plan. Participant further acknowledges that as of the Date of Grant, this Performance Stock Unit Grant Notice, the Award Agreement and the Plan set forth the entire understanding between Participant and the Company regarding the acquisition of the Ordinary Shares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 [As of the Date of Grant, this Award was subject to approval and ratification by the Company’s shareholders, which the Company acknowledges was obtained on ___________.]</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Performance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6"/>
          </w:tcPr>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6920" w:type="dxa"/>
            <w:vAlign w:val="bottom"/>
            <w:gridSpan w:val="3"/>
          </w:tcPr>
          <w:p>
            <w:pPr>
              <w:ind w:left="1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gridSpan w:val="3"/>
          </w:tcPr>
          <w:p>
            <w:pPr>
              <w:spacing w:after="0"/>
              <w:rPr>
                <w:sz w:val="24"/>
                <w:szCs w:val="24"/>
                <w:color w:val="auto"/>
              </w:rPr>
            </w:pPr>
          </w:p>
        </w:tc>
        <w:tc>
          <w:tcPr>
            <w:tcW w:w="3600" w:type="dxa"/>
            <w:vAlign w:val="bottom"/>
            <w:gridSpan w:val="2"/>
          </w:tcPr>
          <w:p>
            <w:pPr>
              <w:spacing w:after="0"/>
              <w:rPr>
                <w:sz w:val="24"/>
                <w:szCs w:val="24"/>
                <w:color w:val="auto"/>
              </w:rPr>
            </w:pPr>
          </w:p>
        </w:tc>
        <w:tc>
          <w:tcPr>
            <w:tcW w:w="2100" w:type="dxa"/>
            <w:vAlign w:val="bottom"/>
          </w:tcPr>
          <w:p>
            <w:pPr>
              <w:ind w:left="1800"/>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4"/>
                <w:szCs w:val="24"/>
                <w:color w:val="auto"/>
              </w:rPr>
            </w:pPr>
          </w:p>
        </w:tc>
        <w:tc>
          <w:tcPr>
            <w:tcW w:w="4420" w:type="dxa"/>
            <w:vAlign w:val="bottom"/>
          </w:tcPr>
          <w:p>
            <w:pPr>
              <w:spacing w:after="0"/>
              <w:rPr>
                <w:sz w:val="24"/>
                <w:szCs w:val="24"/>
                <w:color w:val="auto"/>
              </w:rPr>
            </w:pPr>
          </w:p>
        </w:tc>
      </w:tr>
      <w:tr>
        <w:trPr>
          <w:trHeight w:val="237"/>
        </w:trPr>
        <w:tc>
          <w:tcPr>
            <w:tcW w:w="4320" w:type="dxa"/>
            <w:vAlign w:val="bottom"/>
            <w:gridSpan w:val="6"/>
          </w:tcPr>
          <w:p>
            <w:pPr>
              <w:ind w:left="180"/>
              <w:spacing w:after="0"/>
              <w:rPr>
                <w:sz w:val="20"/>
                <w:szCs w:val="20"/>
                <w:color w:val="auto"/>
              </w:rPr>
            </w:pPr>
            <w:r>
              <w:rPr>
                <w:rFonts w:ascii="Arial" w:cs="Arial" w:eastAsia="Arial" w:hAnsi="Arial"/>
                <w:sz w:val="18"/>
                <w:szCs w:val="18"/>
                <w:color w:val="auto"/>
              </w:rPr>
              <w:t>Signature</w:t>
            </w:r>
          </w:p>
        </w:tc>
        <w:tc>
          <w:tcPr>
            <w:tcW w:w="6920" w:type="dxa"/>
            <w:vAlign w:val="bottom"/>
            <w:gridSpan w:val="3"/>
          </w:tcPr>
          <w:p>
            <w:pPr>
              <w:ind w:left="1940"/>
              <w:spacing w:after="0"/>
              <w:rPr>
                <w:sz w:val="20"/>
                <w:szCs w:val="20"/>
                <w:color w:val="auto"/>
              </w:rPr>
            </w:pPr>
            <w:r>
              <w:rPr>
                <w:rFonts w:ascii="Arial" w:cs="Arial" w:eastAsia="Arial" w:hAnsi="Arial"/>
                <w:sz w:val="18"/>
                <w:szCs w:val="18"/>
                <w:color w:val="auto"/>
              </w:rPr>
              <w:t>Signature</w:t>
            </w:r>
          </w:p>
        </w:tc>
      </w:tr>
      <w:tr>
        <w:trPr>
          <w:trHeight w:val="391"/>
        </w:trPr>
        <w:tc>
          <w:tcPr>
            <w:tcW w:w="4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00" w:type="dxa"/>
            <w:vAlign w:val="bottom"/>
            <w:tcBorders>
              <w:bottom w:val="single" w:sz="8" w:color="auto"/>
            </w:tcBorders>
            <w:gridSpan w:val="2"/>
          </w:tcPr>
          <w:p>
            <w:pPr>
              <w:spacing w:after="0"/>
              <w:rPr>
                <w:sz w:val="24"/>
                <w:szCs w:val="24"/>
                <w:color w:val="auto"/>
              </w:rPr>
            </w:pPr>
          </w:p>
        </w:tc>
        <w:tc>
          <w:tcPr>
            <w:tcW w:w="3480" w:type="dxa"/>
            <w:vAlign w:val="bottom"/>
          </w:tcPr>
          <w:p>
            <w:pPr>
              <w:spacing w:after="0"/>
              <w:rPr>
                <w:sz w:val="24"/>
                <w:szCs w:val="24"/>
                <w:color w:val="auto"/>
              </w:rPr>
            </w:pPr>
          </w:p>
        </w:tc>
        <w:tc>
          <w:tcPr>
            <w:tcW w:w="6920" w:type="dxa"/>
            <w:vAlign w:val="bottom"/>
            <w:gridSpan w:val="3"/>
          </w:tcPr>
          <w:p>
            <w:pPr>
              <w:ind w:left="1780"/>
              <w:spacing w:after="0"/>
              <w:rPr>
                <w:sz w:val="20"/>
                <w:szCs w:val="20"/>
                <w:color w:val="auto"/>
              </w:rPr>
            </w:pPr>
            <w:r>
              <w:rPr>
                <w:rFonts w:ascii="Arial" w:cs="Arial" w:eastAsia="Arial" w:hAnsi="Arial"/>
                <w:sz w:val="18"/>
                <w:szCs w:val="18"/>
                <w:color w:val="auto"/>
              </w:rPr>
              <w:t>Date: ____</w:t>
            </w:r>
          </w:p>
        </w:tc>
      </w:tr>
      <w:tr>
        <w:trPr>
          <w:trHeight w:val="412"/>
        </w:trPr>
        <w:tc>
          <w:tcPr>
            <w:tcW w:w="4320" w:type="dxa"/>
            <w:vAlign w:val="bottom"/>
            <w:gridSpan w:val="6"/>
          </w:tcPr>
          <w:p>
            <w:pPr>
              <w:spacing w:after="0"/>
              <w:rPr>
                <w:sz w:val="20"/>
                <w:szCs w:val="20"/>
                <w:color w:val="auto"/>
              </w:rPr>
            </w:pPr>
            <w:r>
              <w:rPr>
                <w:rFonts w:ascii="Arial" w:cs="Arial" w:eastAsia="Arial" w:hAnsi="Arial"/>
                <w:sz w:val="18"/>
                <w:szCs w:val="18"/>
                <w:color w:val="auto"/>
              </w:rPr>
              <w:t>Date:</w:t>
            </w: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80" w:type="dxa"/>
            <w:vAlign w:val="bottom"/>
          </w:tcPr>
          <w:p>
            <w:pPr>
              <w:ind w:left="222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tc>
        <w:tc>
          <w:tcPr>
            <w:tcW w:w="6920" w:type="dxa"/>
            <w:vAlign w:val="bottom"/>
            <w:gridSpan w:val="3"/>
          </w:tcPr>
          <w:p>
            <w:pPr>
              <w:ind w:left="220"/>
              <w:spacing w:after="0"/>
              <w:rPr>
                <w:sz w:val="20"/>
                <w:szCs w:val="20"/>
                <w:color w:val="auto"/>
              </w:rPr>
            </w:pPr>
            <w:r>
              <w:rPr>
                <w:rFonts w:ascii="Arial" w:cs="Arial" w:eastAsia="Arial" w:hAnsi="Arial"/>
                <w:sz w:val="18"/>
                <w:szCs w:val="18"/>
                <w:color w:val="auto"/>
              </w:rPr>
              <w:t>Award Agreement and 2017 Equity Incentive Plan</w:t>
            </w:r>
          </w:p>
        </w:tc>
      </w:tr>
      <w:tr>
        <w:trPr>
          <w:trHeight w:val="790"/>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Attachment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Performance-Based Restricted Stock Unit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Performance-Based Restricted Stock Unit Award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UroGen Pharma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 Performance-Based Restricted Stock 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pursuant to the Company’s 2017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Performance-Based Restricted Stock Units (“Performance Stock Units”)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2" w:lineRule="exact"/>
        <w:rPr>
          <w:sz w:val="20"/>
          <w:szCs w:val="20"/>
          <w:color w:val="auto"/>
        </w:rPr>
      </w:pPr>
    </w:p>
    <w:p>
      <w:pPr>
        <w:ind w:right="100" w:firstLine="656"/>
        <w:spacing w:after="0" w:line="292" w:lineRule="auto"/>
        <w:tabs>
          <w:tab w:leader="none" w:pos="96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Grant of the Award. </w:t>
      </w:r>
      <w:r>
        <w:rPr>
          <w:rFonts w:ascii="Arial" w:cs="Arial" w:eastAsia="Arial" w:hAnsi="Arial"/>
          <w:sz w:val="16"/>
          <w:szCs w:val="16"/>
          <w:color w:val="auto"/>
        </w:rPr>
        <w:t>This Award represents the right to be issued on a future date one (1) Ordinary Share for each Performance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the number of Performance Stock Units/Ordinary Shares subject to the Award. Notwithstanding the foregoing, the Company reserves the right to issue you the cash equivalent of Ordinary Shares, in part or in full satisfaction of the delivery of Ordinary Shares in connection with the vesting of the Performance Stock Units, and, to the extent applicable, references in this Agreement and the Grant Notice to Ordinary Shares issuable in connection with your Performance Stock Units will include the potential issuance of its cash equivalent pursuant to such right. This Award was granted in consideration of your services to the Company.</w:t>
      </w:r>
    </w:p>
    <w:p>
      <w:pPr>
        <w:spacing w:after="0" w:line="161" w:lineRule="exact"/>
        <w:rPr>
          <w:rFonts w:ascii="Arial" w:cs="Arial" w:eastAsia="Arial" w:hAnsi="Arial"/>
          <w:sz w:val="16"/>
          <w:szCs w:val="16"/>
          <w:color w:val="auto"/>
        </w:rPr>
      </w:pPr>
    </w:p>
    <w:p>
      <w:pPr>
        <w:ind w:right="100" w:firstLine="656"/>
        <w:spacing w:after="0" w:line="261" w:lineRule="auto"/>
        <w:tabs>
          <w:tab w:leader="none" w:pos="96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if at all, in accordance with the vesting schedule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Vesting will cease upon the termination of your Continuous Service and the Performance Stock Units credited to the Account that were not vested on the date of such termination will be forfeited at no cost to the Company and you will have no further right, title or interest in or to such Award or the Ordinary Shares to be issued in respect of such portion of the Award.</w:t>
      </w:r>
    </w:p>
    <w:p>
      <w:pPr>
        <w:spacing w:after="0" w:line="179" w:lineRule="exact"/>
        <w:rPr>
          <w:rFonts w:ascii="Arial" w:cs="Arial" w:eastAsia="Arial" w:hAnsi="Arial"/>
          <w:sz w:val="18"/>
          <w:szCs w:val="18"/>
          <w:color w:val="auto"/>
        </w:rPr>
      </w:pPr>
    </w:p>
    <w:p>
      <w:pPr>
        <w:ind w:right="180" w:firstLine="656"/>
        <w:spacing w:after="0" w:line="256" w:lineRule="auto"/>
        <w:tabs>
          <w:tab w:leader="none" w:pos="96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Performance Stock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Performance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Performance Stock Units and shares covered by your Award. Notwithstanding the provisions of this Section 3, no fractional shares or rights for fractional Ordinary Shares shall be created pursuant to this Section 3. Any fraction of a share will be rounded down to the nearest whole share.</w:t>
      </w:r>
    </w:p>
    <w:p>
      <w:pPr>
        <w:spacing w:after="0" w:line="187" w:lineRule="exact"/>
        <w:rPr>
          <w:rFonts w:ascii="Arial" w:cs="Arial" w:eastAsia="Arial" w:hAnsi="Arial"/>
          <w:sz w:val="18"/>
          <w:szCs w:val="18"/>
          <w:color w:val="auto"/>
        </w:rPr>
      </w:pPr>
    </w:p>
    <w:p>
      <w:pPr>
        <w:ind w:right="280" w:firstLine="656"/>
        <w:spacing w:after="0" w:line="258" w:lineRule="auto"/>
        <w:tabs>
          <w:tab w:leader="none" w:pos="96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You may not be issued any Ordinary Shares under your Award unless the Ordinary Shares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Ordinary Shares if the Company determines that such receipt would not be in material compliance with such laws and regulations.</w:t>
      </w:r>
    </w:p>
    <w:p>
      <w:pPr>
        <w:spacing w:after="0" w:line="183" w:lineRule="exact"/>
        <w:rPr>
          <w:rFonts w:ascii="Arial" w:cs="Arial" w:eastAsia="Arial" w:hAnsi="Arial"/>
          <w:sz w:val="18"/>
          <w:szCs w:val="18"/>
          <w:color w:val="auto"/>
        </w:rPr>
      </w:pPr>
    </w:p>
    <w:p>
      <w:pPr>
        <w:ind w:right="60" w:firstLine="656"/>
        <w:spacing w:after="0" w:line="261" w:lineRule="auto"/>
        <w:tabs>
          <w:tab w:leader="none" w:pos="96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Prior to the time that Ordinary Shares have been delivered to you, you may not transfer, pledge, sell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this Award or the shares issuable in respect of your Award, except as expressly provided in this Section 5. For example, you may not use shares that may be issued in respect of your Performance Stock Units as security for a loan. The restrictions on transfer set forth herein will lapse upon delivery to you of shares in respect of your vested Performance Stock Units.</w:t>
      </w:r>
    </w:p>
    <w:p>
      <w:pPr>
        <w:spacing w:after="0" w:line="179" w:lineRule="exact"/>
        <w:rPr>
          <w:rFonts w:ascii="Arial" w:cs="Arial" w:eastAsia="Arial" w:hAnsi="Arial"/>
          <w:sz w:val="18"/>
          <w:szCs w:val="18"/>
          <w:color w:val="auto"/>
        </w:rPr>
      </w:pPr>
    </w:p>
    <w:p>
      <w:pPr>
        <w:ind w:right="40" w:firstLine="1304"/>
        <w:spacing w:after="0" w:line="266" w:lineRule="auto"/>
        <w:tabs>
          <w:tab w:leader="none" w:pos="1675"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and your executor or administrator of your estate shall be entitled to receive, on behalf of your estate, any Ordinary Shares or other consideration that vested but was not issued before your death.</w:t>
      </w:r>
    </w:p>
    <w:p>
      <w:pPr>
        <w:spacing w:after="0" w:line="175" w:lineRule="exact"/>
        <w:rPr>
          <w:rFonts w:ascii="Arial" w:cs="Arial" w:eastAsia="Arial" w:hAnsi="Arial"/>
          <w:sz w:val="18"/>
          <w:szCs w:val="18"/>
          <w:color w:val="auto"/>
        </w:rPr>
      </w:pPr>
    </w:p>
    <w:p>
      <w:pPr>
        <w:ind w:right="100" w:firstLine="1304"/>
        <w:spacing w:after="0" w:line="255" w:lineRule="auto"/>
        <w:tabs>
          <w:tab w:leader="none" w:pos="1686"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designated transferee enter into transfer and other agreements required by the Company, you may transfer your right to receive the distribution of Ordinary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Date of Issuance.</w:t>
      </w:r>
    </w:p>
    <w:p>
      <w:pPr>
        <w:spacing w:after="0" w:line="229" w:lineRule="exact"/>
        <w:rPr>
          <w:rFonts w:ascii="Arial" w:cs="Arial" w:eastAsia="Arial" w:hAnsi="Arial"/>
          <w:sz w:val="18"/>
          <w:szCs w:val="18"/>
          <w:color w:val="auto"/>
        </w:rPr>
      </w:pPr>
    </w:p>
    <w:p>
      <w:pPr>
        <w:ind w:right="100" w:firstLine="1304"/>
        <w:spacing w:after="0" w:line="275" w:lineRule="auto"/>
        <w:tabs>
          <w:tab w:leader="none" w:pos="1676"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issuance of shares in respect of the Performance Stock Units is intended to comply with Treasury Regulations Section 1.409A-1(b)(4) and will be construed and administered in such a manner. Subject to the satisfaction of the Withholding Obligation set forth in Section 11 of this Agreement, in the event one or more Performance Stock Units vests, the Company shall issue to you one (1) Ordinary Share for each Performance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700" w:hanging="396"/>
        <w:spacing w:after="0"/>
        <w:tabs>
          <w:tab w:leader="none" w:pos="17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the Original Issuance Date falls on a date that is not a business day, delivery shall instead occur on the next following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 In addition, if:</w:t>
      </w:r>
    </w:p>
    <w:p>
      <w:pPr>
        <w:spacing w:after="0" w:line="210" w:lineRule="exact"/>
        <w:rPr>
          <w:rFonts w:ascii="Arial" w:cs="Arial" w:eastAsia="Arial" w:hAnsi="Arial"/>
          <w:sz w:val="16"/>
          <w:szCs w:val="16"/>
          <w:color w:val="auto"/>
        </w:rPr>
      </w:pPr>
    </w:p>
    <w:p>
      <w:pPr>
        <w:ind w:right="160" w:firstLine="1952"/>
        <w:spacing w:after="0" w:line="257" w:lineRule="auto"/>
        <w:tabs>
          <w:tab w:leader="none" w:pos="2294"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Ordinary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ectPr>
          <w:pgSz w:w="11900" w:h="16838" w:orient="portrait"/>
          <w:cols w:equalWidth="0" w:num="1">
            <w:col w:w="11240"/>
          </w:cols>
          <w:pgMar w:left="320" w:top="796" w:right="339" w:bottom="0" w:gutter="0" w:footer="0" w:header="0"/>
        </w:sectPr>
      </w:pPr>
    </w:p>
    <w:bookmarkStart w:id="115" w:name="page116"/>
    <w:bookmarkEnd w:id="115"/>
    <w:p>
      <w:pPr>
        <w:ind w:firstLine="656"/>
        <w:spacing w:after="0" w:line="269" w:lineRule="auto"/>
        <w:tabs>
          <w:tab w:leader="none" w:pos="104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either (1) a Withholding Obligation does not apply, or (2) the Company decides, prior to the Original Issuance Date, (A) not to satisfy the Withholding Obligation by withholding Ordinary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the Company’s Ordinary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Ordinary Shares under this Award are no longer subject to a “substantial risk of forfeiture” within the meaning of Treasury Regulations Section 1.409A-1(d).</w:t>
      </w:r>
    </w:p>
    <w:p>
      <w:pPr>
        <w:spacing w:after="0" w:line="185" w:lineRule="exact"/>
        <w:rPr>
          <w:rFonts w:ascii="Arial" w:cs="Arial" w:eastAsia="Arial" w:hAnsi="Arial"/>
          <w:sz w:val="17"/>
          <w:szCs w:val="17"/>
          <w:color w:val="auto"/>
        </w:rPr>
      </w:pPr>
    </w:p>
    <w:p>
      <w:pPr>
        <w:ind w:left="1680" w:hanging="376"/>
        <w:spacing w:after="0"/>
        <w:tabs>
          <w:tab w:leader="none" w:pos="16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form of delivery (</w:t>
      </w:r>
      <w:r>
        <w:rPr>
          <w:rFonts w:ascii="Arial" w:cs="Arial" w:eastAsia="Arial" w:hAnsi="Arial"/>
          <w:sz w:val="17"/>
          <w:szCs w:val="17"/>
          <w:i w:val="1"/>
          <w:iCs w:val="1"/>
          <w:color w:val="auto"/>
        </w:rPr>
        <w:t>e.g.</w:t>
      </w:r>
      <w:r>
        <w:rPr>
          <w:rFonts w:ascii="Arial" w:cs="Arial" w:eastAsia="Arial" w:hAnsi="Arial"/>
          <w:sz w:val="17"/>
          <w:szCs w:val="17"/>
          <w:color w:val="auto"/>
        </w:rPr>
        <w:t>, a stock certificate or electronic entry evidencing such shares) shall be determined by the Company.</w:t>
      </w:r>
    </w:p>
    <w:p>
      <w:pPr>
        <w:spacing w:after="0" w:line="233" w:lineRule="exact"/>
        <w:rPr>
          <w:sz w:val="20"/>
          <w:szCs w:val="20"/>
          <w:color w:val="auto"/>
        </w:rPr>
      </w:pPr>
    </w:p>
    <w:p>
      <w:pPr>
        <w:ind w:right="220" w:firstLine="656"/>
        <w:spacing w:after="0" w:line="266" w:lineRule="auto"/>
        <w:tabs>
          <w:tab w:leader="none" w:pos="963"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shall receive no benefit or adjustment to your Award with respect to any cash dividend, stock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does not result from a Capitalization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sentence will not apply with respect to any Ordinary Shares that are delivered to you in connection with your Award after such shares have been delivered to you.</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Restrictive Legends. </w:t>
      </w:r>
      <w:r>
        <w:rPr>
          <w:rFonts w:ascii="Arial" w:cs="Arial" w:eastAsia="Arial" w:hAnsi="Arial"/>
          <w:sz w:val="16"/>
          <w:szCs w:val="16"/>
          <w:color w:val="auto"/>
        </w:rPr>
        <w:t>The Ordinary Shares issued in respect of your Award shall be endorsed with appropriate legends as determined by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6" w:lineRule="exact"/>
        <w:rPr>
          <w:rFonts w:ascii="Arial" w:cs="Arial" w:eastAsia="Arial" w:hAnsi="Arial"/>
          <w:sz w:val="16"/>
          <w:szCs w:val="16"/>
          <w:color w:val="auto"/>
        </w:rPr>
      </w:pPr>
    </w:p>
    <w:p>
      <w:pPr>
        <w:ind w:right="40" w:firstLine="656"/>
        <w:spacing w:after="0" w:line="314" w:lineRule="auto"/>
        <w:tabs>
          <w:tab w:leader="none" w:pos="963"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Execution of Documents. </w:t>
      </w:r>
      <w:r>
        <w:rPr>
          <w:rFonts w:ascii="Arial" w:cs="Arial" w:eastAsia="Arial" w:hAnsi="Arial"/>
          <w:sz w:val="16"/>
          <w:szCs w:val="16"/>
          <w:color w:val="auto"/>
        </w:rPr>
        <w:t>You hereby acknowledge and agree that the manner selected by the Company by which you indicate your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41" w:lineRule="exact"/>
        <w:rPr>
          <w:rFonts w:ascii="Arial" w:cs="Arial" w:eastAsia="Arial" w:hAnsi="Arial"/>
          <w:sz w:val="16"/>
          <w:szCs w:val="16"/>
          <w:color w:val="auto"/>
        </w:rPr>
      </w:pPr>
    </w:p>
    <w:p>
      <w:pPr>
        <w:ind w:left="1060" w:hanging="404"/>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Award not a Service Contract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54" w:lineRule="auto"/>
        <w:tabs>
          <w:tab w:leader="none" w:pos="1676" w:val="left"/>
        </w:tabs>
        <w:numPr>
          <w:ilvl w:val="2"/>
          <w:numId w:val="69"/>
        </w:numPr>
        <w:rPr>
          <w:rFonts w:ascii="Arial" w:cs="Arial" w:eastAsia="Arial" w:hAnsi="Arial"/>
          <w:sz w:val="18"/>
          <w:szCs w:val="18"/>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4" w:lineRule="exact"/>
        <w:rPr>
          <w:rFonts w:ascii="Arial" w:cs="Arial" w:eastAsia="Arial" w:hAnsi="Arial"/>
          <w:sz w:val="18"/>
          <w:szCs w:val="18"/>
          <w:color w:val="auto"/>
        </w:rPr>
      </w:pPr>
    </w:p>
    <w:p>
      <w:pPr>
        <w:ind w:firstLine="1304"/>
        <w:spacing w:after="0" w:line="287" w:lineRule="auto"/>
        <w:tabs>
          <w:tab w:leader="none" w:pos="1686" w:val="left"/>
        </w:tabs>
        <w:numPr>
          <w:ilvl w:val="2"/>
          <w:numId w:val="69"/>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67" w:lineRule="exact"/>
        <w:rPr>
          <w:rFonts w:ascii="Arial" w:cs="Arial" w:eastAsia="Arial" w:hAnsi="Arial"/>
          <w:sz w:val="16"/>
          <w:szCs w:val="16"/>
          <w:color w:val="auto"/>
        </w:rPr>
      </w:pPr>
    </w:p>
    <w:p>
      <w:pPr>
        <w:ind w:left="1060" w:hanging="404"/>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Withholding Obligation.</w:t>
      </w:r>
    </w:p>
    <w:p>
      <w:pPr>
        <w:spacing w:after="0" w:line="229" w:lineRule="exact"/>
        <w:rPr>
          <w:rFonts w:ascii="Arial" w:cs="Arial" w:eastAsia="Arial" w:hAnsi="Arial"/>
          <w:sz w:val="18"/>
          <w:szCs w:val="18"/>
          <w:color w:val="auto"/>
        </w:rPr>
      </w:pPr>
    </w:p>
    <w:p>
      <w:pPr>
        <w:jc w:val="both"/>
        <w:ind w:firstLine="1304"/>
        <w:spacing w:after="0" w:line="257" w:lineRule="auto"/>
        <w:tabs>
          <w:tab w:leader="none" w:pos="1924" w:val="left"/>
        </w:tabs>
        <w:numPr>
          <w:ilvl w:val="2"/>
          <w:numId w:val="69"/>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Ordinary Shares in respect of your Performance Stock Units, and at any other time as reasonably requested by the Company in accordance with applicable tax laws, you hereby authorize any required withholding from the Ordinary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1947" w:val="left"/>
        </w:tabs>
        <w:numPr>
          <w:ilvl w:val="2"/>
          <w:numId w:val="69"/>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Performance Stock Units by any of the following means or by a combination of such means: (i) causing you to pay any portion of the Withholding Obligation in cash; (ii) withholding from any compensation otherwise payable to you by the Company;</w:t>
      </w:r>
    </w:p>
    <w:p>
      <w:pPr>
        <w:spacing w:after="0" w:line="2" w:lineRule="exact"/>
        <w:rPr>
          <w:rFonts w:ascii="Arial" w:cs="Arial" w:eastAsia="Arial" w:hAnsi="Arial"/>
          <w:sz w:val="16"/>
          <w:szCs w:val="16"/>
          <w:color w:val="auto"/>
        </w:rPr>
      </w:pPr>
    </w:p>
    <w:p>
      <w:pPr>
        <w:jc w:val="both"/>
        <w:ind w:firstLine="8"/>
        <w:spacing w:after="0" w:line="267" w:lineRule="auto"/>
        <w:tabs>
          <w:tab w:leader="none" w:pos="3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withholding Ordinary Shares from the Ordinary Shares issued or otherwise issuable to you in connection with the Award with a Fair Market Value (measured as of the date Ordinary Shares are issued pursuant to Section 6) equal to the amount of such Withholding Obligation;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Ordinary Shares are withheld with a value exceeding the minimum amount of tax required to be withheld by law (or such lesser amount as may be necessary to avoid classification of the Award as a liability for financial accounting purposes);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pursuant to this authorization and without further consent, whereby you irrevocably elect to sell a portion of the shares to be delivered in connection with your Performance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Ordinary Shares or any other consideration pursuant to this Award.</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2083"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Ordinary Shares or it is determined after the delivery of Ordinary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color w:val="auto"/>
        </w:rPr>
      </w:pPr>
    </w:p>
    <w:p>
      <w:pPr>
        <w:jc w:val="both"/>
        <w:ind w:firstLine="656"/>
        <w:spacing w:after="0" w:line="314" w:lineRule="auto"/>
        <w:tabs>
          <w:tab w:leader="none" w:pos="1053" w:val="left"/>
        </w:tabs>
        <w:numPr>
          <w:ilvl w:val="1"/>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Tax Consequences. </w:t>
      </w:r>
      <w:r>
        <w:rPr>
          <w:rFonts w:ascii="Arial" w:cs="Arial" w:eastAsia="Arial" w:hAnsi="Arial"/>
          <w:sz w:val="16"/>
          <w:szCs w:val="16"/>
          <w:color w:val="auto"/>
        </w:rPr>
        <w:t>The Company has no duty or obligation to minimize the tax consequences to you of this Award and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w:t>
      </w:r>
    </w:p>
    <w:p>
      <w:pPr>
        <w:sectPr>
          <w:pgSz w:w="11900" w:h="16838" w:orient="portrait"/>
          <w:cols w:equalWidth="0" w:num="1">
            <w:col w:w="11240"/>
          </w:cols>
          <w:pgMar w:left="320" w:top="125" w:right="339" w:bottom="0" w:gutter="0" w:footer="0" w:header="0"/>
        </w:sectPr>
      </w:pPr>
    </w:p>
    <w:bookmarkStart w:id="116" w:name="page117"/>
    <w:bookmarkEnd w:id="116"/>
    <w:p>
      <w:pPr>
        <w:ind w:right="180"/>
        <w:spacing w:after="0" w:line="277" w:lineRule="auto"/>
        <w:rPr>
          <w:sz w:val="20"/>
          <w:szCs w:val="20"/>
          <w:color w:val="auto"/>
        </w:rPr>
      </w:pPr>
      <w:r>
        <w:rPr>
          <w:rFonts w:ascii="Arial" w:cs="Arial" w:eastAsia="Arial" w:hAnsi="Arial"/>
          <w:sz w:val="18"/>
          <w:szCs w:val="18"/>
          <w:color w:val="auto"/>
        </w:rPr>
        <w:t>and voluntarily declined to do so. You understand that you (and not the Company) shall be responsible for your own tax liability that may arise as a result of this investment or the transactions contemplated by this Agreement.</w:t>
      </w:r>
    </w:p>
    <w:p>
      <w:pPr>
        <w:spacing w:after="0" w:line="166" w:lineRule="exact"/>
        <w:rPr>
          <w:sz w:val="20"/>
          <w:szCs w:val="20"/>
          <w:color w:val="auto"/>
        </w:rPr>
      </w:pPr>
    </w:p>
    <w:p>
      <w:pPr>
        <w:ind w:right="40" w:firstLine="656"/>
        <w:spacing w:after="0" w:line="256"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 unsecured creditor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7" w:lineRule="exact"/>
        <w:rPr>
          <w:rFonts w:ascii="Arial" w:cs="Arial" w:eastAsia="Arial" w:hAnsi="Arial"/>
          <w:sz w:val="18"/>
          <w:szCs w:val="18"/>
          <w:color w:val="auto"/>
        </w:rPr>
      </w:pPr>
    </w:p>
    <w:p>
      <w:pPr>
        <w:ind w:right="100" w:firstLine="656"/>
        <w:spacing w:after="0" w:line="274" w:lineRule="auto"/>
        <w:tabs>
          <w:tab w:leader="none" w:pos="1053"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request required or permitted hereunder shall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color w:val="auto"/>
        </w:rPr>
      </w:pPr>
    </w:p>
    <w:p>
      <w:pPr>
        <w:ind w:right="160" w:firstLine="656"/>
        <w:spacing w:after="0" w:line="282"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in this Agreement are inserted for convenience only and shall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meaning of this Agreement.</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0" w:firstLine="1304"/>
        <w:spacing w:after="0" w:line="342" w:lineRule="auto"/>
        <w:tabs>
          <w:tab w:leader="none" w:pos="1676"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23" w:lineRule="exact"/>
        <w:rPr>
          <w:rFonts w:ascii="Arial" w:cs="Arial" w:eastAsia="Arial" w:hAnsi="Arial"/>
          <w:sz w:val="16"/>
          <w:szCs w:val="16"/>
          <w:color w:val="auto"/>
        </w:rPr>
      </w:pPr>
    </w:p>
    <w:p>
      <w:pPr>
        <w:ind w:right="400" w:firstLine="1304"/>
        <w:spacing w:after="0" w:line="277" w:lineRule="auto"/>
        <w:tabs>
          <w:tab w:leader="none" w:pos="1686"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70" w:lineRule="exact"/>
        <w:rPr>
          <w:rFonts w:ascii="Arial" w:cs="Arial" w:eastAsia="Arial" w:hAnsi="Arial"/>
          <w:sz w:val="18"/>
          <w:szCs w:val="18"/>
          <w:color w:val="auto"/>
        </w:rPr>
      </w:pPr>
    </w:p>
    <w:p>
      <w:pPr>
        <w:ind w:right="440" w:firstLine="1304"/>
        <w:spacing w:after="0" w:line="277" w:lineRule="auto"/>
        <w:tabs>
          <w:tab w:leader="none" w:pos="1676"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8"/>
          <w:szCs w:val="18"/>
          <w:color w:val="auto"/>
        </w:rPr>
      </w:pPr>
    </w:p>
    <w:p>
      <w:pPr>
        <w:ind w:right="140" w:firstLine="1304"/>
        <w:spacing w:after="0" w:line="277" w:lineRule="auto"/>
        <w:tabs>
          <w:tab w:leader="none" w:pos="168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right="40" w:firstLine="1304"/>
        <w:spacing w:after="0" w:line="263" w:lineRule="auto"/>
        <w:tabs>
          <w:tab w:leader="none" w:pos="1676"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ind w:right="120" w:firstLine="656"/>
        <w:spacing w:after="0" w:line="255"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8" w:lineRule="exact"/>
        <w:rPr>
          <w:rFonts w:ascii="Arial" w:cs="Arial" w:eastAsia="Arial" w:hAnsi="Arial"/>
          <w:sz w:val="18"/>
          <w:szCs w:val="18"/>
          <w:color w:val="auto"/>
        </w:rPr>
      </w:pPr>
    </w:p>
    <w:p>
      <w:pPr>
        <w:ind w:right="160" w:firstLine="656"/>
        <w:spacing w:after="0" w:line="261"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the Award subject to this Agreement shall not be included as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9" w:lineRule="exact"/>
        <w:rPr>
          <w:rFonts w:ascii="Arial" w:cs="Arial" w:eastAsia="Arial" w:hAnsi="Arial"/>
          <w:sz w:val="18"/>
          <w:szCs w:val="18"/>
          <w:color w:val="auto"/>
        </w:rPr>
      </w:pPr>
    </w:p>
    <w:p>
      <w:pPr>
        <w:jc w:val="both"/>
        <w:ind w:firstLine="656"/>
        <w:spacing w:after="0" w:line="261"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Agreement or the Plan is declared by any court or governmental authority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9" w:lineRule="exact"/>
        <w:rPr>
          <w:rFonts w:ascii="Arial" w:cs="Arial" w:eastAsia="Arial" w:hAnsi="Arial"/>
          <w:sz w:val="18"/>
          <w:szCs w:val="18"/>
          <w:color w:val="auto"/>
        </w:rPr>
      </w:pPr>
    </w:p>
    <w:p>
      <w:pPr>
        <w:ind w:firstLine="656"/>
        <w:spacing w:after="0" w:line="266"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You hereby acknowledge receipt or the right to receive a document providing the information required by Rule 428(b)(1)</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5" w:lineRule="exact"/>
        <w:rPr>
          <w:rFonts w:ascii="Arial" w:cs="Arial" w:eastAsia="Arial" w:hAnsi="Arial"/>
          <w:sz w:val="18"/>
          <w:szCs w:val="18"/>
          <w:color w:val="auto"/>
        </w:rPr>
      </w:pPr>
    </w:p>
    <w:p>
      <w:pPr>
        <w:ind w:right="20" w:firstLine="656"/>
        <w:spacing w:after="0" w:line="254" w:lineRule="auto"/>
        <w:tabs>
          <w:tab w:leader="none" w:pos="105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Agreement may not be modified, amended or terminated except by an instrument in writing, signed by you and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91" w:lineRule="exact"/>
        <w:rPr>
          <w:rFonts w:ascii="Arial" w:cs="Arial" w:eastAsia="Arial" w:hAnsi="Arial"/>
          <w:sz w:val="18"/>
          <w:szCs w:val="18"/>
          <w:color w:val="auto"/>
        </w:rPr>
      </w:pPr>
    </w:p>
    <w:p>
      <w:pPr>
        <w:ind w:right="60" w:firstLine="656"/>
        <w:spacing w:after="0" w:line="292" w:lineRule="auto"/>
        <w:tabs>
          <w:tab w:leader="none" w:pos="1053"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is intended to be exempt from the application of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w:t>
      </w:r>
    </w:p>
    <w:p>
      <w:pPr>
        <w:sectPr>
          <w:pgSz w:w="11900" w:h="16838" w:orient="portrait"/>
          <w:cols w:equalWidth="0" w:num="1">
            <w:col w:w="11240"/>
          </w:cols>
          <w:pgMar w:left="320" w:top="125" w:right="339" w:bottom="0" w:gutter="0" w:footer="0" w:header="0"/>
        </w:sectPr>
      </w:pPr>
    </w:p>
    <w:bookmarkStart w:id="117" w:name="page118"/>
    <w:bookmarkEnd w:id="117"/>
    <w:p>
      <w:pPr>
        <w:ind w:right="200"/>
        <w:spacing w:after="0" w:line="296" w:lineRule="auto"/>
        <w:rPr>
          <w:sz w:val="20"/>
          <w:szCs w:val="20"/>
          <w:color w:val="auto"/>
        </w:rPr>
      </w:pPr>
      <w:r>
        <w:rPr>
          <w:rFonts w:ascii="Arial" w:cs="Arial" w:eastAsia="Arial" w:hAnsi="Arial"/>
          <w:sz w:val="16"/>
          <w:szCs w:val="16"/>
          <w:color w:val="auto"/>
        </w:rPr>
        <w:t>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This Performance Stock Unit Award Agreement shall be deemed to be signed by the Company and the Participant upon the signing by the Participant of the Performance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II</w:t>
      </w:r>
    </w:p>
    <w:p>
      <w:pPr>
        <w:spacing w:after="0" w:line="200" w:lineRule="exact"/>
        <w:rPr>
          <w:sz w:val="20"/>
          <w:szCs w:val="20"/>
          <w:color w:val="auto"/>
        </w:rPr>
      </w:pPr>
    </w:p>
    <w:p>
      <w:pPr>
        <w:spacing w:after="0" w:line="24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UROGEN PHARMA LTD.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2017 EQUITY INCENTIVE PLAN</w:t>
      </w:r>
    </w:p>
    <w:p>
      <w:pPr>
        <w:sectPr>
          <w:pgSz w:w="11900" w:h="16838" w:orient="portrait"/>
          <w:cols w:equalWidth="0" w:num="1">
            <w:col w:w="9019"/>
          </w:cols>
          <w:pgMar w:left="1440" w:top="796"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UroGen Pharma Ltd.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2017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awards to Participant a Performance-Based Restricted Stock Unit Award for the number of the Company’s Ordinary Shares (“</w:t>
      </w:r>
      <w:r>
        <w:rPr>
          <w:rFonts w:ascii="Arial" w:cs="Arial" w:eastAsia="Arial" w:hAnsi="Arial"/>
          <w:sz w:val="16"/>
          <w:szCs w:val="16"/>
          <w:b w:val="1"/>
          <w:bCs w:val="1"/>
          <w:i w:val="1"/>
          <w:iCs w:val="1"/>
          <w:color w:val="auto"/>
        </w:rPr>
        <w:t>Performance Stock Units</w:t>
      </w:r>
      <w:r>
        <w:rPr>
          <w:rFonts w:ascii="Arial" w:cs="Arial" w:eastAsia="Arial" w:hAnsi="Arial"/>
          <w:sz w:val="16"/>
          <w:szCs w:val="16"/>
          <w:color w:val="auto"/>
        </w:rPr>
        <w:t>” or “P</w:t>
      </w:r>
      <w:r>
        <w:rPr>
          <w:rFonts w:ascii="Arial" w:cs="Arial" w:eastAsia="Arial" w:hAnsi="Arial"/>
          <w:sz w:val="16"/>
          <w:szCs w:val="16"/>
          <w:b w:val="1"/>
          <w:bCs w:val="1"/>
          <w:i w:val="1"/>
          <w:iCs w:val="1"/>
          <w:color w:val="auto"/>
        </w:rPr>
        <w:t>SUs</w:t>
      </w:r>
      <w:r>
        <w:rPr>
          <w:rFonts w:ascii="Arial" w:cs="Arial" w:eastAsia="Arial" w:hAnsi="Arial"/>
          <w:sz w:val="16"/>
          <w:szCs w:val="16"/>
          <w:color w:val="auto"/>
        </w:rPr>
        <w:t>”) set forth below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of the terms and conditions as set forth in this notice of grant (this “</w:t>
      </w:r>
      <w:r>
        <w:rPr>
          <w:rFonts w:ascii="Arial" w:cs="Arial" w:eastAsia="Arial" w:hAnsi="Arial"/>
          <w:sz w:val="16"/>
          <w:szCs w:val="16"/>
          <w:b w:val="1"/>
          <w:bCs w:val="1"/>
          <w:i w:val="1"/>
          <w:iCs w:val="1"/>
          <w:color w:val="auto"/>
        </w:rPr>
        <w:t>Performance Stock Unit Grant Notice</w:t>
      </w:r>
      <w:r>
        <w:rPr>
          <w:rFonts w:ascii="Arial" w:cs="Arial" w:eastAsia="Arial" w:hAnsi="Arial"/>
          <w:sz w:val="16"/>
          <w:szCs w:val="16"/>
          <w:color w:val="auto"/>
        </w:rPr>
        <w:t>”), and in the Plan and the Performance-Based Restricted Stock Unit Award Agreement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both of which are attached hereto and incorporated herein in their entirety. Capitalized terms not explicitly defined herein shall have the meanings set forth in the Plan or the Award Agreement. In the event of any conflict between the terms in this Performance Stock Unit Grant Notice or the Award Agreement and the Plan, the terms of the Plan shall control.</w:t>
      </w:r>
    </w:p>
    <w:p>
      <w:pPr>
        <w:spacing w:after="0" w:line="160"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Participant:</w:t>
            </w: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Elizabeth Barrett</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SSN:</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980" w:type="dxa"/>
            <w:vAlign w:val="bottom"/>
            <w:vMerge w:val="restart"/>
          </w:tcPr>
          <w:p>
            <w:pPr>
              <w:spacing w:after="0"/>
              <w:rPr>
                <w:sz w:val="20"/>
                <w:szCs w:val="20"/>
                <w:color w:val="auto"/>
              </w:rPr>
            </w:pPr>
            <w:r>
              <w:rPr>
                <w:rFonts w:ascii="Arial" w:cs="Arial" w:eastAsia="Arial" w:hAnsi="Arial"/>
                <w:sz w:val="18"/>
                <w:szCs w:val="18"/>
                <w:color w:val="auto"/>
              </w:rPr>
              <w:t>Date of Grant:</w:t>
            </w: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vMerge w:val="continue"/>
          </w:tcPr>
          <w:p>
            <w:pPr>
              <w:spacing w:after="0"/>
              <w:rPr>
                <w:sz w:val="18"/>
                <w:szCs w:val="18"/>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January 31, 2023</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Number of Restricted Stock Units:</w:t>
            </w: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100,000</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900" w:hanging="1943"/>
        <w:spacing w:after="0" w:line="263" w:lineRule="auto"/>
        <w:tabs>
          <w:tab w:leader="none" w:pos="188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The Award shall vest upon the earlier of the Company’s receipt of U.S. regulatory approval for UGN-102 (as determined by the Committee) or the occurrence of a Change in Control, in each case subject to Grantee’s Continuous Service (as defined in the 2017 Plan) as of such date.</w:t>
      </w:r>
    </w:p>
    <w:p>
      <w:pPr>
        <w:spacing w:after="0" w:line="184" w:lineRule="exact"/>
        <w:rPr>
          <w:sz w:val="20"/>
          <w:szCs w:val="20"/>
          <w:color w:val="auto"/>
        </w:rPr>
      </w:pPr>
    </w:p>
    <w:p>
      <w:pPr>
        <w:ind w:left="1860" w:right="240" w:hanging="1943"/>
        <w:spacing w:after="0" w:line="308" w:lineRule="auto"/>
        <w:tabs>
          <w:tab w:leader="none" w:pos="18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7"/>
          <w:szCs w:val="17"/>
          <w:color w:val="auto"/>
        </w:rPr>
        <w:t>Subject to any Capitalization Adjustment, one Ordinary Share (or its cash equivalent, at the discretion of the Company) will be issued for each Performance Stock Unit that vests at the time set forth in Section 6 of the Award Agreement.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Performance Stock Unit Grant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Agreement and the Plan. Participant further acknowledges that as of the Date of Grant, this Performance Stock Unit Grant Notice, the Award Agreement and the Plan set forth the entire understanding between Participant and the Company regarding the acquisition of the Ordinary Shares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 As of the Date of Grant, this Award was subject to approval and ratification by the Company’s shareholders, which the Company acknowledges was obtained on September 7, 2023.</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Performance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7"/>
          </w:tcPr>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6920" w:type="dxa"/>
            <w:vAlign w:val="bottom"/>
            <w:gridSpan w:val="5"/>
          </w:tcPr>
          <w:p>
            <w:pPr>
              <w:ind w:left="29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r>
      <w:tr>
        <w:trPr>
          <w:trHeight w:val="391"/>
        </w:trPr>
        <w:tc>
          <w:tcPr>
            <w:tcW w:w="4320" w:type="dxa"/>
            <w:vAlign w:val="bottom"/>
            <w:gridSpan w:val="7"/>
          </w:tcPr>
          <w:p>
            <w:pPr>
              <w:spacing w:after="0"/>
              <w:rPr>
                <w:sz w:val="20"/>
                <w:szCs w:val="20"/>
                <w:color w:val="auto"/>
              </w:rPr>
            </w:pPr>
            <w:r>
              <w:rPr>
                <w:rFonts w:ascii="Arial" w:cs="Arial" w:eastAsia="Arial" w:hAnsi="Arial"/>
                <w:sz w:val="18"/>
                <w:szCs w:val="18"/>
                <w:color w:val="auto"/>
              </w:rPr>
              <w:t>By: /s/ Don Kim</w:t>
            </w:r>
          </w:p>
        </w:tc>
        <w:tc>
          <w:tcPr>
            <w:tcW w:w="6920" w:type="dxa"/>
            <w:vAlign w:val="bottom"/>
            <w:gridSpan w:val="5"/>
          </w:tcPr>
          <w:p>
            <w:pPr>
              <w:ind w:left="3040"/>
              <w:spacing w:after="0"/>
              <w:rPr>
                <w:sz w:val="20"/>
                <w:szCs w:val="20"/>
                <w:color w:val="auto"/>
              </w:rPr>
            </w:pPr>
            <w:r>
              <w:rPr>
                <w:rFonts w:ascii="Arial" w:cs="Arial" w:eastAsia="Arial" w:hAnsi="Arial"/>
                <w:sz w:val="18"/>
                <w:szCs w:val="18"/>
                <w:color w:val="auto"/>
              </w:rPr>
              <w:t>By: /s/ Elizabeth Barrett</w:t>
            </w:r>
          </w:p>
        </w:tc>
      </w:tr>
      <w:tr>
        <w:trPr>
          <w:trHeight w:val="20"/>
        </w:trPr>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4320" w:type="dxa"/>
            <w:vAlign w:val="bottom"/>
            <w:gridSpan w:val="7"/>
          </w:tcPr>
          <w:p>
            <w:pPr>
              <w:ind w:left="300"/>
              <w:spacing w:after="0"/>
              <w:rPr>
                <w:sz w:val="20"/>
                <w:szCs w:val="20"/>
                <w:color w:val="auto"/>
              </w:rPr>
            </w:pPr>
            <w:r>
              <w:rPr>
                <w:rFonts w:ascii="Arial" w:cs="Arial" w:eastAsia="Arial" w:hAnsi="Arial"/>
                <w:sz w:val="18"/>
                <w:szCs w:val="18"/>
                <w:color w:val="auto"/>
              </w:rPr>
              <w:t>Signature</w:t>
            </w:r>
          </w:p>
        </w:tc>
        <w:tc>
          <w:tcPr>
            <w:tcW w:w="3340" w:type="dxa"/>
            <w:vAlign w:val="bottom"/>
          </w:tcPr>
          <w:p>
            <w:pPr>
              <w:spacing w:after="0"/>
              <w:rPr>
                <w:sz w:val="20"/>
                <w:szCs w:val="20"/>
                <w:color w:val="auto"/>
              </w:rPr>
            </w:pPr>
          </w:p>
        </w:tc>
        <w:tc>
          <w:tcPr>
            <w:tcW w:w="3580" w:type="dxa"/>
            <w:vAlign w:val="bottom"/>
            <w:gridSpan w:val="4"/>
          </w:tcPr>
          <w:p>
            <w:pPr>
              <w:ind w:left="120"/>
              <w:spacing w:after="0"/>
              <w:rPr>
                <w:sz w:val="20"/>
                <w:szCs w:val="20"/>
                <w:color w:val="auto"/>
              </w:rPr>
            </w:pPr>
            <w:r>
              <w:rPr>
                <w:rFonts w:ascii="Arial" w:cs="Arial" w:eastAsia="Arial" w:hAnsi="Arial"/>
                <w:sz w:val="18"/>
                <w:szCs w:val="18"/>
                <w:color w:val="auto"/>
              </w:rPr>
              <w:t>Signature</w:t>
            </w:r>
          </w:p>
        </w:tc>
      </w:tr>
      <w:tr>
        <w:trPr>
          <w:trHeight w:val="391"/>
        </w:trPr>
        <w:tc>
          <w:tcPr>
            <w:tcW w:w="2120" w:type="dxa"/>
            <w:vAlign w:val="bottom"/>
            <w:gridSpan w:val="5"/>
          </w:tcPr>
          <w:p>
            <w:pPr>
              <w:spacing w:after="0"/>
              <w:rPr>
                <w:sz w:val="20"/>
                <w:szCs w:val="20"/>
                <w:color w:val="auto"/>
              </w:rPr>
            </w:pPr>
            <w:r>
              <w:rPr>
                <w:rFonts w:ascii="Arial" w:cs="Arial" w:eastAsia="Arial" w:hAnsi="Arial"/>
                <w:sz w:val="18"/>
                <w:szCs w:val="18"/>
                <w:color w:val="auto"/>
                <w:w w:val="94"/>
              </w:rPr>
              <w:t>Title: Chief Financial Officer</w:t>
            </w: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920" w:type="dxa"/>
            <w:vAlign w:val="bottom"/>
            <w:gridSpan w:val="5"/>
          </w:tcPr>
          <w:p>
            <w:pPr>
              <w:ind w:left="3060"/>
              <w:spacing w:after="0"/>
              <w:rPr>
                <w:sz w:val="20"/>
                <w:szCs w:val="20"/>
                <w:color w:val="auto"/>
              </w:rPr>
            </w:pPr>
            <w:r>
              <w:rPr>
                <w:rFonts w:ascii="Arial" w:cs="Arial" w:eastAsia="Arial" w:hAnsi="Arial"/>
                <w:sz w:val="18"/>
                <w:szCs w:val="18"/>
                <w:color w:val="auto"/>
              </w:rPr>
              <w:t>Date: 11/13/2023__________</w:t>
            </w:r>
          </w:p>
        </w:tc>
      </w:tr>
      <w:tr>
        <w:trPr>
          <w:trHeight w:val="412"/>
        </w:trPr>
        <w:tc>
          <w:tcPr>
            <w:tcW w:w="2120" w:type="dxa"/>
            <w:vAlign w:val="bottom"/>
            <w:gridSpan w:val="5"/>
          </w:tcPr>
          <w:p>
            <w:pPr>
              <w:spacing w:after="0"/>
              <w:rPr>
                <w:sz w:val="20"/>
                <w:szCs w:val="20"/>
                <w:color w:val="auto"/>
              </w:rPr>
            </w:pPr>
            <w:r>
              <w:rPr>
                <w:rFonts w:ascii="Arial" w:cs="Arial" w:eastAsia="Arial" w:hAnsi="Arial"/>
                <w:sz w:val="18"/>
                <w:szCs w:val="18"/>
                <w:color w:val="auto"/>
              </w:rPr>
              <w:t>Date: 11/13/2023</w:t>
            </w:r>
          </w:p>
        </w:tc>
        <w:tc>
          <w:tcPr>
            <w:tcW w:w="4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ind w:left="54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tc>
        <w:tc>
          <w:tcPr>
            <w:tcW w:w="6920" w:type="dxa"/>
            <w:vAlign w:val="bottom"/>
            <w:gridSpan w:val="5"/>
          </w:tcPr>
          <w:p>
            <w:pPr>
              <w:ind w:left="220"/>
              <w:spacing w:after="0"/>
              <w:rPr>
                <w:sz w:val="20"/>
                <w:szCs w:val="20"/>
                <w:color w:val="auto"/>
              </w:rPr>
            </w:pPr>
            <w:r>
              <w:rPr>
                <w:rFonts w:ascii="Arial" w:cs="Arial" w:eastAsia="Arial" w:hAnsi="Arial"/>
                <w:sz w:val="18"/>
                <w:szCs w:val="18"/>
                <w:color w:val="auto"/>
              </w:rPr>
              <w:t>Award Agreement and 2017 Equity Incentive Plan</w:t>
            </w:r>
          </w:p>
        </w:tc>
      </w:tr>
      <w:tr>
        <w:trPr>
          <w:trHeight w:val="790"/>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Performance-Based Restricted Stock Unit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Performance-Based Restricted Stock Unit Award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UroGen Pharma Ltd.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 Performance-Based Restricted Stock 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pursuant to the Company’s 2017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Performance-Based Restricted Stock Units (“Performance Stock Units”)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2" w:lineRule="exact"/>
        <w:rPr>
          <w:sz w:val="20"/>
          <w:szCs w:val="20"/>
          <w:color w:val="auto"/>
        </w:rPr>
      </w:pPr>
    </w:p>
    <w:p>
      <w:pPr>
        <w:ind w:right="100" w:firstLine="656"/>
        <w:spacing w:after="0" w:line="292" w:lineRule="auto"/>
        <w:tabs>
          <w:tab w:leader="none" w:pos="963"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Grant of the Award. </w:t>
      </w:r>
      <w:r>
        <w:rPr>
          <w:rFonts w:ascii="Arial" w:cs="Arial" w:eastAsia="Arial" w:hAnsi="Arial"/>
          <w:sz w:val="16"/>
          <w:szCs w:val="16"/>
          <w:color w:val="auto"/>
        </w:rPr>
        <w:t>This Award represents the right to be issued on a future date one (1) Ordinary Share for each Performance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the number of Performance Stock Units/Ordinary Shares subject to the Award. Notwithstanding the foregoing, the Company reserves the right to issue you the cash equivalent of Ordinary Shares, in part or in full satisfaction of the delivery of Ordinary Shares in connection with the vesting of the Performance Stock Units, and, to the extent applicable, references in this Agreement and the Grant Notice to Ordinary Shares issuable in connection with your Performance Stock Units will include the potential issuance of its cash equivalent pursuant to such right. This Award was granted in consideration of your services to the Company.</w:t>
      </w:r>
    </w:p>
    <w:p>
      <w:pPr>
        <w:spacing w:after="0" w:line="161" w:lineRule="exact"/>
        <w:rPr>
          <w:rFonts w:ascii="Arial" w:cs="Arial" w:eastAsia="Arial" w:hAnsi="Arial"/>
          <w:sz w:val="16"/>
          <w:szCs w:val="16"/>
          <w:color w:val="auto"/>
        </w:rPr>
      </w:pPr>
    </w:p>
    <w:p>
      <w:pPr>
        <w:ind w:right="100" w:firstLine="656"/>
        <w:spacing w:after="0" w:line="261"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if at all, in accordance with the vesting schedule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Vesting will cease upon the termination of your Continuous Service and the Performance Stock Units credited to the Account that were not vested on the date of such termination will be forfeited at no cost to the Company and you will have no further right, title or interest in or to such Award or the Ordinary Shares to be issued in respect of such portion of the Award.</w:t>
      </w:r>
    </w:p>
    <w:p>
      <w:pPr>
        <w:spacing w:after="0" w:line="179" w:lineRule="exact"/>
        <w:rPr>
          <w:rFonts w:ascii="Arial" w:cs="Arial" w:eastAsia="Arial" w:hAnsi="Arial"/>
          <w:sz w:val="18"/>
          <w:szCs w:val="18"/>
          <w:color w:val="auto"/>
        </w:rPr>
      </w:pPr>
    </w:p>
    <w:p>
      <w:pPr>
        <w:ind w:right="180" w:firstLine="656"/>
        <w:spacing w:after="0" w:line="256"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Performance Stock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Performance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Performance Stock Units and shares covered by your Award. Notwithstanding the provisions of this Section 3, no fractional shares or rights for fractional Ordinary Shares shall be created pursuant to this Section 3. Any fraction of a share will be rounded down to the nearest whole share.</w:t>
      </w:r>
    </w:p>
    <w:p>
      <w:pPr>
        <w:spacing w:after="0" w:line="187" w:lineRule="exact"/>
        <w:rPr>
          <w:rFonts w:ascii="Arial" w:cs="Arial" w:eastAsia="Arial" w:hAnsi="Arial"/>
          <w:sz w:val="18"/>
          <w:szCs w:val="18"/>
          <w:color w:val="auto"/>
        </w:rPr>
      </w:pPr>
    </w:p>
    <w:p>
      <w:pPr>
        <w:ind w:right="280" w:firstLine="656"/>
        <w:spacing w:after="0" w:line="258"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You may not be issued any Ordinary Shares under your Award unless the Ordinary Shares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Ordinary Shares if the Company determines that such receipt would not be in material compliance with such laws and regulations.</w:t>
      </w:r>
    </w:p>
    <w:p>
      <w:pPr>
        <w:spacing w:after="0" w:line="183" w:lineRule="exact"/>
        <w:rPr>
          <w:rFonts w:ascii="Arial" w:cs="Arial" w:eastAsia="Arial" w:hAnsi="Arial"/>
          <w:sz w:val="18"/>
          <w:szCs w:val="18"/>
          <w:color w:val="auto"/>
        </w:rPr>
      </w:pPr>
    </w:p>
    <w:p>
      <w:pPr>
        <w:ind w:right="60" w:firstLine="656"/>
        <w:spacing w:after="0" w:line="261"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Prior to the time that Ordinary Shares have been delivered to you, you may not transfer, pledge, sell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this Award or the shares issuable in respect of your Award, except as expressly provided in this Section 5. For example, you may not use shares that may be issued in respect of your Performance Stock Units as security for a loan. The restrictions on transfer set forth herein will lapse upon delivery to you of shares in respect of your vested Performance Stock Units.</w:t>
      </w:r>
    </w:p>
    <w:p>
      <w:pPr>
        <w:spacing w:after="0" w:line="179" w:lineRule="exact"/>
        <w:rPr>
          <w:rFonts w:ascii="Arial" w:cs="Arial" w:eastAsia="Arial" w:hAnsi="Arial"/>
          <w:sz w:val="18"/>
          <w:szCs w:val="18"/>
          <w:color w:val="auto"/>
        </w:rPr>
      </w:pPr>
    </w:p>
    <w:p>
      <w:pPr>
        <w:ind w:right="40" w:firstLine="1304"/>
        <w:spacing w:after="0" w:line="266" w:lineRule="auto"/>
        <w:tabs>
          <w:tab w:leader="none" w:pos="1675"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and your executor or administrator of your estate shall be entitled to receive, on behalf of your estate, any Ordinary Shares or other consideration that vested but was not issued before your death.</w:t>
      </w:r>
    </w:p>
    <w:p>
      <w:pPr>
        <w:spacing w:after="0" w:line="175" w:lineRule="exact"/>
        <w:rPr>
          <w:rFonts w:ascii="Arial" w:cs="Arial" w:eastAsia="Arial" w:hAnsi="Arial"/>
          <w:sz w:val="18"/>
          <w:szCs w:val="18"/>
          <w:color w:val="auto"/>
        </w:rPr>
      </w:pPr>
    </w:p>
    <w:p>
      <w:pPr>
        <w:ind w:right="100" w:firstLine="1304"/>
        <w:spacing w:after="0" w:line="255" w:lineRule="auto"/>
        <w:tabs>
          <w:tab w:leader="none" w:pos="1686"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designated transferee enter into transfer and other agreements required by the Company, you may transfer your right to receive the distribution of Ordinary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Date of Issuance.</w:t>
      </w:r>
    </w:p>
    <w:p>
      <w:pPr>
        <w:spacing w:after="0" w:line="229" w:lineRule="exact"/>
        <w:rPr>
          <w:rFonts w:ascii="Arial" w:cs="Arial" w:eastAsia="Arial" w:hAnsi="Arial"/>
          <w:sz w:val="18"/>
          <w:szCs w:val="18"/>
          <w:color w:val="auto"/>
        </w:rPr>
      </w:pPr>
    </w:p>
    <w:p>
      <w:pPr>
        <w:ind w:right="100" w:firstLine="1304"/>
        <w:spacing w:after="0" w:line="275" w:lineRule="auto"/>
        <w:tabs>
          <w:tab w:leader="none" w:pos="167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issuance of shares in respect of the Performance Stock Units is intended to comply with Treasury Regulations Section 1.409A-1(b)(4) and will be construed and administered in such a manner. Subject to the satisfaction of the Withholding Obligation set forth in Section 11 of this Agreement, in the event one or more Performance Stock Units vests, the Company shall issue to you one (1) Ordinary Share for each Performance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700" w:hanging="396"/>
        <w:spacing w:after="0"/>
        <w:tabs>
          <w:tab w:leader="none" w:pos="17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the Original Issuance Date falls on a date that is not a business day, delivery shall instead occur on the next following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 In addition, if:</w:t>
      </w:r>
    </w:p>
    <w:p>
      <w:pPr>
        <w:spacing w:after="0" w:line="210" w:lineRule="exact"/>
        <w:rPr>
          <w:rFonts w:ascii="Arial" w:cs="Arial" w:eastAsia="Arial" w:hAnsi="Arial"/>
          <w:sz w:val="16"/>
          <w:szCs w:val="16"/>
          <w:color w:val="auto"/>
        </w:rPr>
      </w:pPr>
    </w:p>
    <w:p>
      <w:pPr>
        <w:ind w:right="160" w:firstLine="1952"/>
        <w:spacing w:after="0" w:line="257" w:lineRule="auto"/>
        <w:tabs>
          <w:tab w:leader="none" w:pos="2294"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Ordinary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ectPr>
          <w:pgSz w:w="11900" w:h="16838" w:orient="portrait"/>
          <w:cols w:equalWidth="0" w:num="1">
            <w:col w:w="11240"/>
          </w:cols>
          <w:pgMar w:left="320" w:top="580" w:right="339" w:bottom="109" w:gutter="0" w:footer="0" w:header="0"/>
        </w:sectPr>
      </w:pPr>
    </w:p>
    <w:bookmarkStart w:id="121" w:name="page122"/>
    <w:bookmarkEnd w:id="121"/>
    <w:p>
      <w:pPr>
        <w:ind w:firstLine="656"/>
        <w:spacing w:after="0" w:line="269" w:lineRule="auto"/>
        <w:tabs>
          <w:tab w:leader="none" w:pos="10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either (1) a Withholding Obligation does not apply, or (2) the Company decides, prior to the Original Issuance Date, (A) not to satisfy the Withholding Obligation by withholding Ordinary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the Company’s Ordinary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Ordinary Shares under this Award are no longer subject to a “substantial risk of forfeiture” within the meaning of Treasury Regulations Section 1.409A-1(d).</w:t>
      </w:r>
    </w:p>
    <w:p>
      <w:pPr>
        <w:spacing w:after="0" w:line="185" w:lineRule="exact"/>
        <w:rPr>
          <w:rFonts w:ascii="Arial" w:cs="Arial" w:eastAsia="Arial" w:hAnsi="Arial"/>
          <w:sz w:val="17"/>
          <w:szCs w:val="17"/>
          <w:color w:val="auto"/>
        </w:rPr>
      </w:pPr>
    </w:p>
    <w:p>
      <w:pPr>
        <w:ind w:left="1680" w:hanging="376"/>
        <w:spacing w:after="0"/>
        <w:tabs>
          <w:tab w:leader="none" w:pos="16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form of delivery (</w:t>
      </w:r>
      <w:r>
        <w:rPr>
          <w:rFonts w:ascii="Arial" w:cs="Arial" w:eastAsia="Arial" w:hAnsi="Arial"/>
          <w:sz w:val="17"/>
          <w:szCs w:val="17"/>
          <w:i w:val="1"/>
          <w:iCs w:val="1"/>
          <w:color w:val="auto"/>
        </w:rPr>
        <w:t>e.g.</w:t>
      </w:r>
      <w:r>
        <w:rPr>
          <w:rFonts w:ascii="Arial" w:cs="Arial" w:eastAsia="Arial" w:hAnsi="Arial"/>
          <w:sz w:val="17"/>
          <w:szCs w:val="17"/>
          <w:color w:val="auto"/>
        </w:rPr>
        <w:t>, a stock certificate or electronic entry evidencing such shares) shall be determined by the Company.</w:t>
      </w:r>
    </w:p>
    <w:p>
      <w:pPr>
        <w:spacing w:after="0" w:line="233" w:lineRule="exact"/>
        <w:rPr>
          <w:sz w:val="20"/>
          <w:szCs w:val="20"/>
          <w:color w:val="auto"/>
        </w:rPr>
      </w:pPr>
    </w:p>
    <w:p>
      <w:pPr>
        <w:ind w:right="220" w:firstLine="656"/>
        <w:spacing w:after="0" w:line="266" w:lineRule="auto"/>
        <w:tabs>
          <w:tab w:leader="none" w:pos="963"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shall receive no benefit or adjustment to your Award with respect to any cash dividend, stock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does not result from a Capitalization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sentence will not apply with respect to any Ordinary Shares that are delivered to you in connection with your Award after such shares have been delivered to you.</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Restrictive Legends. </w:t>
      </w:r>
      <w:r>
        <w:rPr>
          <w:rFonts w:ascii="Arial" w:cs="Arial" w:eastAsia="Arial" w:hAnsi="Arial"/>
          <w:sz w:val="16"/>
          <w:szCs w:val="16"/>
          <w:color w:val="auto"/>
        </w:rPr>
        <w:t>The Ordinary Shares issued in respect of your Award shall be endorsed with appropriate legends as determined by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6" w:lineRule="exact"/>
        <w:rPr>
          <w:rFonts w:ascii="Arial" w:cs="Arial" w:eastAsia="Arial" w:hAnsi="Arial"/>
          <w:sz w:val="16"/>
          <w:szCs w:val="16"/>
          <w:color w:val="auto"/>
        </w:rPr>
      </w:pPr>
    </w:p>
    <w:p>
      <w:pPr>
        <w:ind w:right="40" w:firstLine="656"/>
        <w:spacing w:after="0" w:line="314" w:lineRule="auto"/>
        <w:tabs>
          <w:tab w:leader="none" w:pos="963" w:val="left"/>
        </w:tabs>
        <w:numPr>
          <w:ilvl w:val="1"/>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Execution of Documents. </w:t>
      </w:r>
      <w:r>
        <w:rPr>
          <w:rFonts w:ascii="Arial" w:cs="Arial" w:eastAsia="Arial" w:hAnsi="Arial"/>
          <w:sz w:val="16"/>
          <w:szCs w:val="16"/>
          <w:color w:val="auto"/>
        </w:rPr>
        <w:t>You hereby acknowledge and agree that the manner selected by the Company by which you indicate your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41" w:lineRule="exact"/>
        <w:rPr>
          <w:rFonts w:ascii="Arial" w:cs="Arial" w:eastAsia="Arial" w:hAnsi="Arial"/>
          <w:sz w:val="16"/>
          <w:szCs w:val="16"/>
          <w:color w:val="auto"/>
        </w:rPr>
      </w:pPr>
    </w:p>
    <w:p>
      <w:pPr>
        <w:ind w:left="1060" w:hanging="404"/>
        <w:spacing w:after="0"/>
        <w:tabs>
          <w:tab w:leader="none" w:pos="106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Award not a Service Contract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54" w:lineRule="auto"/>
        <w:tabs>
          <w:tab w:leader="none" w:pos="1676" w:val="left"/>
        </w:tabs>
        <w:numPr>
          <w:ilvl w:val="2"/>
          <w:numId w:val="74"/>
        </w:numPr>
        <w:rPr>
          <w:rFonts w:ascii="Arial" w:cs="Arial" w:eastAsia="Arial" w:hAnsi="Arial"/>
          <w:sz w:val="18"/>
          <w:szCs w:val="18"/>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4" w:lineRule="exact"/>
        <w:rPr>
          <w:rFonts w:ascii="Arial" w:cs="Arial" w:eastAsia="Arial" w:hAnsi="Arial"/>
          <w:sz w:val="18"/>
          <w:szCs w:val="18"/>
          <w:color w:val="auto"/>
        </w:rPr>
      </w:pPr>
    </w:p>
    <w:p>
      <w:pPr>
        <w:ind w:firstLine="1304"/>
        <w:spacing w:after="0" w:line="287" w:lineRule="auto"/>
        <w:tabs>
          <w:tab w:leader="none" w:pos="1686" w:val="left"/>
        </w:tabs>
        <w:numPr>
          <w:ilvl w:val="2"/>
          <w:numId w:val="74"/>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67" w:lineRule="exact"/>
        <w:rPr>
          <w:rFonts w:ascii="Arial" w:cs="Arial" w:eastAsia="Arial" w:hAnsi="Arial"/>
          <w:sz w:val="16"/>
          <w:szCs w:val="16"/>
          <w:color w:val="auto"/>
        </w:rPr>
      </w:pPr>
    </w:p>
    <w:p>
      <w:pPr>
        <w:ind w:left="1060" w:hanging="404"/>
        <w:spacing w:after="0"/>
        <w:tabs>
          <w:tab w:leader="none" w:pos="106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Withholding Obligation.</w:t>
      </w:r>
    </w:p>
    <w:p>
      <w:pPr>
        <w:spacing w:after="0" w:line="229" w:lineRule="exact"/>
        <w:rPr>
          <w:rFonts w:ascii="Arial" w:cs="Arial" w:eastAsia="Arial" w:hAnsi="Arial"/>
          <w:sz w:val="18"/>
          <w:szCs w:val="18"/>
          <w:color w:val="auto"/>
        </w:rPr>
      </w:pPr>
    </w:p>
    <w:p>
      <w:pPr>
        <w:jc w:val="both"/>
        <w:ind w:firstLine="1304"/>
        <w:spacing w:after="0" w:line="257" w:lineRule="auto"/>
        <w:tabs>
          <w:tab w:leader="none" w:pos="1924" w:val="left"/>
        </w:tabs>
        <w:numPr>
          <w:ilvl w:val="2"/>
          <w:numId w:val="74"/>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Ordinary Shares in respect of your Performance Stock Units, and at any other time as reasonably requested by the Company in accordance with applicable tax laws, you hereby authorize any required withholding from the Ordinary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1947" w:val="left"/>
        </w:tabs>
        <w:numPr>
          <w:ilvl w:val="2"/>
          <w:numId w:val="74"/>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Performance Stock Units by any of the following means or by a combination of such means: (i) causing you to pay any portion of the Withholding Obligation in cash; (ii) withholding from any compensation otherwise payable to you by the Company;</w:t>
      </w:r>
    </w:p>
    <w:p>
      <w:pPr>
        <w:spacing w:after="0" w:line="2" w:lineRule="exact"/>
        <w:rPr>
          <w:rFonts w:ascii="Arial" w:cs="Arial" w:eastAsia="Arial" w:hAnsi="Arial"/>
          <w:sz w:val="16"/>
          <w:szCs w:val="16"/>
          <w:color w:val="auto"/>
        </w:rPr>
      </w:pPr>
    </w:p>
    <w:p>
      <w:pPr>
        <w:jc w:val="both"/>
        <w:ind w:firstLine="8"/>
        <w:spacing w:after="0" w:line="267" w:lineRule="auto"/>
        <w:tabs>
          <w:tab w:leader="none" w:pos="331"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withholding Ordinary Shares from the Ordinary Shares issued or otherwise issuable to you in connection with the Award with a Fair Market Value (measured as of the date Ordinary Shares are issued pursuant to Section 6) equal to the amount of such Withholding Obligation;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Ordinary Shares are withheld with a value exceeding the minimum amount of tax required to be withheld by law (or such lesser amount as may be necessary to avoid classification of the Award as a liability for financial accounting purposes);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pursuant to this authorization and without further consent, whereby you irrevocably elect to sell a portion of the shares to be delivered in connection with your Performance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Ordinary Shares or any other consideration pursuant to this Award.</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2083" w:val="left"/>
        </w:tabs>
        <w:numPr>
          <w:ilvl w:val="2"/>
          <w:numId w:val="75"/>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Ordinary Shares or it is determined after the delivery of Ordinary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color w:val="auto"/>
        </w:rPr>
      </w:pPr>
    </w:p>
    <w:p>
      <w:pPr>
        <w:jc w:val="both"/>
        <w:ind w:firstLine="656"/>
        <w:spacing w:after="0" w:line="314" w:lineRule="auto"/>
        <w:tabs>
          <w:tab w:leader="none" w:pos="1053"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Tax Consequences. </w:t>
      </w:r>
      <w:r>
        <w:rPr>
          <w:rFonts w:ascii="Arial" w:cs="Arial" w:eastAsia="Arial" w:hAnsi="Arial"/>
          <w:sz w:val="16"/>
          <w:szCs w:val="16"/>
          <w:color w:val="auto"/>
        </w:rPr>
        <w:t>The Company has no duty or obligation to minimize the tax consequences to you of this Award and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w:t>
      </w:r>
    </w:p>
    <w:p>
      <w:pPr>
        <w:sectPr>
          <w:pgSz w:w="11900" w:h="16838" w:orient="portrait"/>
          <w:cols w:equalWidth="0" w:num="1">
            <w:col w:w="11240"/>
          </w:cols>
          <w:pgMar w:left="320" w:top="125" w:right="339" w:bottom="0" w:gutter="0" w:footer="0" w:header="0"/>
        </w:sectPr>
      </w:pPr>
    </w:p>
    <w:bookmarkStart w:id="122" w:name="page123"/>
    <w:bookmarkEnd w:id="122"/>
    <w:p>
      <w:pPr>
        <w:ind w:right="180"/>
        <w:spacing w:after="0" w:line="277" w:lineRule="auto"/>
        <w:rPr>
          <w:sz w:val="20"/>
          <w:szCs w:val="20"/>
          <w:color w:val="auto"/>
        </w:rPr>
      </w:pPr>
      <w:r>
        <w:rPr>
          <w:rFonts w:ascii="Arial" w:cs="Arial" w:eastAsia="Arial" w:hAnsi="Arial"/>
          <w:sz w:val="18"/>
          <w:szCs w:val="18"/>
          <w:color w:val="auto"/>
        </w:rPr>
        <w:t>and voluntarily declined to do so. You understand that you (and not the Company) shall be responsible for your own tax liability that may arise as a result of this investment or the transactions contemplated by this Agreement.</w:t>
      </w:r>
    </w:p>
    <w:p>
      <w:pPr>
        <w:spacing w:after="0" w:line="166" w:lineRule="exact"/>
        <w:rPr>
          <w:sz w:val="20"/>
          <w:szCs w:val="20"/>
          <w:color w:val="auto"/>
        </w:rPr>
      </w:pPr>
    </w:p>
    <w:p>
      <w:pPr>
        <w:ind w:right="40" w:firstLine="656"/>
        <w:spacing w:after="0" w:line="256"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 unsecured creditor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7" w:lineRule="exact"/>
        <w:rPr>
          <w:rFonts w:ascii="Arial" w:cs="Arial" w:eastAsia="Arial" w:hAnsi="Arial"/>
          <w:sz w:val="18"/>
          <w:szCs w:val="18"/>
          <w:color w:val="auto"/>
        </w:rPr>
      </w:pPr>
    </w:p>
    <w:p>
      <w:pPr>
        <w:ind w:right="100" w:firstLine="656"/>
        <w:spacing w:after="0" w:line="274" w:lineRule="auto"/>
        <w:tabs>
          <w:tab w:leader="none" w:pos="1053"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request required or permitted hereunder shall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color w:val="auto"/>
        </w:rPr>
      </w:pPr>
    </w:p>
    <w:p>
      <w:pPr>
        <w:ind w:right="160" w:firstLine="656"/>
        <w:spacing w:after="0" w:line="282"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in this Agreement are inserted for convenience only and shall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meaning of this Agreement.</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0" w:firstLine="1304"/>
        <w:spacing w:after="0" w:line="342" w:lineRule="auto"/>
        <w:tabs>
          <w:tab w:leader="none" w:pos="1676"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23" w:lineRule="exact"/>
        <w:rPr>
          <w:rFonts w:ascii="Arial" w:cs="Arial" w:eastAsia="Arial" w:hAnsi="Arial"/>
          <w:sz w:val="16"/>
          <w:szCs w:val="16"/>
          <w:color w:val="auto"/>
        </w:rPr>
      </w:pPr>
    </w:p>
    <w:p>
      <w:pPr>
        <w:ind w:right="400" w:firstLine="1304"/>
        <w:spacing w:after="0" w:line="277" w:lineRule="auto"/>
        <w:tabs>
          <w:tab w:leader="none" w:pos="16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70" w:lineRule="exact"/>
        <w:rPr>
          <w:rFonts w:ascii="Arial" w:cs="Arial" w:eastAsia="Arial" w:hAnsi="Arial"/>
          <w:sz w:val="18"/>
          <w:szCs w:val="18"/>
          <w:color w:val="auto"/>
        </w:rPr>
      </w:pPr>
    </w:p>
    <w:p>
      <w:pPr>
        <w:ind w:right="440" w:firstLine="1304"/>
        <w:spacing w:after="0" w:line="277" w:lineRule="auto"/>
        <w:tabs>
          <w:tab w:leader="none" w:pos="16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8"/>
          <w:szCs w:val="18"/>
          <w:color w:val="auto"/>
        </w:rPr>
      </w:pPr>
    </w:p>
    <w:p>
      <w:pPr>
        <w:ind w:right="140" w:firstLine="1304"/>
        <w:spacing w:after="0" w:line="277" w:lineRule="auto"/>
        <w:tabs>
          <w:tab w:leader="none" w:pos="16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right="40" w:firstLine="1304"/>
        <w:spacing w:after="0" w:line="263" w:lineRule="auto"/>
        <w:tabs>
          <w:tab w:leader="none" w:pos="16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ind w:right="120" w:firstLine="656"/>
        <w:spacing w:after="0" w:line="255"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8" w:lineRule="exact"/>
        <w:rPr>
          <w:rFonts w:ascii="Arial" w:cs="Arial" w:eastAsia="Arial" w:hAnsi="Arial"/>
          <w:sz w:val="18"/>
          <w:szCs w:val="18"/>
          <w:color w:val="auto"/>
        </w:rPr>
      </w:pPr>
    </w:p>
    <w:p>
      <w:pPr>
        <w:ind w:right="160" w:firstLine="656"/>
        <w:spacing w:after="0" w:line="261"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the Award subject to this Agreement shall not be included as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9" w:lineRule="exact"/>
        <w:rPr>
          <w:rFonts w:ascii="Arial" w:cs="Arial" w:eastAsia="Arial" w:hAnsi="Arial"/>
          <w:sz w:val="18"/>
          <w:szCs w:val="18"/>
          <w:color w:val="auto"/>
        </w:rPr>
      </w:pPr>
    </w:p>
    <w:p>
      <w:pPr>
        <w:jc w:val="both"/>
        <w:ind w:firstLine="656"/>
        <w:spacing w:after="0" w:line="261"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Agreement or the Plan is declared by any court or governmental authority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9" w:lineRule="exact"/>
        <w:rPr>
          <w:rFonts w:ascii="Arial" w:cs="Arial" w:eastAsia="Arial" w:hAnsi="Arial"/>
          <w:sz w:val="18"/>
          <w:szCs w:val="18"/>
          <w:color w:val="auto"/>
        </w:rPr>
      </w:pPr>
    </w:p>
    <w:p>
      <w:pPr>
        <w:ind w:firstLine="656"/>
        <w:spacing w:after="0" w:line="266"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You hereby acknowledge receipt or the right to receive a document providing the information required by Rule 428(b)(1)</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5" w:lineRule="exact"/>
        <w:rPr>
          <w:rFonts w:ascii="Arial" w:cs="Arial" w:eastAsia="Arial" w:hAnsi="Arial"/>
          <w:sz w:val="18"/>
          <w:szCs w:val="18"/>
          <w:color w:val="auto"/>
        </w:rPr>
      </w:pPr>
    </w:p>
    <w:p>
      <w:pPr>
        <w:ind w:right="20" w:firstLine="656"/>
        <w:spacing w:after="0" w:line="254" w:lineRule="auto"/>
        <w:tabs>
          <w:tab w:leader="none" w:pos="105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Agreement may not be modified, amended or terminated except by an instrument in writing, signed by you and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91" w:lineRule="exact"/>
        <w:rPr>
          <w:rFonts w:ascii="Arial" w:cs="Arial" w:eastAsia="Arial" w:hAnsi="Arial"/>
          <w:sz w:val="18"/>
          <w:szCs w:val="18"/>
          <w:color w:val="auto"/>
        </w:rPr>
      </w:pPr>
    </w:p>
    <w:p>
      <w:pPr>
        <w:ind w:right="60" w:firstLine="656"/>
        <w:spacing w:after="0" w:line="292" w:lineRule="auto"/>
        <w:tabs>
          <w:tab w:leader="none" w:pos="1053"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is intended to be exempt from the application of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w:t>
      </w:r>
    </w:p>
    <w:p>
      <w:pPr>
        <w:sectPr>
          <w:pgSz w:w="11900" w:h="16838" w:orient="portrait"/>
          <w:cols w:equalWidth="0" w:num="1">
            <w:col w:w="11240"/>
          </w:cols>
          <w:pgMar w:left="320" w:top="125" w:right="339" w:bottom="0" w:gutter="0" w:footer="0" w:header="0"/>
        </w:sectPr>
      </w:pPr>
    </w:p>
    <w:bookmarkStart w:id="123" w:name="page124"/>
    <w:bookmarkEnd w:id="123"/>
    <w:p>
      <w:pPr>
        <w:ind w:right="200"/>
        <w:spacing w:after="0" w:line="296" w:lineRule="auto"/>
        <w:rPr>
          <w:sz w:val="20"/>
          <w:szCs w:val="20"/>
          <w:color w:val="auto"/>
        </w:rPr>
      </w:pPr>
      <w:r>
        <w:rPr>
          <w:rFonts w:ascii="Arial" w:cs="Arial" w:eastAsia="Arial" w:hAnsi="Arial"/>
          <w:sz w:val="16"/>
          <w:szCs w:val="16"/>
          <w:color w:val="auto"/>
        </w:rPr>
        <w:t>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This Performance Stock Unit Award Agreement shall be deemed to be signed by the Company and the Participant upon the signing by the Participant of the Performance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w:t>
      </w:r>
      <w:r>
        <w:rPr>
          <w:rFonts w:ascii="Arial" w:cs="Arial" w:eastAsia="Arial" w:hAnsi="Arial"/>
          <w:sz w:val="18"/>
          <w:szCs w:val="18"/>
          <w:b w:val="1"/>
          <w:bCs w:val="1"/>
          <w:color w:val="auto"/>
        </w:rPr>
        <w:t xml:space="preserve"> II</w:t>
      </w:r>
    </w:p>
    <w:p>
      <w:pPr>
        <w:spacing w:after="0" w:line="200" w:lineRule="exact"/>
        <w:rPr>
          <w:sz w:val="20"/>
          <w:szCs w:val="20"/>
          <w:color w:val="auto"/>
        </w:rPr>
      </w:pPr>
    </w:p>
    <w:p>
      <w:pPr>
        <w:spacing w:after="0" w:line="24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UROGEN PHARMA LTD.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2017 EQUITY INCENTIVE PLAN</w:t>
      </w:r>
    </w:p>
    <w:p>
      <w:pPr>
        <w:sectPr>
          <w:pgSz w:w="11900" w:h="16838" w:orient="portrait"/>
          <w:cols w:equalWidth="0" w:num="1">
            <w:col w:w="9019"/>
          </w:cols>
          <w:pgMar w:left="1440" w:top="796"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 Elizabeth Barrett, certify that:</w:t>
      </w:r>
    </w:p>
    <w:p>
      <w:pPr>
        <w:spacing w:after="0" w:line="198"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4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60" w:hanging="332"/>
        <w:spacing w:after="0" w:line="289"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left="340" w:right="140" w:hanging="332"/>
        <w:spacing w:after="0" w:line="255"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6" w:lineRule="exact"/>
        <w:rPr>
          <w:rFonts w:ascii="Arial" w:cs="Arial" w:eastAsia="Arial" w:hAnsi="Arial"/>
          <w:sz w:val="17"/>
          <w:szCs w:val="17"/>
          <w:color w:val="auto"/>
        </w:rPr>
      </w:pPr>
    </w:p>
    <w:p>
      <w:pPr>
        <w:ind w:left="660" w:right="60" w:hanging="328"/>
        <w:spacing w:after="0" w:line="24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660" w:right="140" w:hanging="328"/>
        <w:spacing w:after="0" w:line="24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660" w:right="80" w:hanging="328"/>
        <w:spacing w:after="0" w:line="24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60" w:right="400" w:hanging="328"/>
        <w:spacing w:after="0" w:line="24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4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right="260" w:hanging="328"/>
        <w:spacing w:after="0" w:line="260"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8"/>
          <w:szCs w:val="18"/>
          <w:color w:val="auto"/>
        </w:rPr>
      </w:pPr>
    </w:p>
    <w:p>
      <w:pPr>
        <w:ind w:left="660" w:right="500" w:hanging="328"/>
        <w:spacing w:after="0" w:line="260"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33515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Elizabeth Barrett</w:t>
      </w:r>
    </w:p>
    <w:p>
      <w:pPr>
        <w:jc w:val="center"/>
        <w:ind w:left="594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 Don Kim, certify that:</w:t>
      </w:r>
    </w:p>
    <w:p>
      <w:pPr>
        <w:spacing w:after="0" w:line="198"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4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60" w:hanging="332"/>
        <w:spacing w:after="0" w:line="289"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left="340" w:right="140" w:hanging="332"/>
        <w:spacing w:after="0" w:line="255"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6" w:lineRule="exact"/>
        <w:rPr>
          <w:rFonts w:ascii="Arial" w:cs="Arial" w:eastAsia="Arial" w:hAnsi="Arial"/>
          <w:sz w:val="17"/>
          <w:szCs w:val="17"/>
          <w:color w:val="auto"/>
        </w:rPr>
      </w:pPr>
    </w:p>
    <w:p>
      <w:pPr>
        <w:ind w:left="660" w:right="60" w:hanging="328"/>
        <w:spacing w:after="0" w:line="24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660" w:right="140" w:hanging="328"/>
        <w:spacing w:after="0" w:line="24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660" w:right="80" w:hanging="328"/>
        <w:spacing w:after="0" w:line="24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60" w:right="400" w:hanging="328"/>
        <w:spacing w:after="0" w:line="24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4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right="260" w:hanging="328"/>
        <w:spacing w:after="0" w:line="260"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8"/>
          <w:szCs w:val="18"/>
          <w:color w:val="auto"/>
        </w:rPr>
      </w:pPr>
    </w:p>
    <w:p>
      <w:pPr>
        <w:ind w:left="660" w:right="500" w:hanging="328"/>
        <w:spacing w:after="0" w:line="260"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20" w:val="left"/>
          <w:tab w:leader="none" w:pos="81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3351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Don Kim</w:t>
      </w:r>
    </w:p>
    <w:p>
      <w:pPr>
        <w:jc w:val="center"/>
        <w:ind w:left="594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jc w:val="both"/>
        <w:ind w:right="120" w:firstLine="648"/>
        <w:spacing w:after="0" w:line="247"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September 30, 2023 as filed with the Securities and Exchange Commission on the date hereof (the “Report”), I, Elizabeth Barrett, Chief Executive Officer of the Company,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6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9"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3351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Elizabeth Barrett</w:t>
      </w:r>
    </w:p>
    <w:p>
      <w:pPr>
        <w:jc w:val="center"/>
        <w:ind w:left="594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September 30, 2023 as filed with the Securities and Exchange Commission on the date hereof (the “Report”), I, Don Kim, Chief Financial Officer of the Company,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60"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9" w:lineRule="exact"/>
        <w:rPr>
          <w:sz w:val="20"/>
          <w:szCs w:val="20"/>
          <w:color w:val="auto"/>
        </w:rPr>
      </w:pPr>
    </w:p>
    <w:p>
      <w:pPr>
        <w:spacing w:after="0"/>
        <w:tabs>
          <w:tab w:leader="none" w:pos="5620" w:val="left"/>
          <w:tab w:leader="none" w:pos="81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3351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Don Kim</w:t>
      </w:r>
    </w:p>
    <w:p>
      <w:pPr>
        <w:jc w:val="center"/>
        <w:ind w:left="594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decimal"/>
      <w:start w:val="4"/>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upperLetter"/>
      <w:start w:val="35"/>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235BA861"/>
    <w:multiLevelType w:val="hybridMultilevel"/>
    <w:lvl w:ilvl="0">
      <w:lvlJc w:val="left"/>
      <w:lvlText w:val="%1."/>
      <w:numFmt w:val="lowerRoman"/>
      <w:start w:val="8"/>
    </w:lvl>
  </w:abstractNum>
  <w:abstractNum w:abstractNumId="36">
    <w:nsid w:val="47398C89"/>
    <w:multiLevelType w:val="hybridMultilevel"/>
    <w:lvl w:ilvl="0">
      <w:lvlJc w:val="left"/>
      <w:lvlText w:val="%1"/>
      <w:numFmt w:val="decimal"/>
      <w:start w:val="1"/>
    </w:lvl>
    <w:lvl w:ilvl="1">
      <w:lvlJc w:val="left"/>
      <w:lvlText w:val="(%2)"/>
      <w:numFmt w:val="lowerLetter"/>
      <w:start w:val="4"/>
    </w:lvl>
  </w:abstractNum>
  <w:abstractNum w:abstractNumId="37">
    <w:nsid w:val="354FE9F9"/>
    <w:multiLevelType w:val="hybridMultilevel"/>
    <w:lvl w:ilvl="0">
      <w:lvlJc w:val="left"/>
      <w:lvlText w:val="%1."/>
      <w:numFmt w:val="decimal"/>
      <w:start w:val="3"/>
    </w:lvl>
    <w:lvl w:ilvl="1">
      <w:lvlJc w:val="left"/>
      <w:lvlText w:val="(%2)"/>
      <w:numFmt w:val="lowerLetter"/>
      <w:start w:val="1"/>
    </w:lvl>
  </w:abstractNum>
  <w:abstractNum w:abstractNumId="38">
    <w:nsid w:val="15B5AF5C"/>
    <w:multiLevelType w:val="hybridMultilevel"/>
    <w:lvl w:ilvl="0">
      <w:lvlJc w:val="left"/>
      <w:lvlText w:val="(%1)"/>
      <w:numFmt w:val="lowerLetter"/>
      <w:start w:val="4"/>
    </w:lvl>
  </w:abstractNum>
  <w:abstractNum w:abstractNumId="39">
    <w:nsid w:val="741226BB"/>
    <w:multiLevelType w:val="hybridMultilevel"/>
    <w:lvl w:ilvl="0">
      <w:lvlJc w:val="left"/>
      <w:lvlText w:val="%1"/>
      <w:numFmt w:val="decimal"/>
      <w:start w:val="1"/>
    </w:lvl>
    <w:lvl w:ilvl="1">
      <w:lvlJc w:val="left"/>
      <w:lvlText w:val="(%2)"/>
      <w:numFmt w:val="lowerLetter"/>
      <w:start w:val="5"/>
    </w:lvl>
  </w:abstractNum>
  <w:abstractNum w:abstractNumId="40">
    <w:nsid w:val="D34B6A8"/>
    <w:multiLevelType w:val="hybridMultilevel"/>
    <w:lvl w:ilvl="0">
      <w:lvlJc w:val="left"/>
      <w:lvlText w:val="%1."/>
      <w:numFmt w:val="decimal"/>
      <w:start w:val="4"/>
    </w:lvl>
    <w:lvl w:ilvl="1">
      <w:lvlJc w:val="left"/>
      <w:lvlText w:val="(%2)"/>
      <w:numFmt w:val="lowerLetter"/>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4"/>
    </w:lvl>
  </w:abstractNum>
  <w:abstractNum w:abstractNumId="43">
    <w:nsid w:val="61574095"/>
    <w:multiLevelType w:val="hybridMultilevel"/>
    <w:lvl w:ilvl="0">
      <w:lvlJc w:val="left"/>
      <w:lvlText w:val="(%1)"/>
      <w:numFmt w:val="lowerLetter"/>
      <w:start w:val="6"/>
    </w:lvl>
  </w:abstractNum>
  <w:abstractNum w:abstractNumId="44">
    <w:nsid w:val="7E0C57B1"/>
    <w:multiLevelType w:val="hybridMultilevel"/>
    <w:lvl w:ilvl="0">
      <w:lvlJc w:val="left"/>
      <w:lvlText w:val="%1"/>
      <w:numFmt w:val="decimal"/>
      <w:start w:val="1"/>
    </w:lvl>
    <w:lvl w:ilvl="1">
      <w:lvlJc w:val="left"/>
      <w:lvlText w:val="(%2)"/>
      <w:numFmt w:val="lowerLetter"/>
      <w:start w:val="12"/>
    </w:lvl>
  </w:abstractNum>
  <w:abstractNum w:abstractNumId="45">
    <w:nsid w:val="77AE35EB"/>
    <w:multiLevelType w:val="hybridMultilevel"/>
    <w:lvl w:ilvl="0">
      <w:lvlJc w:val="left"/>
      <w:lvlText w:val="%1."/>
      <w:numFmt w:val="decimal"/>
      <w:start w:val="6"/>
    </w:lvl>
    <w:lvl w:ilvl="1">
      <w:lvlJc w:val="left"/>
      <w:lvlText w:val="(%2)"/>
      <w:numFmt w:val="lowerLetter"/>
      <w:start w:val="1"/>
    </w:lvl>
  </w:abstractNum>
  <w:abstractNum w:abstractNumId="46">
    <w:nsid w:val="579BE4F1"/>
    <w:multiLevelType w:val="hybridMultilevel"/>
    <w:lvl w:ilvl="0">
      <w:lvlJc w:val="left"/>
      <w:lvlText w:val="(%1)"/>
      <w:numFmt w:val="lowerLetter"/>
      <w:start w:val="2"/>
    </w:lvl>
  </w:abstractNum>
  <w:abstractNum w:abstractNumId="47">
    <w:nsid w:val="310C50B3"/>
    <w:multiLevelType w:val="hybridMultilevel"/>
    <w:lvl w:ilvl="0">
      <w:lvlJc w:val="left"/>
      <w:lvlText w:val="%1"/>
      <w:numFmt w:val="decimal"/>
      <w:start w:val="1"/>
    </w:lvl>
    <w:lvl w:ilvl="1">
      <w:lvlJc w:val="left"/>
      <w:lvlText w:val="(%2)"/>
      <w:numFmt w:val="lowerLetter"/>
      <w:start w:val="4"/>
    </w:lvl>
  </w:abstractNum>
  <w:abstractNum w:abstractNumId="48">
    <w:nsid w:val="5FF87E05"/>
    <w:multiLevelType w:val="hybridMultilevel"/>
    <w:lvl w:ilvl="0">
      <w:lvlJc w:val="left"/>
      <w:lvlText w:val="%1."/>
      <w:numFmt w:val="decimal"/>
      <w:start w:val="7"/>
    </w:lvl>
    <w:lvl w:ilvl="1">
      <w:lvlJc w:val="left"/>
      <w:lvlText w:val="(%2)"/>
      <w:numFmt w:val="lowerLetter"/>
      <w:start w:val="1"/>
    </w:lvl>
  </w:abstractNum>
  <w:abstractNum w:abstractNumId="49">
    <w:nsid w:val="2F305DEF"/>
    <w:multiLevelType w:val="hybridMultilevel"/>
    <w:lvl w:ilvl="0">
      <w:lvlJc w:val="left"/>
      <w:lvlText w:val="(%1)"/>
      <w:numFmt w:val="lowerLetter"/>
      <w:start w:val="4"/>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4"/>
    </w:lvl>
  </w:abstractNum>
  <w:abstractNum w:abstractNumId="52">
    <w:nsid w:val="4AD084E9"/>
    <w:multiLevelType w:val="hybridMultilevel"/>
    <w:lvl w:ilvl="0">
      <w:lvlJc w:val="left"/>
      <w:lvlText w:val="(%1)"/>
      <w:numFmt w:val="lowerRoman"/>
      <w:start w:val="1"/>
    </w:lvl>
  </w:abstractNum>
  <w:abstractNum w:abstractNumId="53">
    <w:nsid w:val="1F48EAA1"/>
    <w:multiLevelType w:val="hybridMultilevel"/>
    <w:lvl w:ilvl="0">
      <w:lvlJc w:val="left"/>
      <w:lvlText w:val="(%1)"/>
      <w:numFmt w:val="lowerLetter"/>
      <w:start w:val="5"/>
    </w:lvl>
  </w:abstractNum>
  <w:abstractNum w:abstractNumId="54">
    <w:nsid w:val="1381823A"/>
    <w:multiLevelType w:val="hybridMultilevel"/>
    <w:lvl w:ilvl="0">
      <w:lvlJc w:val="left"/>
      <w:lvlText w:val="(%1)"/>
      <w:numFmt w:val="lowerLetter"/>
      <w:start w:val="7"/>
    </w:lvl>
  </w:abstractNum>
  <w:abstractNum w:abstractNumId="55">
    <w:nsid w:val="5DB70AE5"/>
    <w:multiLevelType w:val="hybridMultilevel"/>
    <w:lvl w:ilvl="0">
      <w:lvlJc w:val="left"/>
      <w:lvlText w:val="(%1)"/>
      <w:numFmt w:val="lowerRoman"/>
      <w:start w:val="24"/>
    </w:lvl>
  </w:abstractNum>
  <w:abstractNum w:abstractNumId="56">
    <w:nsid w:val="100F8FCA"/>
    <w:multiLevelType w:val="hybridMultilevel"/>
    <w:lvl w:ilvl="0">
      <w:lvlJc w:val="left"/>
      <w:lvlText w:val="(%1)"/>
      <w:numFmt w:val="lowerRoman"/>
      <w:start w:val="20"/>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lvl w:ilvl="1">
      <w:lvlJc w:val="left"/>
      <w:lvlText w:val="(%2)"/>
      <w:numFmt w:val="lowerLetter"/>
      <w:start w:val="1"/>
    </w:lvl>
  </w:abstractNum>
  <w:abstractNum w:abstractNumId="60">
    <w:nsid w:val="98A3148"/>
    <w:multiLevelType w:val="hybridMultilevel"/>
    <w:lvl w:ilvl="0">
      <w:lvlJc w:val="left"/>
      <w:lvlText w:val="%1."/>
      <w:numFmt w:val="decimal"/>
      <w:start w:val="7"/>
    </w:lvl>
    <w:lvl w:ilvl="1">
      <w:lvlJc w:val="left"/>
      <w:lvlText w:val="(%2)"/>
      <w:numFmt w:val="lowerLetter"/>
      <w:start w:val="1"/>
    </w:lvl>
  </w:abstractNum>
  <w:abstractNum w:abstractNumId="61">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2">
    <w:nsid w:val="6B94764"/>
    <w:multiLevelType w:val="hybridMultilevel"/>
    <w:lvl w:ilvl="0">
      <w:lvlJc w:val="left"/>
      <w:lvlText w:val="(%1)"/>
      <w:numFmt w:val="lowerLetter"/>
      <w:start w:val="35"/>
    </w:lvl>
    <w:lvl w:ilvl="1">
      <w:lvlJc w:val="left"/>
      <w:lvlText w:val="(%2)"/>
      <w:numFmt w:val="lowerLetter"/>
      <w:start w:val="3"/>
    </w:lvl>
  </w:abstractNum>
  <w:abstractNum w:abstractNumId="63">
    <w:nsid w:val="42C296B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4">
    <w:nsid w:val="168E121F"/>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3"/>
    </w:lvl>
  </w:abstractNum>
  <w:abstractNum w:abstractNumId="65">
    <w:nsid w:val="1EBA5D23"/>
    <w:multiLevelType w:val="hybridMultilevel"/>
    <w:lvl w:ilvl="0">
      <w:lvlJc w:val="left"/>
      <w:lvlText w:val="%1."/>
      <w:numFmt w:val="decimal"/>
      <w:start w:val="13"/>
    </w:lvl>
    <w:lvl w:ilvl="1">
      <w:lvlJc w:val="left"/>
      <w:lvlText w:val="(%2)"/>
      <w:numFmt w:val="lowerLetter"/>
      <w:start w:val="1"/>
    </w:lvl>
  </w:abstractNum>
  <w:abstractNum w:abstractNumId="66">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7">
    <w:nsid w:val="5DC79EA8"/>
    <w:multiLevelType w:val="hybridMultilevel"/>
    <w:lvl w:ilvl="0">
      <w:lvlJc w:val="left"/>
      <w:lvlText w:val="(%1)"/>
      <w:numFmt w:val="lowerLetter"/>
      <w:start w:val="35"/>
    </w:lvl>
    <w:lvl w:ilvl="1">
      <w:lvlJc w:val="left"/>
      <w:lvlText w:val="(%2)"/>
      <w:numFmt w:val="lowerLetter"/>
      <w:start w:val="3"/>
    </w:lvl>
  </w:abstractNum>
  <w:abstractNum w:abstractNumId="68">
    <w:nsid w:val="540A471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9">
    <w:nsid w:val="7BD3EE7B"/>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3"/>
    </w:lvl>
  </w:abstractNum>
  <w:abstractNum w:abstractNumId="70">
    <w:nsid w:val="51D9C564"/>
    <w:multiLevelType w:val="hybridMultilevel"/>
    <w:lvl w:ilvl="0">
      <w:lvlJc w:val="left"/>
      <w:lvlText w:val="%1."/>
      <w:numFmt w:val="decimal"/>
      <w:start w:val="13"/>
    </w:lvl>
    <w:lvl w:ilvl="1">
      <w:lvlJc w:val="left"/>
      <w:lvlText w:val="(%2)"/>
      <w:numFmt w:val="lowerLetter"/>
      <w:start w:val="1"/>
    </w:lvl>
  </w:abstractNum>
  <w:abstractNum w:abstractNumId="71">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2">
    <w:nsid w:val="BF72B14"/>
    <w:multiLevelType w:val="hybridMultilevel"/>
    <w:lvl w:ilvl="0">
      <w:lvlJc w:val="left"/>
      <w:lvlText w:val="(%1)"/>
      <w:numFmt w:val="lowerLetter"/>
      <w:start w:val="35"/>
    </w:lvl>
    <w:lvl w:ilvl="1">
      <w:lvlJc w:val="left"/>
      <w:lvlText w:val="(%2)"/>
      <w:numFmt w:val="lowerLetter"/>
      <w:start w:val="3"/>
    </w:lvl>
  </w:abstractNum>
  <w:abstractNum w:abstractNumId="73">
    <w:nsid w:val="11447B7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74">
    <w:nsid w:val="42963E5A"/>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3"/>
    </w:lvl>
  </w:abstractNum>
  <w:abstractNum w:abstractNumId="75">
    <w:nsid w:val="A0382C5"/>
    <w:multiLevelType w:val="hybridMultilevel"/>
    <w:lvl w:ilvl="0">
      <w:lvlJc w:val="left"/>
      <w:lvlText w:val="%1."/>
      <w:numFmt w:val="decimal"/>
      <w:start w:val="13"/>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01" Type="http://schemas.openxmlformats.org/officeDocument/2006/relationships/hyperlink" Target="http://www.sec.gov/Archives/edgar/data/0001668243/000119312517175069/d401998dex31.htm" TargetMode="External"/><Relationship Id="rId102" Type="http://schemas.openxmlformats.org/officeDocument/2006/relationships/hyperlink" Target="http://www.sec.gov/Archives/edgar/data/1668243/000119312523195560/d538950dex41.htm" TargetMode="External"/><Relationship Id="rId103" Type="http://schemas.openxmlformats.org/officeDocument/2006/relationships/hyperlink" Target="http://www.sec.gov/Archives/edgar/data/1668243/000119312523195560/d5389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2023-11-14T07:37:04Z</dcterms:created>
  <dcterms:modified xsi:type="dcterms:W3CDTF">2023-11-14T07:37:04Z</dcterms:modified>
</cp:coreProperties>
</file>