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Schoenberg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ALEXANDER PARK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UroGen Pharma Ltd.</w:t>
              </w:r>
            </w:hyperlink>
            <w:r>
              <w:rPr/>
              <w:t xml:space="preserve"> [ </w:t>
            </w:r>
            <w:r>
              <w:rPr>
                <w:rFonts w:ascii="Times;serif" w:hAnsi="Times;serif"/>
                <w:color w:val="0000FF"/>
                <w:sz w:val="24"/>
                <w:shd w:fill="FFFFFF" w:val="clear"/>
              </w:rPr>
              <w:t>URGN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8"/>
        <w:gridCol w:w="904"/>
        <w:gridCol w:w="773"/>
        <w:gridCol w:w="600"/>
        <w:gridCol w:w="351"/>
        <w:gridCol w:w="939"/>
        <w:gridCol w:w="463"/>
        <w:gridCol w:w="625"/>
        <w:gridCol w:w="1177"/>
        <w:gridCol w:w="1008"/>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w:t>
            </w:r>
            <w:r>
              <w:rPr>
                <w:rFonts w:ascii="Times;serif" w:hAnsi="Times;serif"/>
                <w:color w:val="008000"/>
                <w:position w:val="7"/>
                <w:sz w:val="16"/>
                <w:sz w:val="20"/>
                <w:shd w:fill="FFFFFF" w:val="clear"/>
              </w:rPr>
              <w:t>(2)</w:t>
            </w:r>
            <w:r>
              <w:rPr/>
              <w:t xml:space="preserve"> </w:t>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119,763</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made pursuant to a duly adopted trading plan under Rule 10b5-1(c). The adoption date of the referenced Rule 10b5-1(c) plan is August 15, 2025. This transaction represents the final sale under such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$40.00 and $40.02. The reporting person undertakes to provide the Issuer, any security holder of the Issuer, or the staff of the Securities and Exchange Commission, upon request, full information regarding the number of shares purchased at each separate price within the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Jason D. Smith,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63581" TargetMode="External"/><Relationship Id="rId5" Type="http://schemas.openxmlformats.org/officeDocument/2006/relationships/hyperlink" Target="http://www.sec.gov/cgi-bin/browse-edgar?action=getcompany&amp;CIK=000166824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662</Words>
  <Characters>3594</Characters>
  <CharactersWithSpaces>4196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