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333-268398</w:t>
      </w:r>
    </w:p>
    <w:p>
      <w:pPr>
        <w:spacing w:after="0" w:line="126" w:lineRule="exact"/>
        <w:rPr>
          <w:sz w:val="24"/>
          <w:szCs w:val="24"/>
          <w:color w:val="auto"/>
        </w:rPr>
      </w:pPr>
    </w:p>
    <w:p>
      <w:pPr>
        <w:ind w:left="120" w:right="160"/>
        <w:spacing w:after="0" w:line="247" w:lineRule="auto"/>
        <w:rPr>
          <w:sz w:val="20"/>
          <w:szCs w:val="20"/>
          <w:color w:val="auto"/>
        </w:rPr>
      </w:pPr>
      <w:r>
        <w:rPr>
          <w:rFonts w:ascii="Arial" w:cs="Arial" w:eastAsia="Arial" w:hAnsi="Arial"/>
          <w:sz w:val="18"/>
          <w:szCs w:val="18"/>
          <w:color w:val="D6284A"/>
        </w:rPr>
        <w:t>The information in this preliminary prospectus supplement is not complete and may be changed. A registration statement relating to the securities has become effective under the Securities Act of 1933, as amended. This preliminary prospectus supplement and the accompanying prospectus are not an offer to sell these securities, and are not soliciting an offer to buy these securities in any jurisdiction where the offer or sale is not permitted.</w:t>
      </w:r>
    </w:p>
    <w:p>
      <w:pPr>
        <w:spacing w:after="0" w:line="10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D6284A"/>
        </w:rPr>
        <w:t>Subject to completion, dated June 17, 2024</w:t>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November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357505</wp:posOffset>
            </wp:positionV>
            <wp:extent cx="2743200" cy="771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320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Ordinary Shares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Pre-Funded Warrants to Purchase Ordinary Shares</w:t>
      </w:r>
    </w:p>
    <w:p>
      <w:pPr>
        <w:spacing w:after="0" w:line="121" w:lineRule="exact"/>
        <w:rPr>
          <w:sz w:val="24"/>
          <w:szCs w:val="24"/>
          <w:color w:val="auto"/>
        </w:rPr>
      </w:pPr>
    </w:p>
    <w:p>
      <w:pPr>
        <w:ind w:left="120" w:right="80"/>
        <w:spacing w:after="0" w:line="244" w:lineRule="auto"/>
        <w:rPr>
          <w:sz w:val="20"/>
          <w:szCs w:val="20"/>
          <w:color w:val="auto"/>
        </w:rPr>
      </w:pPr>
      <w:r>
        <w:rPr>
          <w:rFonts w:ascii="Arial" w:cs="Arial" w:eastAsia="Arial" w:hAnsi="Arial"/>
          <w:sz w:val="17"/>
          <w:szCs w:val="17"/>
          <w:color w:val="auto"/>
        </w:rPr>
        <w:t>We are offering           of our ordinary shares, par value NIS 0.01 per share, or, in lieu of ordinary shares to certain investors that so choose, pre-funded warrants to purchase ordinary shares, in this offering. The purchase price of each pre-funded warrant equals the price per share at which our ordinary shares are being sold to the public in this offering, minus $0.001, and the exercise price of each pre-funded warrant equals $0.001 per share. We are also offering the ordinary shares that are issuable from time to time upon exercise of the pre-funded warrants.</w:t>
      </w:r>
    </w:p>
    <w:p>
      <w:pPr>
        <w:spacing w:after="0" w:line="110" w:lineRule="exact"/>
        <w:rPr>
          <w:sz w:val="24"/>
          <w:szCs w:val="24"/>
          <w:color w:val="auto"/>
        </w:rPr>
      </w:pPr>
    </w:p>
    <w:p>
      <w:pPr>
        <w:ind w:left="120" w:right="440"/>
        <w:spacing w:after="0" w:line="267" w:lineRule="auto"/>
        <w:rPr>
          <w:sz w:val="20"/>
          <w:szCs w:val="20"/>
          <w:color w:val="auto"/>
        </w:rPr>
      </w:pPr>
      <w:r>
        <w:rPr>
          <w:rFonts w:ascii="Arial" w:cs="Arial" w:eastAsia="Arial" w:hAnsi="Arial"/>
          <w:sz w:val="17"/>
          <w:szCs w:val="17"/>
          <w:color w:val="auto"/>
        </w:rPr>
        <w:t>Our ordinary shares are listed on the Nasdaq Global Market under the symbol “URGN.” On June 14, 2024, the last reported sale price of our ordinary shares on the Nasdaq Global Market was $19.20 per share.</w:t>
      </w:r>
    </w:p>
    <w:p>
      <w:pPr>
        <w:spacing w:after="0" w:line="92" w:lineRule="exact"/>
        <w:rPr>
          <w:sz w:val="24"/>
          <w:szCs w:val="24"/>
          <w:color w:val="auto"/>
        </w:rPr>
      </w:pPr>
    </w:p>
    <w:p>
      <w:pPr>
        <w:ind w:left="120" w:right="40"/>
        <w:spacing w:after="0" w:line="280" w:lineRule="auto"/>
        <w:rPr>
          <w:sz w:val="20"/>
          <w:szCs w:val="20"/>
          <w:color w:val="auto"/>
        </w:rPr>
      </w:pPr>
      <w:r>
        <w:rPr>
          <w:rFonts w:ascii="Arial" w:cs="Arial" w:eastAsia="Arial" w:hAnsi="Arial"/>
          <w:sz w:val="17"/>
          <w:szCs w:val="17"/>
          <w:b w:val="1"/>
          <w:bCs w:val="1"/>
          <w:color w:val="auto"/>
        </w:rPr>
        <w:t>Investing in our securities involves a high degree of risk. See “</w:t>
      </w:r>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color w:val="auto"/>
        </w:rPr>
        <w:t>” beginning on page S-6 of this prospectus supplement and in the documents incorporated by reference into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6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4"/>
              <w:spacing w:after="0"/>
              <w:rPr>
                <w:sz w:val="20"/>
                <w:szCs w:val="20"/>
                <w:color w:val="auto"/>
              </w:rPr>
            </w:pPr>
            <w:r>
              <w:rPr>
                <w:rFonts w:ascii="Arial" w:cs="Arial" w:eastAsia="Arial" w:hAnsi="Arial"/>
                <w:sz w:val="18"/>
                <w:szCs w:val="18"/>
                <w:b w:val="1"/>
                <w:bCs w:val="1"/>
                <w:i w:val="1"/>
                <w:iCs w:val="1"/>
                <w:color w:val="auto"/>
              </w:rPr>
              <w:t>Per</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540" w:type="dxa"/>
            <w:vAlign w:val="bottom"/>
          </w:tcPr>
          <w:p>
            <w:pPr>
              <w:ind w:left="420"/>
              <w:spacing w:after="0"/>
              <w:rPr>
                <w:sz w:val="20"/>
                <w:szCs w:val="20"/>
                <w:color w:val="auto"/>
              </w:rPr>
            </w:pPr>
            <w:r>
              <w:rPr>
                <w:rFonts w:ascii="Arial" w:cs="Arial" w:eastAsia="Arial" w:hAnsi="Arial"/>
                <w:sz w:val="13"/>
                <w:szCs w:val="13"/>
                <w:b w:val="1"/>
                <w:bCs w:val="1"/>
                <w:i w:val="1"/>
                <w:iCs w:val="1"/>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b w:val="1"/>
                <w:bCs w:val="1"/>
                <w:i w:val="1"/>
                <w:iCs w:val="1"/>
                <w:color w:val="auto"/>
                <w:w w:val="70"/>
              </w:rPr>
              <w:t>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40" w:type="dxa"/>
            <w:vAlign w:val="bottom"/>
            <w:gridSpan w:val="5"/>
          </w:tcPr>
          <w:p>
            <w:pPr>
              <w:spacing w:after="0" w:line="202" w:lineRule="exact"/>
              <w:rPr>
                <w:sz w:val="20"/>
                <w:szCs w:val="20"/>
                <w:color w:val="auto"/>
              </w:rPr>
            </w:pPr>
            <w:r>
              <w:rPr>
                <w:rFonts w:ascii="Arial" w:cs="Arial" w:eastAsia="Arial" w:hAnsi="Arial"/>
                <w:sz w:val="18"/>
                <w:szCs w:val="18"/>
                <w:b w:val="1"/>
                <w:bCs w:val="1"/>
                <w:i w:val="1"/>
                <w:iCs w:val="1"/>
                <w:color w:val="auto"/>
              </w:rPr>
              <w:t>Pre-Funded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Public offering price</w:t>
            </w:r>
          </w:p>
        </w:tc>
        <w:tc>
          <w:tcPr>
            <w:tcW w:w="94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0"/>
              </w:rPr>
              <w:t>Per Share </w:t>
            </w:r>
          </w:p>
        </w:tc>
        <w:tc>
          <w:tcPr>
            <w:tcW w:w="260" w:type="dxa"/>
            <w:vAlign w:val="bottom"/>
          </w:tcPr>
          <w:p>
            <w:pPr>
              <w:ind w:left="80"/>
              <w:spacing w:after="0"/>
              <w:rPr>
                <w:sz w:val="20"/>
                <w:szCs w:val="20"/>
                <w:color w:val="auto"/>
              </w:rPr>
            </w:pPr>
            <w:r>
              <w:rPr>
                <w:rFonts w:ascii="Arial" w:cs="Arial" w:eastAsia="Arial" w:hAnsi="Arial"/>
                <w:sz w:val="18"/>
                <w:szCs w:val="18"/>
                <w:b w:val="1"/>
                <w:bCs w:val="1"/>
                <w:i w:val="1"/>
                <w:iCs w:val="1"/>
                <w:color w:val="auto"/>
                <w:w w:val="88"/>
              </w:rPr>
              <w:t> </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4"/>
          </w:tcPr>
          <w:p>
            <w:pPr>
              <w:ind w:left="40"/>
              <w:spacing w:after="0"/>
              <w:rPr>
                <w:sz w:val="20"/>
                <w:szCs w:val="20"/>
                <w:color w:val="auto"/>
              </w:rPr>
            </w:pPr>
            <w:r>
              <w:rPr>
                <w:rFonts w:ascii="Arial" w:cs="Arial" w:eastAsia="Arial" w:hAnsi="Arial"/>
                <w:sz w:val="18"/>
                <w:szCs w:val="18"/>
                <w:b w:val="1"/>
                <w:bCs w:val="1"/>
                <w:i w:val="1"/>
                <w:iCs w:val="1"/>
                <w:color w:val="auto"/>
              </w:rPr>
              <w:t>Warrant</w:t>
            </w:r>
          </w:p>
        </w:tc>
        <w:tc>
          <w:tcPr>
            <w:tcW w:w="700" w:type="dxa"/>
            <w:vAlign w:val="bottom"/>
            <w:gridSpan w:val="3"/>
          </w:tcPr>
          <w:p>
            <w:pPr>
              <w:ind w:left="140"/>
              <w:spacing w:after="0"/>
              <w:rPr>
                <w:sz w:val="20"/>
                <w:szCs w:val="20"/>
                <w:color w:val="auto"/>
              </w:rPr>
            </w:pPr>
            <w:r>
              <w:rPr>
                <w:rFonts w:ascii="Arial" w:cs="Arial" w:eastAsia="Arial" w:hAnsi="Arial"/>
                <w:sz w:val="18"/>
                <w:szCs w:val="18"/>
                <w:b w:val="1"/>
                <w:bCs w:val="1"/>
                <w:i w:val="1"/>
                <w:iCs w:val="1"/>
                <w:color w:val="auto"/>
              </w:rPr>
              <w:t>Total</w:t>
            </w:r>
          </w:p>
        </w:tc>
        <w:tc>
          <w:tcPr>
            <w:tcW w:w="0" w:type="dxa"/>
            <w:vAlign w:val="bottom"/>
          </w:tcPr>
          <w:p>
            <w:pPr>
              <w:spacing w:after="0"/>
              <w:rPr>
                <w:sz w:val="1"/>
                <w:szCs w:val="1"/>
                <w:color w:val="auto"/>
              </w:rPr>
            </w:pPr>
          </w:p>
        </w:tc>
      </w:tr>
      <w:tr>
        <w:trPr>
          <w:trHeight w:val="177"/>
        </w:trPr>
        <w:tc>
          <w:tcPr>
            <w:tcW w:w="6580" w:type="dxa"/>
            <w:vAlign w:val="bottom"/>
            <w:vMerge w:val="continue"/>
          </w:tcPr>
          <w:p>
            <w:pPr>
              <w:spacing w:after="0"/>
              <w:rPr>
                <w:sz w:val="15"/>
                <w:szCs w:val="15"/>
                <w:color w:val="auto"/>
              </w:rPr>
            </w:pPr>
          </w:p>
        </w:tc>
        <w:tc>
          <w:tcPr>
            <w:tcW w:w="54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ind w:left="80"/>
              <w:spacing w:after="0"/>
              <w:rPr>
                <w:sz w:val="20"/>
                <w:szCs w:val="20"/>
                <w:color w:val="auto"/>
              </w:rPr>
            </w:pPr>
            <w:r>
              <w:rPr>
                <w:rFonts w:ascii="Arial" w:cs="Arial" w:eastAsia="Arial" w:hAnsi="Arial"/>
                <w:sz w:val="13"/>
                <w:szCs w:val="13"/>
                <w:b w:val="1"/>
                <w:bCs w:val="1"/>
                <w:color w:val="auto"/>
                <w:w w:val="76"/>
              </w:rPr>
              <w:t> </w:t>
            </w:r>
          </w:p>
        </w:tc>
        <w:tc>
          <w:tcPr>
            <w:tcW w:w="200" w:type="dxa"/>
            <w:vAlign w:val="bottom"/>
            <w:tcBorders>
              <w:top w:val="single" w:sz="8" w:color="auto"/>
            </w:tcBorders>
          </w:tcPr>
          <w:p>
            <w:pPr>
              <w:ind w:left="60"/>
              <w:spacing w:after="0" w:line="177" w:lineRule="exact"/>
              <w:rPr>
                <w:sz w:val="20"/>
                <w:szCs w:val="20"/>
                <w:color w:val="auto"/>
              </w:rPr>
            </w:pPr>
            <w:r>
              <w:rPr>
                <w:rFonts w:ascii="Arial" w:cs="Arial" w:eastAsia="Arial" w:hAnsi="Arial"/>
                <w:sz w:val="17"/>
                <w:szCs w:val="17"/>
                <w:b w:val="1"/>
                <w:bCs w:val="1"/>
                <w:color w:val="auto"/>
                <w:w w:val="70"/>
              </w:rPr>
              <w:t> </w:t>
            </w:r>
          </w:p>
        </w:tc>
        <w:tc>
          <w:tcPr>
            <w:tcW w:w="260" w:type="dxa"/>
            <w:vAlign w:val="bottom"/>
            <w:tcBorders>
              <w:top w:val="single" w:sz="8" w:color="auto"/>
            </w:tcBorders>
          </w:tcPr>
          <w:p>
            <w:pPr>
              <w:ind w:left="40"/>
              <w:spacing w:after="0" w:line="177" w:lineRule="exact"/>
              <w:rPr>
                <w:sz w:val="20"/>
                <w:szCs w:val="20"/>
                <w:color w:val="auto"/>
              </w:rPr>
            </w:pPr>
            <w:r>
              <w:rPr>
                <w:rFonts w:ascii="Arial" w:cs="Arial" w:eastAsia="Arial" w:hAnsi="Arial"/>
                <w:sz w:val="18"/>
                <w:szCs w:val="18"/>
                <w:b w:val="1"/>
                <w:bCs w:val="1"/>
                <w:color w:val="auto"/>
              </w:rPr>
              <w:t> </w:t>
            </w:r>
          </w:p>
        </w:tc>
        <w:tc>
          <w:tcPr>
            <w:tcW w:w="740" w:type="dxa"/>
            <w:vAlign w:val="bottom"/>
          </w:tcPr>
          <w:p>
            <w:pPr>
              <w:spacing w:after="0"/>
              <w:rPr>
                <w:sz w:val="15"/>
                <w:szCs w:val="15"/>
                <w:color w:val="auto"/>
              </w:rPr>
            </w:pPr>
          </w:p>
        </w:tc>
        <w:tc>
          <w:tcPr>
            <w:tcW w:w="12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ind w:left="300"/>
              <w:spacing w:after="0"/>
              <w:rPr>
                <w:sz w:val="20"/>
                <w:szCs w:val="20"/>
                <w:color w:val="auto"/>
              </w:rPr>
            </w:pPr>
            <w:r>
              <w:rPr>
                <w:rFonts w:ascii="Arial" w:cs="Arial" w:eastAsia="Arial" w:hAnsi="Arial"/>
                <w:sz w:val="13"/>
                <w:szCs w:val="13"/>
                <w:b w:val="1"/>
                <w:bCs w:val="1"/>
                <w:color w:val="auto"/>
                <w:w w:val="76"/>
              </w:rPr>
              <w:t> </w:t>
            </w: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1"/>
                <w:szCs w:val="11"/>
                <w:b w:val="1"/>
                <w:bCs w:val="1"/>
                <w:color w:val="auto"/>
                <w:w w:val="72"/>
              </w:rPr>
              <w:t> </w:t>
            </w:r>
          </w:p>
        </w:tc>
        <w:tc>
          <w:tcPr>
            <w:tcW w:w="280" w:type="dxa"/>
            <w:vAlign w:val="bottom"/>
            <w:tcBorders>
              <w:top w:val="single" w:sz="8" w:color="auto"/>
            </w:tcBorders>
          </w:tcPr>
          <w:p>
            <w:pPr>
              <w:ind w:left="60"/>
              <w:spacing w:after="0" w:line="177" w:lineRule="exact"/>
              <w:rPr>
                <w:sz w:val="20"/>
                <w:szCs w:val="20"/>
                <w:color w:val="auto"/>
              </w:rPr>
            </w:pPr>
            <w:r>
              <w:rPr>
                <w:rFonts w:ascii="Arial" w:cs="Arial" w:eastAsia="Arial" w:hAnsi="Arial"/>
                <w:sz w:val="18"/>
                <w:szCs w:val="18"/>
                <w:b w:val="1"/>
                <w:bCs w:val="1"/>
                <w:color w:val="auto"/>
              </w:rPr>
              <w:t> </w:t>
            </w:r>
          </w:p>
        </w:tc>
        <w:tc>
          <w:tcPr>
            <w:tcW w:w="740" w:type="dxa"/>
            <w:vAlign w:val="bottom"/>
          </w:tcPr>
          <w:p>
            <w:pPr>
              <w:spacing w:after="0"/>
              <w:rPr>
                <w:sz w:val="15"/>
                <w:szCs w:val="15"/>
                <w:color w:val="auto"/>
              </w:rPr>
            </w:pPr>
          </w:p>
        </w:tc>
        <w:tc>
          <w:tcPr>
            <w:tcW w:w="22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b w:val="1"/>
                <w:bCs w:val="1"/>
                <w:color w:val="auto"/>
              </w:rPr>
              <w:t xml:space="preserve">$ </w:t>
            </w:r>
          </w:p>
        </w:tc>
        <w:tc>
          <w:tcPr>
            <w:tcW w:w="180" w:type="dxa"/>
            <w:vAlign w:val="bottom"/>
            <w:tcBorders>
              <w:top w:val="single" w:sz="8" w:color="auto"/>
            </w:tcBorders>
          </w:tcPr>
          <w:p>
            <w:pPr>
              <w:ind w:left="60"/>
              <w:spacing w:after="0"/>
              <w:rPr>
                <w:sz w:val="20"/>
                <w:szCs w:val="20"/>
                <w:color w:val="auto"/>
              </w:rPr>
            </w:pPr>
            <w:r>
              <w:rPr>
                <w:rFonts w:ascii="Arial" w:cs="Arial" w:eastAsia="Arial" w:hAnsi="Arial"/>
                <w:sz w:val="13"/>
                <w:szCs w:val="13"/>
                <w:b w:val="1"/>
                <w:bCs w:val="1"/>
                <w:color w:val="auto"/>
                <w:w w:val="76"/>
              </w:rPr>
              <w:t> </w:t>
            </w:r>
          </w:p>
        </w:tc>
        <w:tc>
          <w:tcPr>
            <w:tcW w:w="300" w:type="dxa"/>
            <w:vAlign w:val="bottom"/>
            <w:tcBorders>
              <w:top w:val="single" w:sz="8" w:color="auto"/>
            </w:tcBorders>
          </w:tcPr>
          <w:p>
            <w:pPr>
              <w:ind w:left="60"/>
              <w:spacing w:after="0" w:line="177" w:lineRule="exact"/>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6"/>
                <w:szCs w:val="16"/>
                <w:b w:val="1"/>
                <w:bCs w:val="1"/>
                <w:color w:val="auto"/>
              </w:rPr>
              <w:t>Underwriting discounts and commissions</w:t>
            </w:r>
            <w:r>
              <w:rPr>
                <w:rFonts w:ascii="Arial" w:cs="Arial" w:eastAsia="Arial" w:hAnsi="Arial"/>
                <w:sz w:val="23"/>
                <w:szCs w:val="23"/>
                <w:b w:val="1"/>
                <w:bCs w:val="1"/>
                <w:color w:val="auto"/>
                <w:vertAlign w:val="superscript"/>
              </w:rPr>
              <w:t>(1)</w:t>
            </w:r>
          </w:p>
        </w:tc>
        <w:tc>
          <w:tcPr>
            <w:tcW w:w="540" w:type="dxa"/>
            <w:vAlign w:val="bottom"/>
          </w:tcPr>
          <w:p>
            <w:pPr>
              <w:spacing w:after="0" w:line="202" w:lineRule="exact"/>
              <w:rPr>
                <w:sz w:val="20"/>
                <w:szCs w:val="20"/>
                <w:color w:val="auto"/>
              </w:rPr>
            </w:pPr>
            <w:r>
              <w:rPr>
                <w:rFonts w:ascii="Arial" w:cs="Arial" w:eastAsia="Arial" w:hAnsi="Arial"/>
                <w:sz w:val="18"/>
                <w:szCs w:val="18"/>
                <w:b w:val="1"/>
                <w:bCs w:val="1"/>
                <w:color w:val="auto"/>
              </w:rPr>
              <w:t>$</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b w:val="1"/>
                <w:bCs w:val="1"/>
                <w:color w:val="auto"/>
                <w:w w:val="70"/>
              </w:rPr>
              <w:t> </w:t>
            </w:r>
          </w:p>
        </w:tc>
        <w:tc>
          <w:tcPr>
            <w:tcW w:w="26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 </w:t>
            </w:r>
          </w:p>
        </w:tc>
        <w:tc>
          <w:tcPr>
            <w:tcW w:w="860" w:type="dxa"/>
            <w:vAlign w:val="bottom"/>
            <w:gridSpan w:val="2"/>
          </w:tcPr>
          <w:p>
            <w:pPr>
              <w:ind w:left="740"/>
              <w:spacing w:after="0" w:line="202" w:lineRule="exact"/>
              <w:rPr>
                <w:sz w:val="20"/>
                <w:szCs w:val="20"/>
                <w:color w:val="auto"/>
              </w:rPr>
            </w:pPr>
            <w:r>
              <w:rPr>
                <w:rFonts w:ascii="Arial" w:cs="Arial" w:eastAsia="Arial" w:hAnsi="Arial"/>
                <w:sz w:val="18"/>
                <w:szCs w:val="18"/>
                <w:b w:val="1"/>
                <w:bCs w:val="1"/>
                <w:color w:val="auto"/>
                <w:w w:val="99"/>
              </w:rPr>
              <w:t>$</w:t>
            </w:r>
          </w:p>
        </w:tc>
        <w:tc>
          <w:tcPr>
            <w:tcW w:w="420" w:type="dxa"/>
            <w:vAlign w:val="bottom"/>
          </w:tcPr>
          <w:p>
            <w:pPr>
              <w:ind w:left="300"/>
              <w:spacing w:after="0"/>
              <w:rPr>
                <w:sz w:val="20"/>
                <w:szCs w:val="20"/>
                <w:color w:val="auto"/>
              </w:rPr>
            </w:pPr>
            <w:r>
              <w:rPr>
                <w:rFonts w:ascii="Arial" w:cs="Arial" w:eastAsia="Arial" w:hAnsi="Arial"/>
                <w:sz w:val="13"/>
                <w:szCs w:val="13"/>
                <w:b w:val="1"/>
                <w:bCs w:val="1"/>
                <w:color w:val="auto"/>
                <w:w w:val="76"/>
              </w:rPr>
              <w:t> </w:t>
            </w:r>
          </w:p>
        </w:tc>
        <w:tc>
          <w:tcPr>
            <w:tcW w:w="180" w:type="dxa"/>
            <w:vAlign w:val="bottom"/>
          </w:tcPr>
          <w:p>
            <w:pPr>
              <w:jc w:val="right"/>
              <w:ind w:right="24"/>
              <w:spacing w:after="0"/>
              <w:rPr>
                <w:sz w:val="20"/>
                <w:szCs w:val="20"/>
                <w:color w:val="auto"/>
              </w:rPr>
            </w:pPr>
            <w:r>
              <w:rPr>
                <w:rFonts w:ascii="Arial" w:cs="Arial" w:eastAsia="Arial" w:hAnsi="Arial"/>
                <w:sz w:val="11"/>
                <w:szCs w:val="11"/>
                <w:b w:val="1"/>
                <w:bCs w:val="1"/>
                <w:color w:val="auto"/>
                <w:w w:val="72"/>
              </w:rPr>
              <w:t> </w:t>
            </w:r>
          </w:p>
        </w:tc>
        <w:tc>
          <w:tcPr>
            <w:tcW w:w="102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 </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auto"/>
                <w:w w:val="76"/>
              </w:rPr>
              <w:t> </w:t>
            </w:r>
          </w:p>
        </w:tc>
        <w:tc>
          <w:tcPr>
            <w:tcW w:w="300" w:type="dxa"/>
            <w:vAlign w:val="bottom"/>
          </w:tcPr>
          <w:p>
            <w:pPr>
              <w:ind w:left="60"/>
              <w:spacing w:after="0" w:line="202" w:lineRule="exact"/>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47"/>
        </w:trPr>
        <w:tc>
          <w:tcPr>
            <w:tcW w:w="6580" w:type="dxa"/>
            <w:vAlign w:val="bottom"/>
          </w:tcPr>
          <w:p>
            <w:pPr>
              <w:spacing w:after="0"/>
              <w:rPr>
                <w:sz w:val="20"/>
                <w:szCs w:val="20"/>
                <w:color w:val="auto"/>
              </w:rPr>
            </w:pPr>
            <w:r>
              <w:rPr>
                <w:rFonts w:ascii="Arial" w:cs="Arial" w:eastAsia="Arial" w:hAnsi="Arial"/>
                <w:sz w:val="18"/>
                <w:szCs w:val="18"/>
                <w:b w:val="1"/>
                <w:bCs w:val="1"/>
                <w:color w:val="auto"/>
              </w:rPr>
              <w:t>Proceeds to UroGen, before expenses</w:t>
            </w:r>
          </w:p>
        </w:tc>
        <w:tc>
          <w:tcPr>
            <w:tcW w:w="540" w:type="dxa"/>
            <w:vAlign w:val="bottom"/>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auto"/>
                <w:w w:val="76"/>
              </w:rPr>
              <w:t> </w:t>
            </w:r>
          </w:p>
        </w:tc>
        <w:tc>
          <w:tcPr>
            <w:tcW w:w="200" w:type="dxa"/>
            <w:vAlign w:val="bottom"/>
          </w:tcPr>
          <w:p>
            <w:pPr>
              <w:ind w:left="60"/>
              <w:spacing w:after="0"/>
              <w:rPr>
                <w:sz w:val="20"/>
                <w:szCs w:val="20"/>
                <w:color w:val="auto"/>
              </w:rPr>
            </w:pPr>
            <w:r>
              <w:rPr>
                <w:rFonts w:ascii="Arial" w:cs="Arial" w:eastAsia="Arial" w:hAnsi="Arial"/>
                <w:sz w:val="17"/>
                <w:szCs w:val="17"/>
                <w:b w:val="1"/>
                <w:bCs w:val="1"/>
                <w:color w:val="auto"/>
                <w:w w:val="70"/>
              </w:rPr>
              <w:t> </w:t>
            </w:r>
          </w:p>
        </w:tc>
        <w:tc>
          <w:tcPr>
            <w:tcW w:w="260" w:type="dxa"/>
            <w:vAlign w:val="bottom"/>
          </w:tcPr>
          <w:p>
            <w:pPr>
              <w:ind w:left="40"/>
              <w:spacing w:after="0"/>
              <w:rPr>
                <w:sz w:val="20"/>
                <w:szCs w:val="20"/>
                <w:color w:val="auto"/>
              </w:rPr>
            </w:pPr>
            <w:r>
              <w:rPr>
                <w:rFonts w:ascii="Arial" w:cs="Arial" w:eastAsia="Arial" w:hAnsi="Arial"/>
                <w:sz w:val="18"/>
                <w:szCs w:val="18"/>
                <w:b w:val="1"/>
                <w:bCs w:val="1"/>
                <w:color w:val="auto"/>
              </w:rPr>
              <w:t> </w:t>
            </w:r>
          </w:p>
        </w:tc>
        <w:tc>
          <w:tcPr>
            <w:tcW w:w="860" w:type="dxa"/>
            <w:vAlign w:val="bottom"/>
            <w:gridSpan w:val="2"/>
          </w:tcPr>
          <w:p>
            <w:pPr>
              <w:ind w:left="74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ind w:left="300"/>
              <w:spacing w:after="0"/>
              <w:rPr>
                <w:sz w:val="20"/>
                <w:szCs w:val="20"/>
                <w:color w:val="auto"/>
              </w:rPr>
            </w:pPr>
            <w:r>
              <w:rPr>
                <w:rFonts w:ascii="Arial" w:cs="Arial" w:eastAsia="Arial" w:hAnsi="Arial"/>
                <w:sz w:val="13"/>
                <w:szCs w:val="13"/>
                <w:b w:val="1"/>
                <w:bCs w:val="1"/>
                <w:color w:val="auto"/>
                <w:w w:val="76"/>
              </w:rPr>
              <w:t> </w:t>
            </w:r>
          </w:p>
        </w:tc>
        <w:tc>
          <w:tcPr>
            <w:tcW w:w="180" w:type="dxa"/>
            <w:vAlign w:val="bottom"/>
          </w:tcPr>
          <w:p>
            <w:pPr>
              <w:jc w:val="right"/>
              <w:ind w:right="24"/>
              <w:spacing w:after="0"/>
              <w:rPr>
                <w:sz w:val="20"/>
                <w:szCs w:val="20"/>
                <w:color w:val="auto"/>
              </w:rPr>
            </w:pPr>
            <w:r>
              <w:rPr>
                <w:rFonts w:ascii="Arial" w:cs="Arial" w:eastAsia="Arial" w:hAnsi="Arial"/>
                <w:sz w:val="11"/>
                <w:szCs w:val="11"/>
                <w:b w:val="1"/>
                <w:bCs w:val="1"/>
                <w:color w:val="auto"/>
                <w:w w:val="72"/>
              </w:rPr>
              <w:t> </w:t>
            </w: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rPr>
                <w:sz w:val="20"/>
                <w:szCs w:val="20"/>
                <w:color w:val="auto"/>
              </w:rPr>
            </w:pPr>
            <w:r>
              <w:rPr>
                <w:rFonts w:ascii="Arial" w:cs="Arial" w:eastAsia="Arial" w:hAnsi="Arial"/>
                <w:sz w:val="18"/>
                <w:szCs w:val="18"/>
                <w:b w:val="1"/>
                <w:bCs w:val="1"/>
                <w:color w:val="auto"/>
              </w:rPr>
              <w:t xml:space="preserve">$ </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auto"/>
                <w:w w:val="76"/>
              </w:rPr>
              <w:t> </w:t>
            </w:r>
          </w:p>
        </w:tc>
        <w:tc>
          <w:tcPr>
            <w:tcW w:w="300" w:type="dxa"/>
            <w:vAlign w:val="bottom"/>
          </w:tcPr>
          <w:p>
            <w:pPr>
              <w:ind w:left="6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56"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have agreed to reimburse the underwriters for certain expenses. See “Underwriting.”</w:t>
      </w:r>
    </w:p>
    <w:p>
      <w:pPr>
        <w:spacing w:after="0" w:line="129" w:lineRule="exact"/>
        <w:rPr>
          <w:sz w:val="24"/>
          <w:szCs w:val="24"/>
          <w:color w:val="auto"/>
        </w:rPr>
      </w:pPr>
    </w:p>
    <w:p>
      <w:pPr>
        <w:ind w:left="120" w:right="200"/>
        <w:spacing w:after="0" w:line="244" w:lineRule="auto"/>
        <w:rPr>
          <w:sz w:val="20"/>
          <w:szCs w:val="20"/>
          <w:color w:val="auto"/>
        </w:rPr>
      </w:pPr>
      <w:r>
        <w:rPr>
          <w:rFonts w:ascii="Arial" w:cs="Arial" w:eastAsia="Arial" w:hAnsi="Arial"/>
          <w:sz w:val="17"/>
          <w:szCs w:val="17"/>
          <w:color w:val="auto"/>
        </w:rPr>
        <w:t>We have granted the underwriters an option to purchase up to           additional ordinary shares from us at the public offering price, less underwriting discounts and commissions, within 30 days of the date of this prospectus supplement, assuming no sale of pre-funded warrants in this offering. If the underwriters exercise the option in full, the total underwriting discounts and commissions payable by us will be approximately $      million, and the total proceeds to us, before expenses, will be approximately $      million.</w:t>
      </w:r>
    </w:p>
    <w:p>
      <w:pPr>
        <w:spacing w:after="0" w:line="110" w:lineRule="exact"/>
        <w:rPr>
          <w:sz w:val="24"/>
          <w:szCs w:val="24"/>
          <w:color w:val="auto"/>
        </w:rPr>
      </w:pPr>
    </w:p>
    <w:p>
      <w:pPr>
        <w:ind w:left="120" w:right="120"/>
        <w:spacing w:after="0" w:line="256"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90" w:lineRule="exact"/>
        <w:rPr>
          <w:sz w:val="24"/>
          <w:szCs w:val="24"/>
          <w:color w:val="auto"/>
        </w:rPr>
      </w:pPr>
    </w:p>
    <w:p>
      <w:pPr>
        <w:ind w:left="120"/>
        <w:spacing w:after="0"/>
        <w:rPr>
          <w:sz w:val="20"/>
          <w:szCs w:val="20"/>
          <w:color w:val="auto"/>
        </w:rPr>
      </w:pPr>
      <w:r>
        <w:rPr>
          <w:rFonts w:ascii="Arial" w:cs="Arial" w:eastAsia="Arial" w:hAnsi="Arial"/>
          <w:sz w:val="17"/>
          <w:szCs w:val="17"/>
          <w:color w:val="auto"/>
        </w:rPr>
        <w:t>Delivery of the ordinary shares and pre-funded warrants is expected to be made on or about June   ,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113030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i w:val="1"/>
          <w:iCs w:val="1"/>
          <w:color w:val="auto"/>
        </w:rPr>
        <w:t>Joint Book-Running Managers</w:t>
      </w:r>
    </w:p>
    <w:p>
      <w:pPr>
        <w:spacing w:after="0" w:line="141" w:lineRule="exact"/>
        <w:rPr>
          <w:sz w:val="24"/>
          <w:szCs w:val="24"/>
          <w:color w:val="auto"/>
        </w:rPr>
      </w:pPr>
    </w:p>
    <w:p>
      <w:pPr>
        <w:ind w:left="120"/>
        <w:spacing w:after="0"/>
        <w:tabs>
          <w:tab w:leader="none" w:pos="8900" w:val="left"/>
        </w:tabs>
        <w:rPr>
          <w:sz w:val="20"/>
          <w:szCs w:val="20"/>
          <w:color w:val="auto"/>
        </w:rPr>
      </w:pPr>
      <w:r>
        <w:rPr>
          <w:rFonts w:ascii="Arial" w:cs="Arial" w:eastAsia="Arial" w:hAnsi="Arial"/>
          <w:sz w:val="20"/>
          <w:szCs w:val="20"/>
          <w:b w:val="1"/>
          <w:bCs w:val="1"/>
          <w:color w:val="auto"/>
        </w:rPr>
        <w:t>TD Cowen</w:t>
      </w:r>
      <w:r>
        <w:rPr>
          <w:sz w:val="20"/>
          <w:szCs w:val="20"/>
          <w:color w:val="auto"/>
        </w:rPr>
        <w:tab/>
      </w:r>
      <w:r>
        <w:rPr>
          <w:rFonts w:ascii="Arial" w:cs="Arial" w:eastAsia="Arial" w:hAnsi="Arial"/>
          <w:sz w:val="19"/>
          <w:szCs w:val="19"/>
          <w:b w:val="1"/>
          <w:bCs w:val="1"/>
          <w:color w:val="auto"/>
        </w:rPr>
        <w:t>Guggenheim Securities</w:t>
      </w:r>
    </w:p>
    <w:p>
      <w:pPr>
        <w:spacing w:after="0" w:line="122"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i w:val="1"/>
          <w:iCs w:val="1"/>
          <w:color w:val="auto"/>
        </w:rPr>
        <w:t>Lead Manager</w:t>
      </w:r>
    </w:p>
    <w:p>
      <w:pPr>
        <w:spacing w:after="0" w:line="14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Oppenheimer &amp; Co.</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i w:val="1"/>
          <w:iCs w:val="1"/>
          <w:color w:val="auto"/>
        </w:rPr>
        <w:t>Co-Manager</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Ladenburg Thalmann</w:t>
      </w:r>
    </w:p>
    <w:p>
      <w:pPr>
        <w:sectPr>
          <w:pgSz w:w="11900" w:h="16838" w:orient="portrait"/>
          <w:cols w:equalWidth="0" w:num="1">
            <w:col w:w="11140"/>
          </w:cols>
          <w:pgMar w:left="320" w:top="226" w:right="439" w:bottom="1440" w:gutter="0" w:footer="0" w:header="0"/>
        </w:sectPr>
      </w:pP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June     , 2024</w:t>
      </w:r>
    </w:p>
    <w:p>
      <w:pPr>
        <w:sectPr>
          <w:pgSz w:w="11900" w:h="16838" w:orient="portrait"/>
          <w:cols w:equalWidth="0" w:num="1">
            <w:col w:w="11140"/>
          </w:cols>
          <w:pgMar w:left="320" w:top="22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5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5"/>
        </w:trPr>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40" w:type="dxa"/>
            <w:vAlign w:val="bottom"/>
          </w:tcPr>
          <w:p>
            <w:pPr>
              <w:jc w:val="right"/>
              <w:ind w:right="439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567"/>
        </w:trPr>
        <w:tc>
          <w:tcPr>
            <w:tcW w:w="120" w:type="dxa"/>
            <w:vAlign w:val="bottom"/>
          </w:tcPr>
          <w:p>
            <w:pPr>
              <w:spacing w:after="0"/>
              <w:rPr>
                <w:sz w:val="24"/>
                <w:szCs w:val="24"/>
                <w:color w:val="auto"/>
              </w:rPr>
            </w:pPr>
          </w:p>
        </w:tc>
        <w:tc>
          <w:tcPr>
            <w:tcW w:w="4400" w:type="dxa"/>
            <w:vAlign w:val="bottom"/>
            <w:gridSpan w:val="22"/>
            <w:vMerge w:val="restart"/>
          </w:tcPr>
          <w:p>
            <w:pPr>
              <w:spacing w:after="0"/>
              <w:rPr>
                <w:sz w:val="20"/>
                <w:szCs w:val="20"/>
                <w:color w:val="auto"/>
              </w:rPr>
            </w:pPr>
            <w:r>
              <w:rPr>
                <w:rFonts w:ascii="Arial" w:cs="Arial" w:eastAsia="Arial" w:hAnsi="Arial"/>
                <w:sz w:val="18"/>
                <w:szCs w:val="18"/>
                <w:b w:val="1"/>
                <w:bCs w:val="1"/>
                <w:color w:val="auto"/>
              </w:rPr>
              <w:t>Prospectus Supplement</w:t>
            </w:r>
          </w:p>
        </w:tc>
        <w:tc>
          <w:tcPr>
            <w:tcW w:w="65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4400" w:type="dxa"/>
            <w:vAlign w:val="bottom"/>
            <w:gridSpan w:val="22"/>
            <w:vMerge w:val="continue"/>
          </w:tcPr>
          <w:p>
            <w:pPr>
              <w:spacing w:after="0"/>
              <w:rPr>
                <w:sz w:val="13"/>
                <w:szCs w:val="13"/>
                <w:color w:val="auto"/>
              </w:rPr>
            </w:pPr>
          </w:p>
        </w:tc>
        <w:tc>
          <w:tcPr>
            <w:tcW w:w="6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4400" w:type="dxa"/>
            <w:vAlign w:val="bottom"/>
            <w:gridSpan w:val="22"/>
          </w:tcPr>
          <w:p>
            <w:pPr>
              <w:spacing w:after="0" w:line="195" w:lineRule="exact"/>
              <w:rPr>
                <w:sz w:val="20"/>
                <w:szCs w:val="20"/>
                <w:color w:val="auto"/>
              </w:rPr>
            </w:pPr>
            <w:r>
              <w:rPr>
                <w:rFonts w:ascii="Arial" w:cs="Arial" w:eastAsia="Arial" w:hAnsi="Arial"/>
                <w:sz w:val="18"/>
                <w:szCs w:val="18"/>
                <w:color w:val="0000EE"/>
              </w:rPr>
              <w:t>About This Prospectus Supplement</w:t>
            </w:r>
          </w:p>
        </w:tc>
        <w:tc>
          <w:tcPr>
            <w:tcW w:w="6540" w:type="dxa"/>
            <w:vAlign w:val="bottom"/>
          </w:tcPr>
          <w:p>
            <w:pPr>
              <w:jc w:val="right"/>
              <w:spacing w:after="0" w:line="195"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82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Prospectus Supplement Summary</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72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Risk Factors</w:t>
            </w:r>
          </w:p>
        </w:tc>
        <w:tc>
          <w:tcPr>
            <w:tcW w:w="3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Special Note</w:t>
            </w:r>
          </w:p>
        </w:tc>
        <w:tc>
          <w:tcPr>
            <w:tcW w:w="20" w:type="dxa"/>
            <w:vAlign w:val="bottom"/>
          </w:tcPr>
          <w:p>
            <w:pPr>
              <w:spacing w:after="0"/>
              <w:rPr>
                <w:sz w:val="15"/>
                <w:szCs w:val="15"/>
                <w:color w:val="auto"/>
              </w:rPr>
            </w:pPr>
          </w:p>
        </w:tc>
        <w:tc>
          <w:tcPr>
            <w:tcW w:w="3380" w:type="dxa"/>
            <w:vAlign w:val="bottom"/>
            <w:gridSpan w:val="19"/>
          </w:tcPr>
          <w:p>
            <w:pPr>
              <w:ind w:left="40"/>
              <w:spacing w:after="0" w:line="182" w:lineRule="exact"/>
              <w:rPr>
                <w:sz w:val="20"/>
                <w:szCs w:val="20"/>
                <w:color w:val="auto"/>
              </w:rPr>
            </w:pPr>
            <w:r>
              <w:rPr>
                <w:rFonts w:ascii="Arial" w:cs="Arial" w:eastAsia="Arial" w:hAnsi="Arial"/>
                <w:sz w:val="18"/>
                <w:szCs w:val="18"/>
                <w:color w:val="0000EE"/>
              </w:rPr>
              <w:t>Regarding Forward-Looking Statements</w:t>
            </w: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26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Use of Proceeds</w:t>
            </w:r>
          </w:p>
        </w:tc>
        <w:tc>
          <w:tcPr>
            <w:tcW w:w="140" w:type="dxa"/>
            <w:vAlign w:val="bottom"/>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S-11</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400" w:type="dxa"/>
            <w:vAlign w:val="bottom"/>
            <w:gridSpan w:val="22"/>
          </w:tcPr>
          <w:p>
            <w:pPr>
              <w:spacing w:after="0" w:line="182" w:lineRule="exact"/>
              <w:rPr>
                <w:sz w:val="20"/>
                <w:szCs w:val="20"/>
                <w:color w:val="auto"/>
              </w:rPr>
            </w:pPr>
            <w:r>
              <w:rPr>
                <w:rFonts w:ascii="Arial" w:cs="Arial" w:eastAsia="Arial" w:hAnsi="Arial"/>
                <w:sz w:val="18"/>
                <w:szCs w:val="18"/>
                <w:color w:val="0000EE"/>
              </w:rPr>
              <w:t>Description of Share Capital</w:t>
            </w:r>
          </w:p>
        </w:tc>
        <w:tc>
          <w:tcPr>
            <w:tcW w:w="6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2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8"/>
              </w:rPr>
              <w:t>Description of Securities We</w:t>
            </w:r>
          </w:p>
        </w:tc>
        <w:tc>
          <w:tcPr>
            <w:tcW w:w="2160" w:type="dxa"/>
            <w:vAlign w:val="bottom"/>
            <w:gridSpan w:val="10"/>
          </w:tcPr>
          <w:p>
            <w:pPr>
              <w:ind w:left="60"/>
              <w:spacing w:after="0" w:line="182" w:lineRule="exact"/>
              <w:rPr>
                <w:sz w:val="20"/>
                <w:szCs w:val="20"/>
                <w:color w:val="auto"/>
              </w:rPr>
            </w:pPr>
            <w:r>
              <w:rPr>
                <w:rFonts w:ascii="Arial" w:cs="Arial" w:eastAsia="Arial" w:hAnsi="Arial"/>
                <w:sz w:val="18"/>
                <w:szCs w:val="18"/>
                <w:color w:val="0000EE"/>
              </w:rPr>
              <w:t>Are Offering</w:t>
            </w: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6"/>
              </w:rPr>
              <w:t>Dilution</w:t>
            </w:r>
          </w:p>
        </w:tc>
        <w:tc>
          <w:tcPr>
            <w:tcW w:w="2660" w:type="dxa"/>
            <w:vAlign w:val="bottom"/>
            <w:tcBorders>
              <w:top w:val="single" w:sz="8" w:color="0000EE"/>
            </w:tcBorders>
            <w:gridSpan w:val="18"/>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400" w:type="dxa"/>
            <w:vAlign w:val="bottom"/>
            <w:gridSpan w:val="22"/>
          </w:tcPr>
          <w:p>
            <w:pPr>
              <w:spacing w:after="0" w:line="182" w:lineRule="exact"/>
              <w:rPr>
                <w:sz w:val="20"/>
                <w:szCs w:val="20"/>
                <w:color w:val="auto"/>
              </w:rPr>
            </w:pPr>
            <w:r>
              <w:rPr>
                <w:rFonts w:ascii="Arial" w:cs="Arial" w:eastAsia="Arial" w:hAnsi="Arial"/>
                <w:sz w:val="18"/>
                <w:szCs w:val="18"/>
                <w:color w:val="0000EE"/>
              </w:rPr>
              <w:t>Tax Disclosure</w:t>
            </w: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S-24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16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Underwriting</w:t>
            </w:r>
          </w:p>
        </w:tc>
        <w:tc>
          <w:tcPr>
            <w:tcW w:w="34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spacing w:after="0"/>
              <w:rPr>
                <w:sz w:val="15"/>
                <w:szCs w:val="15"/>
                <w:color w:val="auto"/>
              </w:rPr>
            </w:pPr>
          </w:p>
        </w:tc>
        <w:tc>
          <w:tcPr>
            <w:tcW w:w="88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S-35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1"/>
              </w:rPr>
              <w:t>Legal Matters</w:t>
            </w:r>
          </w:p>
        </w:tc>
        <w:tc>
          <w:tcPr>
            <w:tcW w:w="60" w:type="dxa"/>
            <w:vAlign w:val="bottom"/>
            <w:tcBorders>
              <w:bottom w:val="single" w:sz="8" w:color="0000EE"/>
            </w:tcBorders>
          </w:tcPr>
          <w:p>
            <w:pPr>
              <w:spacing w:after="0"/>
              <w:rPr>
                <w:sz w:val="15"/>
                <w:szCs w:val="15"/>
                <w:color w:val="auto"/>
              </w:rPr>
            </w:pPr>
          </w:p>
        </w:tc>
        <w:tc>
          <w:tcPr>
            <w:tcW w:w="420" w:type="dxa"/>
            <w:vAlign w:val="bottom"/>
            <w:gridSpan w:val="4"/>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spacing w:after="0"/>
              <w:rPr>
                <w:sz w:val="15"/>
                <w:szCs w:val="15"/>
                <w:color w:val="auto"/>
              </w:rPr>
            </w:pPr>
          </w:p>
        </w:tc>
        <w:tc>
          <w:tcPr>
            <w:tcW w:w="88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gridSpan w:val="4"/>
          </w:tcPr>
          <w:p>
            <w:pPr>
              <w:spacing w:after="0" w:line="182" w:lineRule="exact"/>
              <w:rPr>
                <w:sz w:val="20"/>
                <w:szCs w:val="20"/>
                <w:color w:val="auto"/>
              </w:rPr>
            </w:pPr>
            <w:r>
              <w:rPr>
                <w:rFonts w:ascii="Arial" w:cs="Arial" w:eastAsia="Arial" w:hAnsi="Arial"/>
                <w:sz w:val="18"/>
                <w:szCs w:val="18"/>
                <w:color w:val="0000EE"/>
              </w:rPr>
              <w:t>Experts</w:t>
            </w:r>
          </w:p>
        </w:tc>
        <w:tc>
          <w:tcPr>
            <w:tcW w:w="420" w:type="dxa"/>
            <w:vAlign w:val="bottom"/>
            <w:gridSpan w:val="4"/>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spacing w:after="0"/>
              <w:rPr>
                <w:sz w:val="15"/>
                <w:szCs w:val="15"/>
                <w:color w:val="auto"/>
              </w:rPr>
            </w:pPr>
          </w:p>
        </w:tc>
        <w:tc>
          <w:tcPr>
            <w:tcW w:w="880" w:type="dxa"/>
            <w:vAlign w:val="bottom"/>
            <w:gridSpan w:val="2"/>
          </w:tcPr>
          <w:p>
            <w:pPr>
              <w:spacing w:after="0"/>
              <w:rPr>
                <w:sz w:val="15"/>
                <w:szCs w:val="15"/>
                <w:color w:val="auto"/>
              </w:rPr>
            </w:pPr>
          </w:p>
        </w:tc>
        <w:tc>
          <w:tcPr>
            <w:tcW w:w="460" w:type="dxa"/>
            <w:vAlign w:val="bottom"/>
            <w:gridSpan w:val="2"/>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rPr>
              <w:t>Where</w:t>
            </w:r>
          </w:p>
        </w:tc>
        <w:tc>
          <w:tcPr>
            <w:tcW w:w="3800" w:type="dxa"/>
            <w:vAlign w:val="bottom"/>
            <w:gridSpan w:val="21"/>
          </w:tcPr>
          <w:p>
            <w:pPr>
              <w:spacing w:after="0" w:line="182" w:lineRule="exact"/>
              <w:rPr>
                <w:sz w:val="20"/>
                <w:szCs w:val="20"/>
                <w:color w:val="auto"/>
              </w:rPr>
            </w:pPr>
            <w:r>
              <w:rPr>
                <w:rFonts w:ascii="Arial" w:cs="Arial" w:eastAsia="Arial" w:hAnsi="Arial"/>
                <w:sz w:val="18"/>
                <w:szCs w:val="18"/>
                <w:color w:val="0000EE"/>
              </w:rPr>
              <w:t>You Can Find More Information</w:t>
            </w: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06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w w:val="98"/>
              </w:rPr>
              <w:t>Incorporation of Certain Information by</w:t>
            </w:r>
          </w:p>
        </w:tc>
        <w:tc>
          <w:tcPr>
            <w:tcW w:w="1340" w:type="dxa"/>
            <w:vAlign w:val="bottom"/>
            <w:gridSpan w:val="4"/>
          </w:tcPr>
          <w:p>
            <w:pPr>
              <w:ind w:left="60"/>
              <w:spacing w:after="0" w:line="182" w:lineRule="exact"/>
              <w:rPr>
                <w:sz w:val="20"/>
                <w:szCs w:val="20"/>
                <w:color w:val="auto"/>
              </w:rPr>
            </w:pPr>
            <w:r>
              <w:rPr>
                <w:rFonts w:ascii="Arial" w:cs="Arial" w:eastAsia="Arial" w:hAnsi="Arial"/>
                <w:sz w:val="18"/>
                <w:szCs w:val="18"/>
                <w:color w:val="0000EE"/>
              </w:rPr>
              <w:t>Reference</w:t>
            </w: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407"/>
        </w:trPr>
        <w:tc>
          <w:tcPr>
            <w:tcW w:w="120" w:type="dxa"/>
            <w:vAlign w:val="bottom"/>
          </w:tcPr>
          <w:p>
            <w:pPr>
              <w:spacing w:after="0"/>
              <w:rPr>
                <w:sz w:val="24"/>
                <w:szCs w:val="24"/>
                <w:color w:val="auto"/>
              </w:rPr>
            </w:pPr>
          </w:p>
        </w:tc>
        <w:tc>
          <w:tcPr>
            <w:tcW w:w="394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auto"/>
              </w:rPr>
              <w:t>Prospectus</w:t>
            </w:r>
          </w:p>
        </w:tc>
        <w:tc>
          <w:tcPr>
            <w:tcW w:w="460" w:type="dxa"/>
            <w:vAlign w:val="bottom"/>
            <w:gridSpan w:val="2"/>
          </w:tcPr>
          <w:p>
            <w:pPr>
              <w:spacing w:after="0"/>
              <w:rPr>
                <w:sz w:val="24"/>
                <w:szCs w:val="24"/>
                <w:color w:val="auto"/>
              </w:rPr>
            </w:pPr>
          </w:p>
        </w:tc>
        <w:tc>
          <w:tcPr>
            <w:tcW w:w="6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4400" w:type="dxa"/>
            <w:vAlign w:val="bottom"/>
            <w:gridSpan w:val="22"/>
          </w:tcPr>
          <w:p>
            <w:pPr>
              <w:spacing w:after="0" w:line="195" w:lineRule="exact"/>
              <w:rPr>
                <w:sz w:val="20"/>
                <w:szCs w:val="20"/>
                <w:color w:val="auto"/>
              </w:rPr>
            </w:pPr>
            <w:r>
              <w:rPr>
                <w:rFonts w:ascii="Arial" w:cs="Arial" w:eastAsia="Arial" w:hAnsi="Arial"/>
                <w:sz w:val="18"/>
                <w:szCs w:val="18"/>
                <w:color w:val="0000EE"/>
              </w:rPr>
              <w:t>About This Prospectus</w:t>
            </w:r>
          </w:p>
        </w:tc>
        <w:tc>
          <w:tcPr>
            <w:tcW w:w="6540" w:type="dxa"/>
            <w:vAlign w:val="bottom"/>
          </w:tcPr>
          <w:p>
            <w:pPr>
              <w:jc w:val="right"/>
              <w:spacing w:after="0" w:line="195"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80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Prospectus Summary</w:t>
            </w:r>
          </w:p>
        </w:tc>
        <w:tc>
          <w:tcPr>
            <w:tcW w:w="6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7"/>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72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Risk Factors</w:t>
            </w:r>
          </w:p>
        </w:tc>
        <w:tc>
          <w:tcPr>
            <w:tcW w:w="140" w:type="dxa"/>
            <w:vAlign w:val="bottom"/>
            <w:gridSpan w:val="2"/>
          </w:tcPr>
          <w:p>
            <w:pPr>
              <w:spacing w:after="0"/>
              <w:rPr>
                <w:sz w:val="15"/>
                <w:szCs w:val="15"/>
                <w:color w:val="auto"/>
              </w:rPr>
            </w:pPr>
          </w:p>
        </w:tc>
        <w:tc>
          <w:tcPr>
            <w:tcW w:w="5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7"/>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Special Note</w:t>
            </w:r>
          </w:p>
        </w:tc>
        <w:tc>
          <w:tcPr>
            <w:tcW w:w="3400" w:type="dxa"/>
            <w:vAlign w:val="bottom"/>
            <w:gridSpan w:val="20"/>
          </w:tcPr>
          <w:p>
            <w:pPr>
              <w:ind w:left="60"/>
              <w:spacing w:after="0" w:line="182" w:lineRule="exact"/>
              <w:rPr>
                <w:sz w:val="20"/>
                <w:szCs w:val="20"/>
                <w:color w:val="auto"/>
              </w:rPr>
            </w:pPr>
            <w:r>
              <w:rPr>
                <w:rFonts w:ascii="Arial" w:cs="Arial" w:eastAsia="Arial" w:hAnsi="Arial"/>
                <w:sz w:val="18"/>
                <w:szCs w:val="18"/>
                <w:color w:val="0000EE"/>
              </w:rPr>
              <w:t>Regarding Forward-Looking Statements</w:t>
            </w: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26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Use of Proceeds</w:t>
            </w:r>
          </w:p>
        </w:tc>
        <w:tc>
          <w:tcPr>
            <w:tcW w:w="140" w:type="dxa"/>
            <w:vAlign w:val="bottom"/>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400" w:type="dxa"/>
            <w:vAlign w:val="bottom"/>
            <w:gridSpan w:val="22"/>
          </w:tcPr>
          <w:p>
            <w:pPr>
              <w:spacing w:after="0" w:line="182" w:lineRule="exact"/>
              <w:rPr>
                <w:sz w:val="20"/>
                <w:szCs w:val="20"/>
                <w:color w:val="auto"/>
              </w:rPr>
            </w:pPr>
            <w:r>
              <w:rPr>
                <w:rFonts w:ascii="Arial" w:cs="Arial" w:eastAsia="Arial" w:hAnsi="Arial"/>
                <w:sz w:val="18"/>
                <w:szCs w:val="18"/>
                <w:color w:val="0000EE"/>
              </w:rPr>
              <w:t>Description of Share Capital</w:t>
            </w:r>
          </w:p>
        </w:tc>
        <w:tc>
          <w:tcPr>
            <w:tcW w:w="6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24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3"/>
              </w:rPr>
              <w:t>Description of Debt Securities</w:t>
            </w:r>
          </w:p>
        </w:tc>
        <w:tc>
          <w:tcPr>
            <w:tcW w:w="1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7"/>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gridSpan w:val="13"/>
          </w:tcPr>
          <w:p>
            <w:pPr>
              <w:spacing w:after="0" w:line="182" w:lineRule="exact"/>
              <w:rPr>
                <w:sz w:val="20"/>
                <w:szCs w:val="20"/>
                <w:color w:val="auto"/>
              </w:rPr>
            </w:pPr>
            <w:r>
              <w:rPr>
                <w:rFonts w:ascii="Arial" w:cs="Arial" w:eastAsia="Arial" w:hAnsi="Arial"/>
                <w:sz w:val="18"/>
                <w:szCs w:val="18"/>
                <w:color w:val="0000EE"/>
              </w:rPr>
              <w:t>Description of Warrants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7"/>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400" w:type="dxa"/>
            <w:vAlign w:val="bottom"/>
            <w:gridSpan w:val="22"/>
          </w:tcPr>
          <w:p>
            <w:pPr>
              <w:spacing w:after="0" w:line="182" w:lineRule="exact"/>
              <w:rPr>
                <w:sz w:val="20"/>
                <w:szCs w:val="20"/>
                <w:color w:val="auto"/>
              </w:rPr>
            </w:pPr>
            <w:r>
              <w:rPr>
                <w:rFonts w:ascii="Arial" w:cs="Arial" w:eastAsia="Arial" w:hAnsi="Arial"/>
                <w:sz w:val="18"/>
                <w:szCs w:val="18"/>
                <w:color w:val="0000EE"/>
              </w:rPr>
              <w:t>Legal Ownership of Securities</w:t>
            </w:r>
          </w:p>
        </w:tc>
        <w:tc>
          <w:tcPr>
            <w:tcW w:w="6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8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Plan of Distribution</w:t>
            </w:r>
          </w:p>
        </w:tc>
        <w:tc>
          <w:tcPr>
            <w:tcW w:w="20" w:type="dxa"/>
            <w:vAlign w:val="bottom"/>
          </w:tcPr>
          <w:p>
            <w:pPr>
              <w:spacing w:after="0"/>
              <w:rPr>
                <w:sz w:val="15"/>
                <w:szCs w:val="15"/>
                <w:color w:val="auto"/>
              </w:rPr>
            </w:pPr>
          </w:p>
        </w:tc>
        <w:tc>
          <w:tcPr>
            <w:tcW w:w="2000" w:type="dxa"/>
            <w:vAlign w:val="bottom"/>
            <w:gridSpan w:val="7"/>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65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400" w:type="dxa"/>
            <w:vAlign w:val="bottom"/>
            <w:gridSpan w:val="22"/>
          </w:tcPr>
          <w:p>
            <w:pPr>
              <w:spacing w:after="0" w:line="182" w:lineRule="exact"/>
              <w:rPr>
                <w:sz w:val="20"/>
                <w:szCs w:val="20"/>
                <w:color w:val="auto"/>
              </w:rPr>
            </w:pPr>
            <w:r>
              <w:rPr>
                <w:rFonts w:ascii="Arial" w:cs="Arial" w:eastAsia="Arial" w:hAnsi="Arial"/>
                <w:sz w:val="18"/>
                <w:szCs w:val="18"/>
                <w:color w:val="0000EE"/>
              </w:rPr>
              <w:t>Enforcement of Civil Liabilities</w:t>
            </w:r>
          </w:p>
        </w:tc>
        <w:tc>
          <w:tcPr>
            <w:tcW w:w="6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40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Legal Matters</w:t>
            </w:r>
          </w:p>
        </w:tc>
        <w:tc>
          <w:tcPr>
            <w:tcW w:w="2000" w:type="dxa"/>
            <w:vAlign w:val="bottom"/>
            <w:gridSpan w:val="7"/>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Experts</w:t>
            </w:r>
          </w:p>
        </w:tc>
        <w:tc>
          <w:tcPr>
            <w:tcW w:w="3320" w:type="dxa"/>
            <w:vAlign w:val="bottom"/>
            <w:gridSpan w:val="18"/>
          </w:tcPr>
          <w:p>
            <w:pPr>
              <w:spacing w:after="0"/>
              <w:rPr>
                <w:sz w:val="15"/>
                <w:szCs w:val="15"/>
                <w:color w:val="auto"/>
              </w:rPr>
            </w:pP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rPr>
              <w:t>Where</w:t>
            </w:r>
          </w:p>
        </w:tc>
        <w:tc>
          <w:tcPr>
            <w:tcW w:w="3800" w:type="dxa"/>
            <w:vAlign w:val="bottom"/>
            <w:gridSpan w:val="21"/>
          </w:tcPr>
          <w:p>
            <w:pPr>
              <w:spacing w:after="0" w:line="182" w:lineRule="exact"/>
              <w:rPr>
                <w:sz w:val="20"/>
                <w:szCs w:val="20"/>
                <w:color w:val="auto"/>
              </w:rPr>
            </w:pPr>
            <w:r>
              <w:rPr>
                <w:rFonts w:ascii="Arial" w:cs="Arial" w:eastAsia="Arial" w:hAnsi="Arial"/>
                <w:sz w:val="18"/>
                <w:szCs w:val="18"/>
                <w:color w:val="0000EE"/>
              </w:rPr>
              <w:t>You Can Find More Information</w:t>
            </w: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06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w w:val="98"/>
              </w:rPr>
              <w:t>Incorporation of Certain Information by</w:t>
            </w:r>
          </w:p>
        </w:tc>
        <w:tc>
          <w:tcPr>
            <w:tcW w:w="1340" w:type="dxa"/>
            <w:vAlign w:val="bottom"/>
            <w:gridSpan w:val="4"/>
          </w:tcPr>
          <w:p>
            <w:pPr>
              <w:ind w:left="60"/>
              <w:spacing w:after="0" w:line="182" w:lineRule="exact"/>
              <w:rPr>
                <w:sz w:val="20"/>
                <w:szCs w:val="20"/>
                <w:color w:val="auto"/>
              </w:rPr>
            </w:pPr>
            <w:r>
              <w:rPr>
                <w:rFonts w:ascii="Arial" w:cs="Arial" w:eastAsia="Arial" w:hAnsi="Arial"/>
                <w:sz w:val="18"/>
                <w:szCs w:val="18"/>
                <w:color w:val="0000EE"/>
              </w:rPr>
              <w:t>Reference</w:t>
            </w:r>
          </w:p>
        </w:tc>
        <w:tc>
          <w:tcPr>
            <w:tcW w:w="6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60"/>
          </w:cols>
          <w:pgMar w:left="320" w:top="446"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320"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This document is in two parts. The first part is the prospectus supplement, including the documents incorporated by reference, which describes the specific terms of this offering. The second part, the accompanying prospectus, including the documents incorporated by reference, provides more general information. Generally, when we refer to this prospectus, we are referring to both parts of this document combined. Before you invest, you should carefully read this prospectus supplement, the accompanying prospectus, all information incorporated by reference herein and therein, any free writing prospectus that we have authorized for use in connection with this offering, as well as the additional information described under “Where You Can Find More Information.”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8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have not, and the underwriters have not, authorized anyone to provide you with any information different from that contained in or incorporated by reference in this prospectus supplement and the accompanying prospectus, or in any free writing prospectus that we have authorized for use in connection with this offering. Neither we nor the underwriters take any responsibility for, and can provide no assurance as to the reliability of, any information that others may give you. We are offering to sell, and seeking offers to buy, our ordinary shares and pre-funded warrants only in jurisdictions where offers and sales are permitted. The distribution of this prospectus supplement and the accompanying prospectus and the offering of the ordinary shares and pre-funded warrants in certain jurisdictions may be restricted by law. This prospectus supplement and the accompanying prospectus are not, and under no circumstances are to be construed as, an advertisement or a public offering of securities in Israel. Any public offer or sale of securities in Israel may be made only in accordance with the Israeli Securities Law, 5728-1968 (which requires, among other things, the filing of a prospectus in Israel or an exemption therefrom). Persons outside the United States who come into possession of this prospectus supplement must inform themselves about, and observe any restrictions relating to, the offering of the ordinary shares and pre-funded warrants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of the ordinary shares and pre-funded warrants offered hereby by any person in any jurisdiction in which it is unlawful for such person to make such an offer or solicitation.</w:t>
      </w:r>
    </w:p>
    <w:p>
      <w:pPr>
        <w:spacing w:after="0" w:line="188" w:lineRule="exact"/>
        <w:rPr>
          <w:sz w:val="20"/>
          <w:szCs w:val="20"/>
          <w:color w:val="auto"/>
        </w:rPr>
      </w:pPr>
    </w:p>
    <w:p>
      <w:pPr>
        <w:jc w:val="both"/>
        <w:ind w:left="120" w:right="20" w:firstLine="440"/>
        <w:spacing w:after="0" w:line="247" w:lineRule="auto"/>
        <w:rPr>
          <w:sz w:val="20"/>
          <w:szCs w:val="20"/>
          <w:color w:val="auto"/>
        </w:rPr>
      </w:pPr>
      <w:r>
        <w:rPr>
          <w:rFonts w:ascii="Arial" w:cs="Arial" w:eastAsia="Arial" w:hAnsi="Arial"/>
          <w:sz w:val="18"/>
          <w:szCs w:val="18"/>
          <w:color w:val="auto"/>
        </w:rPr>
        <w:t>You should not assume that the information contained in this prospectus supplement, the accompanying prospectus, any free writing prospectus that we have authorized for use in connection with this offering or the documents incorporated herein or therein by reference is accurate as of any date other than their respective dates. Our business, financial condition, results of operations and prospects may have changed since those dates.</w:t>
      </w:r>
    </w:p>
    <w:p>
      <w:pPr>
        <w:spacing w:after="0" w:line="174"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8"/>
          <w:szCs w:val="18"/>
          <w:color w:val="auto"/>
        </w:rPr>
        <w:t>In this prospectus supplement and the accompanying prospectus, unless the context specifies or implies otherwise, the terms the “Company,” “UroGen,” “we,” “us” and “our” refer to UroGen Pharma Ltd. and its wholly owned subsidiary, UroGen Pharma, Inc.</w:t>
      </w:r>
    </w:p>
    <w:p>
      <w:pPr>
        <w:spacing w:after="0" w:line="154" w:lineRule="exact"/>
        <w:rPr>
          <w:sz w:val="20"/>
          <w:szCs w:val="20"/>
          <w:color w:val="auto"/>
        </w:rPr>
      </w:pPr>
    </w:p>
    <w:p>
      <w:pPr>
        <w:ind w:left="120" w:right="80" w:firstLine="440"/>
        <w:spacing w:after="0" w:line="220" w:lineRule="auto"/>
        <w:rPr>
          <w:sz w:val="20"/>
          <w:szCs w:val="20"/>
          <w:color w:val="auto"/>
        </w:rPr>
      </w:pPr>
      <w:r>
        <w:rPr>
          <w:rFonts w:ascii="Arial" w:cs="Arial" w:eastAsia="Arial" w:hAnsi="Arial"/>
          <w:sz w:val="18"/>
          <w:szCs w:val="18"/>
          <w:color w:val="auto"/>
        </w:rPr>
        <w:t>UroGen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Jelmyto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RTGel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are trademarks of ours that we use in this prospectus supplement and the accompanying prospectus. This prospectus supplement and the accompanying prospectus also include trademarks, tradenames and service marks that are the property of other organizations. Solely for convenience, our trademarks and tradenames referred to in this prospectus supplement and</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16" w:lineRule="auto"/>
        <w:rPr>
          <w:sz w:val="20"/>
          <w:szCs w:val="20"/>
          <w:color w:val="auto"/>
        </w:rPr>
      </w:pPr>
      <w:r>
        <w:rPr>
          <w:rFonts w:ascii="Arial" w:cs="Arial" w:eastAsia="Arial" w:hAnsi="Arial"/>
          <w:sz w:val="18"/>
          <w:szCs w:val="18"/>
          <w:color w:val="auto"/>
        </w:rPr>
        <w:t xml:space="preserve">the accompanying prospectus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or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the rights of the applicable licensor, to our trademark and tradenames.</w:t>
      </w:r>
    </w:p>
    <w:p>
      <w:pPr>
        <w:spacing w:after="0" w:line="18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terms “shekel,” “Israeli shekel” and “NIS” refer to New Israeli Shekels, the lawful currency of the State of Israel, and the terms “dollar,” “U.S. dollar” and “$” refer to United States dollars, the lawful currency of the United States. All references to “shares” in this prospectus supplement refer to ordinary shares of UroGen Pharma Ltd., par value NIS 0.01 per share.</w:t>
      </w:r>
    </w:p>
    <w:p>
      <w:pPr>
        <w:spacing w:after="0" w:line="10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0860"/>
          </w:cols>
          <w:pgMar w:left="320" w:top="455" w:right="7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55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455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322" w:lineRule="exact"/>
        <w:rPr>
          <w:sz w:val="20"/>
          <w:szCs w:val="20"/>
          <w:color w:val="auto"/>
        </w:rPr>
      </w:pPr>
    </w:p>
    <w:p>
      <w:pPr>
        <w:ind w:left="300" w:firstLine="426"/>
        <w:spacing w:after="0"/>
        <w:rPr>
          <w:sz w:val="20"/>
          <w:szCs w:val="20"/>
          <w:color w:val="auto"/>
        </w:rPr>
      </w:pPr>
      <w:r>
        <w:rPr>
          <w:rFonts w:ascii="Arial" w:cs="Arial" w:eastAsia="Arial" w:hAnsi="Arial"/>
          <w:sz w:val="18"/>
          <w:szCs w:val="18"/>
          <w:i w:val="1"/>
          <w:iCs w:val="1"/>
          <w:color w:val="auto"/>
        </w:rPr>
        <w:t>This summary highlights selected information about us, this offering and information appearing elsewhere in this prospectus supplement, in the accompanying prospectus and in the documents incorporated by reference herein and therein. This summary is not complete and does not contain all the information you should consider before investing in our securities pursuant to this prospectus supplement and the accompanying prospectus. Before making an investment decision, you should carefully read this entire prospectus supplement and the accompanying prospectus, including “Risk Factors” in this prospectus supplement and the financial and other information incorporated by reference herein, as well as the information included in any free writing prospectus that we have authorized for use in connection with this offering.</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Company</w:t>
      </w:r>
    </w:p>
    <w:p>
      <w:pPr>
        <w:spacing w:after="0" w:line="104" w:lineRule="exact"/>
        <w:rPr>
          <w:sz w:val="20"/>
          <w:szCs w:val="20"/>
          <w:color w:val="auto"/>
        </w:rPr>
      </w:pPr>
    </w:p>
    <w:p>
      <w:pPr>
        <w:ind w:left="300" w:firstLine="426"/>
        <w:spacing w:after="0" w:line="239" w:lineRule="auto"/>
        <w:rPr>
          <w:sz w:val="20"/>
          <w:szCs w:val="20"/>
          <w:color w:val="auto"/>
        </w:rPr>
      </w:pPr>
      <w:r>
        <w:rPr>
          <w:rFonts w:ascii="Arial" w:cs="Arial" w:eastAsia="Arial" w:hAnsi="Arial"/>
          <w:sz w:val="18"/>
          <w:szCs w:val="18"/>
          <w:color w:val="auto"/>
        </w:rPr>
        <w:t xml:space="preserve">We are a biotechnology company dedicated to developing and commercializing innovative solutions that treat urothelial and specialty cancers. We have developed </w:t>
      </w:r>
      <w:r>
        <w:rPr>
          <w:rFonts w:ascii="Arial" w:cs="Arial" w:eastAsia="Arial" w:hAnsi="Arial"/>
          <w:sz w:val="18"/>
          <w:szCs w:val="18"/>
          <w:i w:val="1"/>
          <w:iCs w:val="1"/>
          <w:color w:val="auto"/>
        </w:rPr>
        <w:t>RTGel</w:t>
      </w:r>
      <w:r>
        <w:rPr>
          <w:rFonts w:ascii="Arial" w:cs="Arial" w:eastAsia="Arial" w:hAnsi="Arial"/>
          <w:sz w:val="18"/>
          <w:szCs w:val="18"/>
          <w:color w:val="auto"/>
        </w:rPr>
        <w:t xml:space="preserve"> reverse-thermal hydrogel, a proprietary sustained release, hydrogel-based technology that has the potential to improve therapeutic profiles of existing drugs. Our technology is designed to enable longer exposure of the urinary tract tissue to medications, making local therapy a potentially more effective treatment option. Our approved product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(mitomycin) for pyelocalyceal solution, and our investigational candidate, UGN-102 (mitomycin) for intravesical solution, are designed to ablate tumors by non-surgical means and to treat several forms of non-muscle invasive urothelial cancer, including low-grade upper tract urothelial cancer (“low-grade UTUC”) and low-grade intermediate risk non-muscle invasive bladder cancer (“low-grade intermediate risk NMIBC”), respectively. In addition, our immuno-uro-oncology pipeline includes UGN-301 (zalifrelimab), an anti-CTLA-4 antibody, which we intend to study as both monotherapy and combination therapy.</w:t>
      </w:r>
    </w:p>
    <w:p>
      <w:pPr>
        <w:spacing w:after="0" w:line="183" w:lineRule="exact"/>
        <w:rPr>
          <w:sz w:val="20"/>
          <w:szCs w:val="20"/>
          <w:color w:val="auto"/>
        </w:rPr>
      </w:pPr>
    </w:p>
    <w:p>
      <w:pPr>
        <w:ind w:left="300" w:firstLine="426"/>
        <w:spacing w:after="0" w:line="271" w:lineRule="auto"/>
        <w:rPr>
          <w:sz w:val="20"/>
          <w:szCs w:val="20"/>
          <w:color w:val="auto"/>
        </w:rPr>
      </w:pPr>
      <w:r>
        <w:rPr>
          <w:rFonts w:ascii="Arial" w:cs="Arial" w:eastAsia="Arial" w:hAnsi="Arial"/>
          <w:sz w:val="18"/>
          <w:szCs w:val="18"/>
          <w:color w:val="auto"/>
        </w:rPr>
        <w:t>We estimate that the annual treatable patient population of low-grade UTUC in the United States is approximately 6,000 to 7,000 and the annual treatable population of low-grade intermediate risk NMIBC is approximately 82,000.</w:t>
      </w:r>
    </w:p>
    <w:p>
      <w:pPr>
        <w:spacing w:after="0" w:line="154" w:lineRule="exact"/>
        <w:rPr>
          <w:sz w:val="20"/>
          <w:szCs w:val="20"/>
          <w:color w:val="auto"/>
        </w:rPr>
      </w:pPr>
    </w:p>
    <w:p>
      <w:pPr>
        <w:ind w:left="300" w:right="100" w:firstLine="426"/>
        <w:spacing w:after="0" w:line="244" w:lineRule="auto"/>
        <w:rPr>
          <w:sz w:val="20"/>
          <w:szCs w:val="20"/>
          <w:color w:val="auto"/>
        </w:rPr>
      </w:pPr>
      <w:r>
        <w:rPr>
          <w:rFonts w:ascii="Arial" w:cs="Arial" w:eastAsia="Arial" w:hAnsi="Arial"/>
          <w:sz w:val="18"/>
          <w:szCs w:val="18"/>
          <w:i w:val="1"/>
          <w:iCs w:val="1"/>
          <w:color w:val="auto"/>
        </w:rPr>
        <w:t xml:space="preserve">RTGel </w:t>
      </w:r>
      <w:r>
        <w:rPr>
          <w:rFonts w:ascii="Arial" w:cs="Arial" w:eastAsia="Arial" w:hAnsi="Arial"/>
          <w:sz w:val="18"/>
          <w:szCs w:val="18"/>
          <w:color w:val="auto"/>
        </w:rPr>
        <w:t>(or hydrogel) is a novel proprietary polymeric biocompatible, reverse thermal gelation hydrogel technology, which, unlike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general characteristics of most forms of matter, is liquid at lower temperatures and converts into gel form when warmed to body temperature. We believe that these characteristics promote ease of delivery into and retention of drugs in body cavities, including the bladder and the upper urinary tract, forming a transient reservoir of drug that dissolves over time while preventing rapid excretion, providing for increased dwell time. </w:t>
      </w:r>
      <w:r>
        <w:rPr>
          <w:rFonts w:ascii="Arial" w:cs="Arial" w:eastAsia="Arial" w:hAnsi="Arial"/>
          <w:sz w:val="18"/>
          <w:szCs w:val="18"/>
          <w:i w:val="1"/>
          <w:iCs w:val="1"/>
          <w:color w:val="auto"/>
        </w:rPr>
        <w:t>RTGel</w:t>
      </w:r>
      <w:r>
        <w:rPr>
          <w:rFonts w:ascii="Arial" w:cs="Arial" w:eastAsia="Arial" w:hAnsi="Arial"/>
          <w:sz w:val="18"/>
          <w:szCs w:val="18"/>
          <w:color w:val="auto"/>
        </w:rPr>
        <w:t xml:space="preserve"> leverages the physiologic flow of urine to provide a natural exit from the body.</w:t>
      </w:r>
    </w:p>
    <w:p>
      <w:pPr>
        <w:spacing w:after="0" w:line="176" w:lineRule="exact"/>
        <w:rPr>
          <w:sz w:val="20"/>
          <w:szCs w:val="20"/>
          <w:color w:val="auto"/>
        </w:rPr>
      </w:pPr>
    </w:p>
    <w:p>
      <w:pPr>
        <w:ind w:left="300" w:firstLine="426"/>
        <w:spacing w:after="0" w:line="253" w:lineRule="auto"/>
        <w:rPr>
          <w:sz w:val="20"/>
          <w:szCs w:val="20"/>
          <w:color w:val="auto"/>
        </w:rPr>
      </w:pPr>
      <w:r>
        <w:rPr>
          <w:rFonts w:ascii="Arial" w:cs="Arial" w:eastAsia="Arial" w:hAnsi="Arial"/>
          <w:sz w:val="18"/>
          <w:szCs w:val="18"/>
          <w:color w:val="auto"/>
        </w:rPr>
        <w:t xml:space="preserve">We believe that </w:t>
      </w:r>
      <w:r>
        <w:rPr>
          <w:rFonts w:ascii="Arial" w:cs="Arial" w:eastAsia="Arial" w:hAnsi="Arial"/>
          <w:sz w:val="18"/>
          <w:szCs w:val="18"/>
          <w:i w:val="1"/>
          <w:iCs w:val="1"/>
          <w:color w:val="auto"/>
        </w:rPr>
        <w:t>RTGel</w:t>
      </w:r>
      <w:r>
        <w:rPr>
          <w:rFonts w:ascii="Arial" w:cs="Arial" w:eastAsia="Arial" w:hAnsi="Arial"/>
          <w:sz w:val="18"/>
          <w:szCs w:val="18"/>
          <w:color w:val="auto"/>
        </w:rPr>
        <w:t xml:space="preserve">, when formulated with an active drug, may allow for the improved efficacy of treatment of various types of urothelial and specialty cancers and urologic diseases without compromising the safety of the patient or interfering with the natural flow of fluids in the urinary tract. </w:t>
      </w:r>
      <w:r>
        <w:rPr>
          <w:rFonts w:ascii="Arial" w:cs="Arial" w:eastAsia="Arial" w:hAnsi="Arial"/>
          <w:sz w:val="18"/>
          <w:szCs w:val="18"/>
          <w:i w:val="1"/>
          <w:iCs w:val="1"/>
          <w:color w:val="auto"/>
        </w:rPr>
        <w:t>RTGel</w:t>
      </w:r>
      <w:r>
        <w:rPr>
          <w:rFonts w:ascii="Arial" w:cs="Arial" w:eastAsia="Arial" w:hAnsi="Arial"/>
          <w:sz w:val="18"/>
          <w:szCs w:val="18"/>
          <w:color w:val="auto"/>
        </w:rPr>
        <w:t xml:space="preserve"> achieves this by:</w:t>
      </w:r>
    </w:p>
    <w:p>
      <w:pPr>
        <w:spacing w:after="0" w:line="196" w:lineRule="exact"/>
        <w:rPr>
          <w:sz w:val="20"/>
          <w:szCs w:val="20"/>
          <w:color w:val="auto"/>
        </w:rPr>
      </w:pPr>
    </w:p>
    <w:p>
      <w:pPr>
        <w:ind w:left="1120" w:right="80" w:hanging="407"/>
        <w:spacing w:after="0" w:line="232" w:lineRule="auto"/>
        <w:tabs>
          <w:tab w:leader="none" w:pos="1120" w:val="left"/>
        </w:tabs>
        <w:numPr>
          <w:ilvl w:val="0"/>
          <w:numId w:val="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increasing the exposure of active drugs in the bladder and upper urinary tract by significantly extending the dwell time of the active drug while conforming to the anatomy of the bladder and the upper urinary tract, which allows for enhanced drug tissue coverage. For example, the average dwell time of the standard aqueous mitomycin formulation, currently used as adjuvant treatment, in the upper urinary tract is approximately five minutes, compared to approximately six hours when mitomycin is formulated with RTGel;</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13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4133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20" w:right="100" w:hanging="407"/>
        <w:spacing w:after="0" w:line="231"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administering higher doses of an active drug than would otherwise be possible using standard water-based formulations. For instance, it is only possible to dissolve 0.5 mg of mitomycin in 1 mL of water while it is possible to formulate up to 8 mg of mitomycin with 1 mL of RTGel; and</w:t>
      </w:r>
    </w:p>
    <w:p>
      <w:pPr>
        <w:spacing w:after="0" w:line="1" w:lineRule="exact"/>
        <w:rPr>
          <w:rFonts w:ascii="MS PGothic" w:cs="MS PGothic" w:eastAsia="MS PGothic" w:hAnsi="MS PGothic"/>
          <w:sz w:val="25"/>
          <w:szCs w:val="25"/>
          <w:color w:val="auto"/>
          <w:vertAlign w:val="superscript"/>
        </w:rPr>
      </w:pPr>
    </w:p>
    <w:p>
      <w:pPr>
        <w:ind w:left="1120" w:hanging="407"/>
        <w:spacing w:after="0" w:line="230" w:lineRule="auto"/>
        <w:tabs>
          <w:tab w:leader="none" w:pos="112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maintaining the active drug’s molecular structure and mode of action.</w:t>
      </w:r>
    </w:p>
    <w:p>
      <w:pPr>
        <w:spacing w:after="0" w:line="180" w:lineRule="exact"/>
        <w:rPr>
          <w:sz w:val="20"/>
          <w:szCs w:val="20"/>
          <w:color w:val="auto"/>
        </w:rPr>
      </w:pPr>
    </w:p>
    <w:p>
      <w:pPr>
        <w:ind w:left="300" w:right="180" w:firstLine="426"/>
        <w:spacing w:after="0" w:line="247" w:lineRule="auto"/>
        <w:rPr>
          <w:sz w:val="20"/>
          <w:szCs w:val="20"/>
          <w:color w:val="auto"/>
        </w:rPr>
      </w:pPr>
      <w:r>
        <w:rPr>
          <w:rFonts w:ascii="Arial" w:cs="Arial" w:eastAsia="Arial" w:hAnsi="Arial"/>
          <w:sz w:val="18"/>
          <w:szCs w:val="18"/>
          <w:color w:val="auto"/>
        </w:rPr>
        <w:t xml:space="preserve">These characteristics of </w:t>
      </w:r>
      <w:r>
        <w:rPr>
          <w:rFonts w:ascii="Arial" w:cs="Arial" w:eastAsia="Arial" w:hAnsi="Arial"/>
          <w:sz w:val="18"/>
          <w:szCs w:val="18"/>
          <w:i w:val="1"/>
          <w:iCs w:val="1"/>
          <w:color w:val="auto"/>
        </w:rPr>
        <w:t>RTGel</w:t>
      </w:r>
      <w:r>
        <w:rPr>
          <w:rFonts w:ascii="Arial" w:cs="Arial" w:eastAsia="Arial" w:hAnsi="Arial"/>
          <w:sz w:val="18"/>
          <w:szCs w:val="18"/>
          <w:color w:val="auto"/>
        </w:rPr>
        <w:t xml:space="preserve"> enable sustained release of mitomycin in the urinary tract for both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Further, </w:t>
      </w:r>
      <w:r>
        <w:rPr>
          <w:rFonts w:ascii="Arial" w:cs="Arial" w:eastAsia="Arial" w:hAnsi="Arial"/>
          <w:sz w:val="18"/>
          <w:szCs w:val="18"/>
          <w:i w:val="1"/>
          <w:iCs w:val="1"/>
          <w:color w:val="auto"/>
        </w:rPr>
        <w:t>RTGel</w:t>
      </w:r>
      <w:r>
        <w:rPr>
          <w:rFonts w:ascii="Arial" w:cs="Arial" w:eastAsia="Arial" w:hAnsi="Arial"/>
          <w:sz w:val="18"/>
          <w:szCs w:val="18"/>
          <w:color w:val="auto"/>
        </w:rPr>
        <w:t xml:space="preserve"> may be particularly effective in the bladder and upper urinary tract where tumor visibility and access are challenging, and where there exists a significant amount of urine flow and voiding. We believe that these characteristics of </w:t>
      </w:r>
      <w:r>
        <w:rPr>
          <w:rFonts w:ascii="Arial" w:cs="Arial" w:eastAsia="Arial" w:hAnsi="Arial"/>
          <w:sz w:val="18"/>
          <w:szCs w:val="18"/>
          <w:i w:val="1"/>
          <w:iCs w:val="1"/>
          <w:color w:val="auto"/>
        </w:rPr>
        <w:t>RTGel</w:t>
      </w:r>
      <w:r>
        <w:rPr>
          <w:rFonts w:ascii="Arial" w:cs="Arial" w:eastAsia="Arial" w:hAnsi="Arial"/>
          <w:sz w:val="18"/>
          <w:szCs w:val="18"/>
          <w:color w:val="auto"/>
        </w:rPr>
        <w:t xml:space="preserve"> may prove useful for the local delivery of active drugs to other bodily cavities in addition to the bladder and upper urinary tract.</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04" w:lineRule="exact"/>
        <w:rPr>
          <w:sz w:val="20"/>
          <w:szCs w:val="20"/>
          <w:color w:val="auto"/>
        </w:rPr>
      </w:pPr>
    </w:p>
    <w:p>
      <w:pPr>
        <w:ind w:left="300" w:right="120" w:firstLine="426"/>
        <w:spacing w:after="0" w:line="271" w:lineRule="auto"/>
        <w:rPr>
          <w:sz w:val="20"/>
          <w:szCs w:val="20"/>
          <w:color w:val="auto"/>
        </w:rPr>
      </w:pPr>
      <w:r>
        <w:rPr>
          <w:rFonts w:ascii="Arial" w:cs="Arial" w:eastAsia="Arial" w:hAnsi="Arial"/>
          <w:sz w:val="18"/>
          <w:szCs w:val="18"/>
          <w:color w:val="auto"/>
        </w:rPr>
        <w:t>On June 13, 2024, we announced positive secondary endpoint duration of response (“DOR”) data from the Phase 3 ENVISION trial investigating UGN-102 for intravesical solution in patients with low-grade intermediate risk NMIBC.</w:t>
      </w:r>
    </w:p>
    <w:p>
      <w:pPr>
        <w:spacing w:after="0" w:line="154" w:lineRule="exact"/>
        <w:rPr>
          <w:sz w:val="20"/>
          <w:szCs w:val="20"/>
          <w:color w:val="auto"/>
        </w:rPr>
      </w:pPr>
    </w:p>
    <w:p>
      <w:pPr>
        <w:ind w:left="300" w:firstLine="426"/>
        <w:spacing w:after="0" w:line="244" w:lineRule="auto"/>
        <w:rPr>
          <w:sz w:val="20"/>
          <w:szCs w:val="20"/>
          <w:color w:val="auto"/>
        </w:rPr>
      </w:pPr>
      <w:r>
        <w:rPr>
          <w:rFonts w:ascii="Arial" w:cs="Arial" w:eastAsia="Arial" w:hAnsi="Arial"/>
          <w:sz w:val="18"/>
          <w:szCs w:val="18"/>
          <w:color w:val="auto"/>
        </w:rPr>
        <w:t>In our ENVISION trial, the 12-month DOR data by Kaplan-Meier (“KM”) estimate for patients who achieved a complete response (“CR”) at three months after the first instillation of UGN-102 was 82.3% (95% CI, 75.9%, 87.1%). This is in line with the 69.9% (51.8%, 82.3%) nine -month DOR data by KM estimate for patients who achieved a CR at three months after the first instillation of UGN-102 observed in our Phase 2b OPTIMA II trial and the 79.6% (69.3%, 86.8%) 12-month DOR data by KM estimate for patients who achieved a CR at three months after the first instillation of UGN-102 alone observed in our Phase 2 ATLAS trial.</w:t>
      </w:r>
    </w:p>
    <w:p>
      <w:pPr>
        <w:spacing w:after="0" w:line="176" w:lineRule="exact"/>
        <w:rPr>
          <w:sz w:val="20"/>
          <w:szCs w:val="20"/>
          <w:color w:val="auto"/>
        </w:rPr>
      </w:pPr>
    </w:p>
    <w:p>
      <w:pPr>
        <w:jc w:val="both"/>
        <w:ind w:left="300" w:right="20" w:firstLine="426"/>
        <w:spacing w:after="0" w:line="253" w:lineRule="auto"/>
        <w:rPr>
          <w:sz w:val="20"/>
          <w:szCs w:val="20"/>
          <w:color w:val="auto"/>
        </w:rPr>
      </w:pPr>
      <w:r>
        <w:rPr>
          <w:rFonts w:ascii="Arial" w:cs="Arial" w:eastAsia="Arial" w:hAnsi="Arial"/>
          <w:sz w:val="18"/>
          <w:szCs w:val="18"/>
          <w:color w:val="auto"/>
        </w:rPr>
        <w:t>Our ENVISION trial met its primary endpoint with patients having a 79.6% (73.9%, 84.5%) CR rate at three months after the first instillation of UGN-102. This is in line with the CR rates at three months after the first instillation of UGN-102 of 65.1% (52.0%, 76.7%) and 64.8% (56.3%, 72.6%) observed in our OPTIMA II trial and ATLAS trial, respectively.</w:t>
      </w:r>
    </w:p>
    <w:p>
      <w:pPr>
        <w:spacing w:after="0" w:line="169" w:lineRule="exact"/>
        <w:rPr>
          <w:sz w:val="20"/>
          <w:szCs w:val="20"/>
          <w:color w:val="auto"/>
        </w:rPr>
      </w:pPr>
    </w:p>
    <w:p>
      <w:pPr>
        <w:ind w:left="300" w:right="260" w:firstLine="426"/>
        <w:spacing w:after="0" w:line="271" w:lineRule="auto"/>
        <w:rPr>
          <w:sz w:val="20"/>
          <w:szCs w:val="20"/>
          <w:color w:val="auto"/>
        </w:rPr>
      </w:pPr>
      <w:r>
        <w:rPr>
          <w:rFonts w:ascii="Arial" w:cs="Arial" w:eastAsia="Arial" w:hAnsi="Arial"/>
          <w:sz w:val="18"/>
          <w:szCs w:val="18"/>
          <w:color w:val="auto"/>
        </w:rPr>
        <w:t>Among the patients in our ENVISION trial who achieved a CR at three months, 76.4% (69.8%, 82.3%) maintained a CR at 12 months. Among the 240 patients enrolled in our ENVISION trial, 60.8% (54.3%, 67.0%) were still in response at 12 months.</w:t>
      </w:r>
    </w:p>
    <w:p>
      <w:pPr>
        <w:spacing w:after="0" w:line="154" w:lineRule="exact"/>
        <w:rPr>
          <w:sz w:val="20"/>
          <w:szCs w:val="20"/>
          <w:color w:val="auto"/>
        </w:rPr>
      </w:pPr>
    </w:p>
    <w:p>
      <w:pPr>
        <w:ind w:left="300" w:right="320" w:firstLine="426"/>
        <w:spacing w:after="0" w:line="253" w:lineRule="auto"/>
        <w:rPr>
          <w:sz w:val="20"/>
          <w:szCs w:val="20"/>
          <w:color w:val="auto"/>
        </w:rPr>
      </w:pPr>
      <w:r>
        <w:rPr>
          <w:rFonts w:ascii="Arial" w:cs="Arial" w:eastAsia="Arial" w:hAnsi="Arial"/>
          <w:sz w:val="18"/>
          <w:szCs w:val="18"/>
          <w:color w:val="auto"/>
        </w:rPr>
        <w:t>In our ENVISION trial, DOR KM estimates at 15 (n=43) and 18 (n=9) months were both 80.9% (95% CI, 73.9%, 86.2%). Although median DOR was not estimable due to the number of patients remaining in CR, the predicted median DOR is 40 months based on the Weibull Predicted Curve.</w:t>
      </w:r>
    </w:p>
    <w:p>
      <w:pPr>
        <w:spacing w:after="0" w:line="169" w:lineRule="exact"/>
        <w:rPr>
          <w:sz w:val="20"/>
          <w:szCs w:val="20"/>
          <w:color w:val="auto"/>
        </w:rPr>
      </w:pPr>
    </w:p>
    <w:p>
      <w:pPr>
        <w:ind w:left="300" w:right="320" w:firstLine="426"/>
        <w:spacing w:after="0" w:line="271" w:lineRule="auto"/>
        <w:rPr>
          <w:sz w:val="20"/>
          <w:szCs w:val="20"/>
          <w:color w:val="auto"/>
        </w:rPr>
      </w:pPr>
      <w:r>
        <w:rPr>
          <w:rFonts w:ascii="Arial" w:cs="Arial" w:eastAsia="Arial" w:hAnsi="Arial"/>
          <w:sz w:val="18"/>
          <w:szCs w:val="18"/>
          <w:color w:val="auto"/>
        </w:rPr>
        <w:t>Our ENVISION trial demonstrated a similar safety profile to that observed in our OPTIMA II and ATLAS trials, with treatment-emergent adverse events typically mild-to-moderate in severity.</w:t>
      </w:r>
    </w:p>
    <w:p>
      <w:pPr>
        <w:spacing w:after="0" w:line="154" w:lineRule="exact"/>
        <w:rPr>
          <w:sz w:val="20"/>
          <w:szCs w:val="20"/>
          <w:color w:val="auto"/>
        </w:rPr>
      </w:pPr>
    </w:p>
    <w:p>
      <w:pPr>
        <w:ind w:left="300" w:firstLine="426"/>
        <w:spacing w:after="0" w:line="244" w:lineRule="auto"/>
        <w:rPr>
          <w:sz w:val="20"/>
          <w:szCs w:val="20"/>
          <w:color w:val="auto"/>
        </w:rPr>
      </w:pPr>
      <w:r>
        <w:rPr>
          <w:rFonts w:ascii="Arial" w:cs="Arial" w:eastAsia="Arial" w:hAnsi="Arial"/>
          <w:sz w:val="18"/>
          <w:szCs w:val="18"/>
          <w:color w:val="auto"/>
        </w:rPr>
        <w:t>In January 2024, we initiated the submission of a rolling New Drug Application (“NDA”) to the U.S. Food and Drug Administration (“FDA”) for UGN-102 as a treatment for low-grade intermediate risk NMIBC. The latest DOR data are expected to support the UGN-102 NDA, which we plan to complete in the third quarter of 2024, with a potential FDA acceptance in the fourth quarter of 2024 and potential FDA approval in the first quarter of 2025 (assuming priority review) or the second quarter of 2025 (assuming standard review).</w:t>
      </w: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2956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32956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firstLine="426"/>
        <w:spacing w:after="0" w:line="244" w:lineRule="auto"/>
        <w:rPr>
          <w:sz w:val="20"/>
          <w:szCs w:val="20"/>
          <w:color w:val="auto"/>
        </w:rPr>
      </w:pPr>
      <w:r>
        <w:rPr>
          <w:rFonts w:ascii="Arial" w:cs="Arial" w:eastAsia="Arial" w:hAnsi="Arial"/>
          <w:sz w:val="18"/>
          <w:szCs w:val="18"/>
          <w:color w:val="auto"/>
        </w:rPr>
        <w:t>If approved, UGN-102 may become the first FDA-approved medicine for low-grade intermediate risk NMIBC. We estimate that the annual addressable U.S. patient population for low-grade intermediate risk NMIBC is approximately 82,000, of which approximately 23,000 are estimated to be newly diagnosed and 59,000 are estimated to be recurrent patients. We estimate that the total addressable market opportunity for UGN-102 in low-grade intermediate risk NMIBC is potentially over $5.0 billion, assuming an expected pricing range of $16,000 to $19,000 per dose.</w:t>
      </w:r>
    </w:p>
    <w:p>
      <w:pPr>
        <w:spacing w:after="0" w:line="176" w:lineRule="exact"/>
        <w:rPr>
          <w:sz w:val="20"/>
          <w:szCs w:val="20"/>
          <w:color w:val="auto"/>
        </w:rPr>
      </w:pPr>
    </w:p>
    <w:p>
      <w:pPr>
        <w:ind w:left="300" w:right="40" w:firstLine="426"/>
        <w:spacing w:after="0" w:line="242" w:lineRule="auto"/>
        <w:rPr>
          <w:sz w:val="20"/>
          <w:szCs w:val="20"/>
          <w:color w:val="auto"/>
        </w:rPr>
      </w:pPr>
      <w:r>
        <w:rPr>
          <w:rFonts w:ascii="Arial" w:cs="Arial" w:eastAsia="Arial" w:hAnsi="Arial"/>
          <w:sz w:val="18"/>
          <w:szCs w:val="18"/>
          <w:color w:val="auto"/>
        </w:rPr>
        <w:t>UGN-102, if approved, may be an alternative to the current standard of care for low-grade intermediate risk NMIBC, trans-urethral resection of bladder tumor (“TURBT”). We estimate that approximately 68% of low-grade intermediate risk NMIBC patients have two or more recurrences, with approximately 23% having five or more recurrences. Repeated TURBT procedures to treat these recurrences can impact patients’ physical health and quality of life. We estimate that around 35% of patients will experience an adverse event within 90 days of undergoing a TURBT, and patients who have had two to four procedures have an estimated 14% greater risk of death than patients who have only had one procedure.</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04" w:lineRule="exact"/>
        <w:rPr>
          <w:sz w:val="20"/>
          <w:szCs w:val="20"/>
          <w:color w:val="auto"/>
        </w:rPr>
      </w:pPr>
    </w:p>
    <w:p>
      <w:pPr>
        <w:ind w:left="300" w:firstLine="426"/>
        <w:spacing w:after="0" w:line="244" w:lineRule="auto"/>
        <w:rPr>
          <w:sz w:val="20"/>
          <w:szCs w:val="20"/>
          <w:color w:val="auto"/>
        </w:rPr>
      </w:pPr>
      <w:r>
        <w:rPr>
          <w:rFonts w:ascii="Arial" w:cs="Arial" w:eastAsia="Arial" w:hAnsi="Arial"/>
          <w:sz w:val="18"/>
          <w:szCs w:val="18"/>
          <w:color w:val="auto"/>
        </w:rPr>
        <w:t xml:space="preserve">We were incorporated under the laws of the State of Israel in April 2004 under the name TheraCoat Ltd. In September 2015, we changed our name to UroGen Pharma Ltd. Our principal executive offices are located at 400 Alexander Park Drive, Princeton, New Jersey 08540 and our telephone number is (646) 768-9780. Our website address is </w:t>
      </w:r>
      <w:r>
        <w:rPr>
          <w:rFonts w:ascii="Arial" w:cs="Arial" w:eastAsia="Arial" w:hAnsi="Arial"/>
          <w:sz w:val="18"/>
          <w:szCs w:val="18"/>
          <w:i w:val="1"/>
          <w:iCs w:val="1"/>
          <w:color w:val="auto"/>
        </w:rPr>
        <w:t>www.urogen.com</w:t>
      </w:r>
      <w:r>
        <w:rPr>
          <w:rFonts w:ascii="Arial" w:cs="Arial" w:eastAsia="Arial" w:hAnsi="Arial"/>
          <w:sz w:val="18"/>
          <w:szCs w:val="18"/>
          <w:color w:val="auto"/>
        </w:rPr>
        <w:t>. The information contained on, or that can be accessed through, our website does not constitute a part of, and is not incorporated by reference into this prospectus supplement. We have included our website address as an inactive textual reference only.</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UroGen Pharma, Inc., our wholly owned subsidiary, was incorporated under the laws of the State of Delaware in October 2015.</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ordinary shares have been listed on the Nasdaq Global Market under the symbol “URGN” since May 4, 2017.</w:t>
      </w:r>
    </w:p>
    <w:p>
      <w:pPr>
        <w:spacing w:after="0" w:line="3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880"/>
          </w:cols>
          <w:pgMar w:left="320" w:top="455" w:right="6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259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25907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right="1140"/>
        <w:spacing w:after="0" w:line="477" w:lineRule="auto"/>
        <w:rPr>
          <w:sz w:val="20"/>
          <w:szCs w:val="20"/>
          <w:color w:val="auto"/>
        </w:rPr>
      </w:pPr>
      <w:r>
        <w:rPr>
          <w:rFonts w:ascii="Arial" w:cs="Arial" w:eastAsia="Arial" w:hAnsi="Arial"/>
          <w:sz w:val="17"/>
          <w:szCs w:val="17"/>
          <w:b w:val="1"/>
          <w:bCs w:val="1"/>
          <w:color w:val="auto"/>
        </w:rPr>
        <w:t>Ordinary shares offered by us Pre-funded warrants offered by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ordinary shares.</w:t>
      </w:r>
    </w:p>
    <w:p>
      <w:pPr>
        <w:spacing w:after="0" w:line="131" w:lineRule="exact"/>
        <w:rPr>
          <w:sz w:val="20"/>
          <w:szCs w:val="20"/>
          <w:color w:val="auto"/>
        </w:rPr>
      </w:pPr>
    </w:p>
    <w:p>
      <w:pPr>
        <w:ind w:left="420" w:right="240"/>
        <w:spacing w:after="0" w:line="238" w:lineRule="auto"/>
        <w:rPr>
          <w:sz w:val="20"/>
          <w:szCs w:val="20"/>
          <w:color w:val="auto"/>
        </w:rPr>
      </w:pPr>
      <w:r>
        <w:rPr>
          <w:rFonts w:ascii="Arial" w:cs="Arial" w:eastAsia="Arial" w:hAnsi="Arial"/>
          <w:sz w:val="18"/>
          <w:szCs w:val="18"/>
          <w:color w:val="auto"/>
        </w:rPr>
        <w:t>We are also offering, in lieu of ordinary shares, to certain investors that so choose, pre-funded warrants to purchase       ordinary shares. The purchase price of each pre-funded warrant equals the price per share at which the ordinary shares are being sold to the public in this offering, minus $0.001, which is the exercise price of each pre-funded warrant per share. The pre-funded warrants do not expire and each pre-funded warrant will be exercisable at any time after the date of issuance of such pre-funded warrant, subject to an ownership limitation. See “Description of Securities We Are Offering—Pre-Funded Warrants” for additional information. This prospectus supplement also relates to the offering of the ordinary shares issuable upon exercise of the pre-funded warrants.</w:t>
      </w:r>
    </w:p>
    <w:p>
      <w:pPr>
        <w:spacing w:after="0" w:line="200" w:lineRule="exact"/>
        <w:rPr>
          <w:sz w:val="20"/>
          <w:szCs w:val="20"/>
          <w:color w:val="auto"/>
        </w:rPr>
      </w:pPr>
    </w:p>
    <w:p>
      <w:pPr>
        <w:sectPr>
          <w:pgSz w:w="11900" w:h="16838" w:orient="portrait"/>
          <w:cols w:equalWidth="0" w:num="2">
            <w:col w:w="4360" w:space="720"/>
            <w:col w:w="6060"/>
          </w:cols>
          <w:pgMar w:left="320" w:top="455" w:right="439" w:bottom="1440" w:gutter="0" w:footer="0" w:header="0"/>
          <w:type w:val="continuous"/>
        </w:sectPr>
      </w:pPr>
    </w:p>
    <w:p>
      <w:pPr>
        <w:spacing w:after="0" w:line="10" w:lineRule="exact"/>
        <w:rPr>
          <w:sz w:val="20"/>
          <w:szCs w:val="20"/>
          <w:color w:val="auto"/>
        </w:rPr>
      </w:pPr>
    </w:p>
    <w:p>
      <w:pPr>
        <w:ind w:left="300"/>
        <w:spacing w:after="0"/>
        <w:tabs>
          <w:tab w:leader="none" w:pos="5480" w:val="left"/>
        </w:tabs>
        <w:rPr>
          <w:sz w:val="20"/>
          <w:szCs w:val="20"/>
          <w:color w:val="auto"/>
        </w:rPr>
      </w:pPr>
      <w:r>
        <w:rPr>
          <w:rFonts w:ascii="Arial" w:cs="Arial" w:eastAsia="Arial" w:hAnsi="Arial"/>
          <w:sz w:val="18"/>
          <w:szCs w:val="18"/>
          <w:b w:val="1"/>
          <w:bCs w:val="1"/>
          <w:color w:val="auto"/>
        </w:rPr>
        <w:t>Option to purchase additional ordinary shares</w:t>
      </w:r>
      <w:r>
        <w:rPr>
          <w:sz w:val="20"/>
          <w:szCs w:val="20"/>
          <w:color w:val="auto"/>
        </w:rPr>
        <w:tab/>
      </w:r>
      <w:r>
        <w:rPr>
          <w:rFonts w:ascii="Arial" w:cs="Arial" w:eastAsia="Arial" w:hAnsi="Arial"/>
          <w:sz w:val="17"/>
          <w:szCs w:val="17"/>
          <w:color w:val="auto"/>
        </w:rPr>
        <w:t>We have granted the underwriters an option exercisable for 30 days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from the date of this prospectus supplement to purchase up to</w:t>
      </w:r>
    </w:p>
    <w:p>
      <w:pPr>
        <w:ind w:left="5500"/>
        <w:spacing w:after="0"/>
        <w:rPr>
          <w:sz w:val="20"/>
          <w:szCs w:val="20"/>
          <w:color w:val="auto"/>
        </w:rPr>
      </w:pPr>
      <w:r>
        <w:rPr>
          <w:rFonts w:ascii="Arial" w:cs="Arial" w:eastAsia="Arial" w:hAnsi="Arial"/>
          <w:sz w:val="18"/>
          <w:szCs w:val="18"/>
          <w:color w:val="auto"/>
        </w:rPr>
        <w:t>      additional ordinary shares from us at the public offering price.</w:t>
      </w:r>
    </w:p>
    <w:p>
      <w:pPr>
        <w:sectPr>
          <w:pgSz w:w="11900" w:h="16838" w:orient="portrait"/>
          <w:cols w:equalWidth="0" w:num="1">
            <w:col w:w="11140"/>
          </w:cols>
          <w:pgMar w:left="320" w:top="455" w:right="439" w:bottom="1440" w:gutter="0" w:footer="0" w:header="0"/>
          <w:type w:val="continuous"/>
        </w:sectPr>
      </w:pPr>
    </w:p>
    <w:p>
      <w:pPr>
        <w:spacing w:after="0" w:line="221" w:lineRule="exact"/>
        <w:rPr>
          <w:sz w:val="20"/>
          <w:szCs w:val="20"/>
          <w:color w:val="auto"/>
        </w:rPr>
      </w:pPr>
    </w:p>
    <w:p>
      <w:pPr>
        <w:ind w:left="400" w:hanging="101"/>
        <w:spacing w:after="0" w:line="281" w:lineRule="auto"/>
        <w:rPr>
          <w:sz w:val="20"/>
          <w:szCs w:val="20"/>
          <w:color w:val="auto"/>
        </w:rPr>
      </w:pPr>
      <w:r>
        <w:rPr>
          <w:rFonts w:ascii="Arial" w:cs="Arial" w:eastAsia="Arial" w:hAnsi="Arial"/>
          <w:sz w:val="18"/>
          <w:szCs w:val="18"/>
          <w:b w:val="1"/>
          <w:bCs w:val="1"/>
          <w:color w:val="auto"/>
        </w:rPr>
        <w:t>Ordinary shares to be outstanding immediately after this offering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ind w:left="-5" w:right="280" w:firstLine="5"/>
        <w:spacing w:after="0" w:line="266" w:lineRule="auto"/>
        <w:tabs>
          <w:tab w:leader="none" w:pos="175" w:val="left"/>
        </w:tabs>
        <w:numPr>
          <w:ilvl w:val="0"/>
          <w:numId w:val="4"/>
        </w:numPr>
        <w:rPr>
          <w:rFonts w:ascii="Arial" w:cs="Arial" w:eastAsia="Arial" w:hAnsi="Arial"/>
          <w:sz w:val="17"/>
          <w:szCs w:val="17"/>
          <w:color w:val="auto"/>
        </w:rPr>
      </w:pPr>
      <w:r>
        <w:rPr>
          <w:rFonts w:ascii="Arial" w:cs="Arial" w:eastAsia="Arial" w:hAnsi="Arial"/>
          <w:sz w:val="17"/>
          <w:szCs w:val="17"/>
          <w:color w:val="auto"/>
        </w:rPr>
        <w:t>    ordinary shares (or       ordinary shares if the underwriters exercise in full their option to purchase additional ordinary shares), in each case assuming no exercise of any pre-funded warrants issued in this offering.</w:t>
      </w:r>
    </w:p>
    <w:p>
      <w:pPr>
        <w:spacing w:after="0" w:line="182" w:lineRule="exact"/>
        <w:rPr>
          <w:sz w:val="20"/>
          <w:szCs w:val="20"/>
          <w:color w:val="auto"/>
        </w:rPr>
      </w:pPr>
    </w:p>
    <w:p>
      <w:pPr>
        <w:sectPr>
          <w:pgSz w:w="11900" w:h="16838" w:orient="portrait"/>
          <w:cols w:equalWidth="0" w:num="2">
            <w:col w:w="5140" w:space="365"/>
            <w:col w:w="5635"/>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348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7540" w:type="dxa"/>
            <w:vAlign w:val="bottom"/>
          </w:tcPr>
          <w:p>
            <w:pPr>
              <w:ind w:left="1900"/>
              <w:spacing w:after="0"/>
              <w:rPr>
                <w:sz w:val="20"/>
                <w:szCs w:val="20"/>
                <w:color w:val="auto"/>
              </w:rPr>
            </w:pPr>
            <w:r>
              <w:rPr>
                <w:rFonts w:ascii="Arial" w:cs="Arial" w:eastAsia="Arial" w:hAnsi="Arial"/>
                <w:sz w:val="18"/>
                <w:szCs w:val="18"/>
                <w:color w:val="auto"/>
              </w:rPr>
              <w:t>We estimate that the net proceeds to us from this offering will be</w:t>
            </w:r>
          </w:p>
        </w:tc>
      </w:tr>
      <w:tr>
        <w:trPr>
          <w:trHeight w:val="203"/>
        </w:trPr>
        <w:tc>
          <w:tcPr>
            <w:tcW w:w="3480" w:type="dxa"/>
            <w:vAlign w:val="bottom"/>
          </w:tcPr>
          <w:p>
            <w:pPr>
              <w:spacing w:after="0"/>
              <w:rPr>
                <w:sz w:val="17"/>
                <w:szCs w:val="17"/>
                <w:color w:val="auto"/>
              </w:rPr>
            </w:pPr>
          </w:p>
        </w:tc>
        <w:tc>
          <w:tcPr>
            <w:tcW w:w="7540" w:type="dxa"/>
            <w:vAlign w:val="bottom"/>
          </w:tcPr>
          <w:p>
            <w:pPr>
              <w:ind w:left="1900"/>
              <w:spacing w:after="0" w:line="202" w:lineRule="exact"/>
              <w:rPr>
                <w:sz w:val="20"/>
                <w:szCs w:val="20"/>
                <w:color w:val="auto"/>
              </w:rPr>
            </w:pPr>
            <w:r>
              <w:rPr>
                <w:rFonts w:ascii="Arial" w:cs="Arial" w:eastAsia="Arial" w:hAnsi="Arial"/>
                <w:sz w:val="18"/>
                <w:szCs w:val="18"/>
                <w:color w:val="auto"/>
              </w:rPr>
              <w:t>approximately $       , or approximately $       if the</w:t>
            </w:r>
          </w:p>
        </w:tc>
      </w:tr>
      <w:tr>
        <w:trPr>
          <w:trHeight w:val="203"/>
        </w:trPr>
        <w:tc>
          <w:tcPr>
            <w:tcW w:w="3480" w:type="dxa"/>
            <w:vAlign w:val="bottom"/>
          </w:tcPr>
          <w:p>
            <w:pPr>
              <w:spacing w:after="0"/>
              <w:rPr>
                <w:sz w:val="17"/>
                <w:szCs w:val="17"/>
                <w:color w:val="auto"/>
              </w:rPr>
            </w:pPr>
          </w:p>
        </w:tc>
        <w:tc>
          <w:tcPr>
            <w:tcW w:w="7540" w:type="dxa"/>
            <w:vAlign w:val="bottom"/>
          </w:tcPr>
          <w:p>
            <w:pPr>
              <w:ind w:left="1900"/>
              <w:spacing w:after="0" w:line="202" w:lineRule="exact"/>
              <w:rPr>
                <w:sz w:val="20"/>
                <w:szCs w:val="20"/>
                <w:color w:val="auto"/>
              </w:rPr>
            </w:pPr>
            <w:r>
              <w:rPr>
                <w:rFonts w:ascii="Arial" w:cs="Arial" w:eastAsia="Arial" w:hAnsi="Arial"/>
                <w:sz w:val="18"/>
                <w:szCs w:val="18"/>
                <w:color w:val="auto"/>
              </w:rPr>
              <w:t>underwriters exercise in full their option to purchase additional</w:t>
            </w:r>
          </w:p>
        </w:tc>
      </w:tr>
      <w:tr>
        <w:trPr>
          <w:trHeight w:val="203"/>
        </w:trPr>
        <w:tc>
          <w:tcPr>
            <w:tcW w:w="3480" w:type="dxa"/>
            <w:vAlign w:val="bottom"/>
          </w:tcPr>
          <w:p>
            <w:pPr>
              <w:spacing w:after="0"/>
              <w:rPr>
                <w:sz w:val="17"/>
                <w:szCs w:val="17"/>
                <w:color w:val="auto"/>
              </w:rPr>
            </w:pPr>
          </w:p>
        </w:tc>
        <w:tc>
          <w:tcPr>
            <w:tcW w:w="7540" w:type="dxa"/>
            <w:vAlign w:val="bottom"/>
          </w:tcPr>
          <w:p>
            <w:pPr>
              <w:ind w:left="1900"/>
              <w:spacing w:after="0" w:line="202" w:lineRule="exact"/>
              <w:rPr>
                <w:sz w:val="20"/>
                <w:szCs w:val="20"/>
                <w:color w:val="auto"/>
              </w:rPr>
            </w:pPr>
            <w:r>
              <w:rPr>
                <w:rFonts w:ascii="Arial" w:cs="Arial" w:eastAsia="Arial" w:hAnsi="Arial"/>
                <w:sz w:val="18"/>
                <w:szCs w:val="18"/>
                <w:color w:val="auto"/>
              </w:rPr>
              <w:t>ordinary shares, in each case assuming no sale of pre-funded</w:t>
            </w:r>
          </w:p>
        </w:tc>
      </w:tr>
      <w:tr>
        <w:trPr>
          <w:trHeight w:val="203"/>
        </w:trPr>
        <w:tc>
          <w:tcPr>
            <w:tcW w:w="3480" w:type="dxa"/>
            <w:vAlign w:val="bottom"/>
          </w:tcPr>
          <w:p>
            <w:pPr>
              <w:spacing w:after="0"/>
              <w:rPr>
                <w:sz w:val="17"/>
                <w:szCs w:val="17"/>
                <w:color w:val="auto"/>
              </w:rPr>
            </w:pPr>
          </w:p>
        </w:tc>
        <w:tc>
          <w:tcPr>
            <w:tcW w:w="7540" w:type="dxa"/>
            <w:vAlign w:val="bottom"/>
          </w:tcPr>
          <w:p>
            <w:pPr>
              <w:ind w:left="1900"/>
              <w:spacing w:after="0" w:line="202" w:lineRule="exact"/>
              <w:rPr>
                <w:sz w:val="20"/>
                <w:szCs w:val="20"/>
                <w:color w:val="auto"/>
              </w:rPr>
            </w:pPr>
            <w:r>
              <w:rPr>
                <w:rFonts w:ascii="Arial" w:cs="Arial" w:eastAsia="Arial" w:hAnsi="Arial"/>
                <w:sz w:val="18"/>
                <w:szCs w:val="18"/>
                <w:color w:val="auto"/>
              </w:rPr>
              <w:t>warrants in this offering, after deducting the underwriting discounts</w:t>
            </w:r>
          </w:p>
        </w:tc>
      </w:tr>
      <w:tr>
        <w:trPr>
          <w:trHeight w:val="203"/>
        </w:trPr>
        <w:tc>
          <w:tcPr>
            <w:tcW w:w="3480" w:type="dxa"/>
            <w:vAlign w:val="bottom"/>
          </w:tcPr>
          <w:p>
            <w:pPr>
              <w:spacing w:after="0"/>
              <w:rPr>
                <w:sz w:val="17"/>
                <w:szCs w:val="17"/>
                <w:color w:val="auto"/>
              </w:rPr>
            </w:pPr>
          </w:p>
        </w:tc>
        <w:tc>
          <w:tcPr>
            <w:tcW w:w="7540" w:type="dxa"/>
            <w:vAlign w:val="bottom"/>
          </w:tcPr>
          <w:p>
            <w:pPr>
              <w:ind w:left="1900"/>
              <w:spacing w:after="0" w:line="202" w:lineRule="exact"/>
              <w:rPr>
                <w:sz w:val="20"/>
                <w:szCs w:val="20"/>
                <w:color w:val="auto"/>
              </w:rPr>
            </w:pPr>
            <w:r>
              <w:rPr>
                <w:rFonts w:ascii="Arial" w:cs="Arial" w:eastAsia="Arial" w:hAnsi="Arial"/>
                <w:sz w:val="18"/>
                <w:szCs w:val="18"/>
                <w:color w:val="auto"/>
              </w:rPr>
              <w:t>and commissions and estimated offering expenses payable by us.</w:t>
            </w:r>
          </w:p>
        </w:tc>
      </w:tr>
      <w:tr>
        <w:trPr>
          <w:trHeight w:val="203"/>
        </w:trPr>
        <w:tc>
          <w:tcPr>
            <w:tcW w:w="3480" w:type="dxa"/>
            <w:vAlign w:val="bottom"/>
          </w:tcPr>
          <w:p>
            <w:pPr>
              <w:spacing w:after="0"/>
              <w:rPr>
                <w:sz w:val="17"/>
                <w:szCs w:val="17"/>
                <w:color w:val="auto"/>
              </w:rPr>
            </w:pPr>
          </w:p>
        </w:tc>
        <w:tc>
          <w:tcPr>
            <w:tcW w:w="7540" w:type="dxa"/>
            <w:vAlign w:val="bottom"/>
          </w:tcPr>
          <w:p>
            <w:pPr>
              <w:ind w:left="1900"/>
              <w:spacing w:after="0" w:line="202" w:lineRule="exact"/>
              <w:rPr>
                <w:sz w:val="20"/>
                <w:szCs w:val="20"/>
                <w:color w:val="auto"/>
              </w:rPr>
            </w:pPr>
            <w:r>
              <w:rPr>
                <w:rFonts w:ascii="Arial" w:cs="Arial" w:eastAsia="Arial" w:hAnsi="Arial"/>
                <w:sz w:val="18"/>
                <w:szCs w:val="18"/>
                <w:color w:val="auto"/>
              </w:rPr>
              <w:t>We intend to use the net proceeds from this offering for working</w:t>
            </w:r>
          </w:p>
        </w:tc>
      </w:tr>
      <w:tr>
        <w:trPr>
          <w:trHeight w:val="203"/>
        </w:trPr>
        <w:tc>
          <w:tcPr>
            <w:tcW w:w="3480" w:type="dxa"/>
            <w:vAlign w:val="bottom"/>
          </w:tcPr>
          <w:p>
            <w:pPr>
              <w:spacing w:after="0"/>
              <w:rPr>
                <w:sz w:val="17"/>
                <w:szCs w:val="17"/>
                <w:color w:val="auto"/>
              </w:rPr>
            </w:pPr>
          </w:p>
        </w:tc>
        <w:tc>
          <w:tcPr>
            <w:tcW w:w="7540" w:type="dxa"/>
            <w:vAlign w:val="bottom"/>
          </w:tcPr>
          <w:p>
            <w:pPr>
              <w:ind w:left="1900"/>
              <w:spacing w:after="0" w:line="202" w:lineRule="exact"/>
              <w:rPr>
                <w:sz w:val="20"/>
                <w:szCs w:val="20"/>
                <w:color w:val="auto"/>
              </w:rPr>
            </w:pPr>
            <w:r>
              <w:rPr>
                <w:rFonts w:ascii="Arial" w:cs="Arial" w:eastAsia="Arial" w:hAnsi="Arial"/>
                <w:sz w:val="18"/>
                <w:szCs w:val="18"/>
                <w:color w:val="auto"/>
              </w:rPr>
              <w:t>capital and general corporate purposes, which may include costs</w:t>
            </w:r>
          </w:p>
        </w:tc>
      </w:tr>
      <w:tr>
        <w:trPr>
          <w:trHeight w:val="203"/>
        </w:trPr>
        <w:tc>
          <w:tcPr>
            <w:tcW w:w="3480" w:type="dxa"/>
            <w:vAlign w:val="bottom"/>
          </w:tcPr>
          <w:p>
            <w:pPr>
              <w:spacing w:after="0"/>
              <w:rPr>
                <w:sz w:val="17"/>
                <w:szCs w:val="17"/>
                <w:color w:val="auto"/>
              </w:rPr>
            </w:pPr>
          </w:p>
        </w:tc>
        <w:tc>
          <w:tcPr>
            <w:tcW w:w="7540" w:type="dxa"/>
            <w:vAlign w:val="bottom"/>
          </w:tcPr>
          <w:p>
            <w:pPr>
              <w:ind w:left="1900"/>
              <w:spacing w:after="0" w:line="202" w:lineRule="exact"/>
              <w:rPr>
                <w:sz w:val="20"/>
                <w:szCs w:val="20"/>
                <w:color w:val="auto"/>
              </w:rPr>
            </w:pPr>
            <w:r>
              <w:rPr>
                <w:rFonts w:ascii="Arial" w:cs="Arial" w:eastAsia="Arial" w:hAnsi="Arial"/>
                <w:sz w:val="18"/>
                <w:szCs w:val="18"/>
                <w:color w:val="auto"/>
              </w:rPr>
              <w:t xml:space="preserve">associated with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and UGN-102 (if</w:t>
            </w:r>
          </w:p>
        </w:tc>
      </w:tr>
      <w:tr>
        <w:trPr>
          <w:trHeight w:val="203"/>
        </w:trPr>
        <w:tc>
          <w:tcPr>
            <w:tcW w:w="3480" w:type="dxa"/>
            <w:vAlign w:val="bottom"/>
          </w:tcPr>
          <w:p>
            <w:pPr>
              <w:spacing w:after="0"/>
              <w:rPr>
                <w:sz w:val="17"/>
                <w:szCs w:val="17"/>
                <w:color w:val="auto"/>
              </w:rPr>
            </w:pPr>
          </w:p>
        </w:tc>
        <w:tc>
          <w:tcPr>
            <w:tcW w:w="7540" w:type="dxa"/>
            <w:vAlign w:val="bottom"/>
          </w:tcPr>
          <w:p>
            <w:pPr>
              <w:ind w:left="1900"/>
              <w:spacing w:after="0" w:line="202" w:lineRule="exact"/>
              <w:rPr>
                <w:sz w:val="20"/>
                <w:szCs w:val="20"/>
                <w:color w:val="auto"/>
              </w:rPr>
            </w:pPr>
            <w:r>
              <w:rPr>
                <w:rFonts w:ascii="Arial" w:cs="Arial" w:eastAsia="Arial" w:hAnsi="Arial"/>
                <w:sz w:val="18"/>
                <w:szCs w:val="18"/>
                <w:color w:val="auto"/>
              </w:rPr>
              <w:t>approved), research activities and clinical development of product</w:t>
            </w:r>
          </w:p>
        </w:tc>
      </w:tr>
      <w:tr>
        <w:trPr>
          <w:trHeight w:val="203"/>
        </w:trPr>
        <w:tc>
          <w:tcPr>
            <w:tcW w:w="3480" w:type="dxa"/>
            <w:vAlign w:val="bottom"/>
          </w:tcPr>
          <w:p>
            <w:pPr>
              <w:spacing w:after="0"/>
              <w:rPr>
                <w:sz w:val="17"/>
                <w:szCs w:val="17"/>
                <w:color w:val="auto"/>
              </w:rPr>
            </w:pPr>
          </w:p>
        </w:tc>
        <w:tc>
          <w:tcPr>
            <w:tcW w:w="7540" w:type="dxa"/>
            <w:vAlign w:val="bottom"/>
          </w:tcPr>
          <w:p>
            <w:pPr>
              <w:ind w:left="1900"/>
              <w:spacing w:after="0" w:line="202" w:lineRule="exact"/>
              <w:rPr>
                <w:sz w:val="20"/>
                <w:szCs w:val="20"/>
                <w:color w:val="auto"/>
              </w:rPr>
            </w:pPr>
            <w:r>
              <w:rPr>
                <w:rFonts w:ascii="Arial" w:cs="Arial" w:eastAsia="Arial" w:hAnsi="Arial"/>
                <w:sz w:val="18"/>
                <w:szCs w:val="18"/>
                <w:color w:val="auto"/>
              </w:rPr>
              <w:t>candidates in our pipeline or future product candidates, as well as</w:t>
            </w:r>
          </w:p>
        </w:tc>
      </w:tr>
      <w:tr>
        <w:trPr>
          <w:trHeight w:val="239"/>
        </w:trPr>
        <w:tc>
          <w:tcPr>
            <w:tcW w:w="3480" w:type="dxa"/>
            <w:vAlign w:val="bottom"/>
          </w:tcPr>
          <w:p>
            <w:pPr>
              <w:spacing w:after="0"/>
              <w:rPr>
                <w:sz w:val="20"/>
                <w:szCs w:val="20"/>
                <w:color w:val="auto"/>
              </w:rPr>
            </w:pPr>
          </w:p>
        </w:tc>
        <w:tc>
          <w:tcPr>
            <w:tcW w:w="7540" w:type="dxa"/>
            <w:vAlign w:val="bottom"/>
          </w:tcPr>
          <w:p>
            <w:pPr>
              <w:ind w:left="1900"/>
              <w:spacing w:after="0"/>
              <w:rPr>
                <w:sz w:val="20"/>
                <w:szCs w:val="20"/>
                <w:color w:val="auto"/>
              </w:rPr>
            </w:pPr>
            <w:r>
              <w:rPr>
                <w:rFonts w:ascii="Arial" w:cs="Arial" w:eastAsia="Arial" w:hAnsi="Arial"/>
                <w:sz w:val="18"/>
                <w:szCs w:val="18"/>
                <w:color w:val="auto"/>
              </w:rPr>
              <w:t>other capital</w:t>
            </w:r>
          </w:p>
        </w:tc>
      </w:tr>
      <w:tr>
        <w:trPr>
          <w:trHeight w:val="141"/>
        </w:trPr>
        <w:tc>
          <w:tcPr>
            <w:tcW w:w="3480" w:type="dxa"/>
            <w:vAlign w:val="bottom"/>
            <w:tcBorders>
              <w:bottom w:val="single" w:sz="8" w:color="auto"/>
            </w:tcBorders>
          </w:tcPr>
          <w:p>
            <w:pPr>
              <w:spacing w:after="0"/>
              <w:rPr>
                <w:sz w:val="12"/>
                <w:szCs w:val="12"/>
                <w:color w:val="auto"/>
              </w:rPr>
            </w:pPr>
          </w:p>
        </w:tc>
        <w:tc>
          <w:tcPr>
            <w:tcW w:w="7540" w:type="dxa"/>
            <w:vAlign w:val="bottom"/>
            <w:tcBorders>
              <w:bottom w:val="single" w:sz="8" w:color="auto"/>
            </w:tcBorders>
          </w:tcPr>
          <w:p>
            <w:pPr>
              <w:spacing w:after="0"/>
              <w:rPr>
                <w:sz w:val="12"/>
                <w:szCs w:val="12"/>
                <w:color w:val="auto"/>
              </w:rPr>
            </w:pPr>
          </w:p>
        </w:tc>
      </w:tr>
      <w:tr>
        <w:trPr>
          <w:trHeight w:val="365"/>
        </w:trPr>
        <w:tc>
          <w:tcPr>
            <w:tcW w:w="3480" w:type="dxa"/>
            <w:vAlign w:val="bottom"/>
          </w:tcPr>
          <w:p>
            <w:pPr>
              <w:spacing w:after="0"/>
              <w:rPr>
                <w:sz w:val="24"/>
                <w:szCs w:val="24"/>
                <w:color w:val="auto"/>
              </w:rPr>
            </w:pPr>
          </w:p>
        </w:tc>
        <w:tc>
          <w:tcPr>
            <w:tcW w:w="7540" w:type="dxa"/>
            <w:vAlign w:val="bottom"/>
          </w:tcPr>
          <w:p>
            <w:pPr>
              <w:ind w:left="188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5"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710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471043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6740" w:type="dxa"/>
            <w:vAlign w:val="bottom"/>
            <w:gridSpan w:val="3"/>
          </w:tcPr>
          <w:p>
            <w:pPr>
              <w:ind w:left="1320"/>
              <w:spacing w:after="0"/>
              <w:rPr>
                <w:sz w:val="20"/>
                <w:szCs w:val="20"/>
                <w:color w:val="auto"/>
              </w:rPr>
            </w:pPr>
            <w:r>
              <w:rPr>
                <w:rFonts w:ascii="Arial" w:cs="Arial" w:eastAsia="Arial" w:hAnsi="Arial"/>
                <w:sz w:val="18"/>
                <w:szCs w:val="18"/>
                <w:color w:val="auto"/>
              </w:rPr>
              <w:t>expenditures and general and administrative expenses. See the</w:t>
            </w:r>
          </w:p>
        </w:tc>
        <w:tc>
          <w:tcPr>
            <w:tcW w:w="0" w:type="dxa"/>
            <w:vAlign w:val="bottom"/>
          </w:tcPr>
          <w:p>
            <w:pPr>
              <w:spacing w:after="0"/>
              <w:rPr>
                <w:sz w:val="1"/>
                <w:szCs w:val="1"/>
                <w:color w:val="auto"/>
              </w:rPr>
            </w:pPr>
          </w:p>
        </w:tc>
      </w:tr>
      <w:tr>
        <w:trPr>
          <w:trHeight w:val="239"/>
        </w:trPr>
        <w:tc>
          <w:tcPr>
            <w:tcW w:w="3880" w:type="dxa"/>
            <w:vAlign w:val="bottom"/>
          </w:tcPr>
          <w:p>
            <w:pPr>
              <w:spacing w:after="0"/>
              <w:rPr>
                <w:sz w:val="20"/>
                <w:szCs w:val="20"/>
                <w:color w:val="auto"/>
              </w:rPr>
            </w:pPr>
          </w:p>
        </w:tc>
        <w:tc>
          <w:tcPr>
            <w:tcW w:w="6740" w:type="dxa"/>
            <w:vAlign w:val="bottom"/>
            <w:gridSpan w:val="3"/>
          </w:tcPr>
          <w:p>
            <w:pPr>
              <w:ind w:left="1320"/>
              <w:spacing w:after="0"/>
              <w:rPr>
                <w:sz w:val="20"/>
                <w:szCs w:val="20"/>
                <w:color w:val="auto"/>
              </w:rPr>
            </w:pPr>
            <w:r>
              <w:rPr>
                <w:rFonts w:ascii="Arial" w:cs="Arial" w:eastAsia="Arial" w:hAnsi="Arial"/>
                <w:sz w:val="18"/>
                <w:szCs w:val="18"/>
                <w:color w:val="auto"/>
              </w:rPr>
              <w:t>section titled “Use of Proceeds” for additional information.</w:t>
            </w:r>
          </w:p>
        </w:tc>
        <w:tc>
          <w:tcPr>
            <w:tcW w:w="0" w:type="dxa"/>
            <w:vAlign w:val="bottom"/>
          </w:tcPr>
          <w:p>
            <w:pPr>
              <w:spacing w:after="0"/>
              <w:rPr>
                <w:sz w:val="1"/>
                <w:szCs w:val="1"/>
                <w:color w:val="auto"/>
              </w:rPr>
            </w:pPr>
          </w:p>
        </w:tc>
      </w:tr>
      <w:tr>
        <w:trPr>
          <w:trHeight w:val="414"/>
        </w:trPr>
        <w:tc>
          <w:tcPr>
            <w:tcW w:w="388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6740" w:type="dxa"/>
            <w:vAlign w:val="bottom"/>
            <w:gridSpan w:val="3"/>
          </w:tcPr>
          <w:p>
            <w:pPr>
              <w:ind w:left="132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color w:val="0000EE"/>
              </w:rPr>
              <w:t>Risk Factors</w:t>
            </w:r>
            <w:r>
              <w:rPr>
                <w:rFonts w:ascii="Arial" w:cs="Arial" w:eastAsia="Arial" w:hAnsi="Arial"/>
                <w:sz w:val="18"/>
                <w:szCs w:val="18"/>
                <w:color w:val="auto"/>
              </w:rPr>
              <w:t>” beginning on page S-6 for a discussion of</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760" w:type="dxa"/>
            <w:vAlign w:val="bottom"/>
            <w:vMerge w:val="restart"/>
          </w:tcPr>
          <w:p>
            <w:pPr>
              <w:ind w:left="1320"/>
              <w:spacing w:after="0"/>
              <w:rPr>
                <w:sz w:val="20"/>
                <w:szCs w:val="20"/>
                <w:color w:val="auto"/>
              </w:rPr>
            </w:pPr>
            <w:r>
              <w:rPr>
                <w:rFonts w:ascii="Arial" w:cs="Arial" w:eastAsia="Arial" w:hAnsi="Arial"/>
                <w:sz w:val="18"/>
                <w:szCs w:val="18"/>
                <w:color w:val="auto"/>
                <w:w w:val="77"/>
              </w:rPr>
              <w:t>factors</w:t>
            </w:r>
          </w:p>
        </w:tc>
        <w:tc>
          <w:tcPr>
            <w:tcW w:w="1000" w:type="dxa"/>
            <w:vAlign w:val="bottom"/>
            <w:shd w:val="clear" w:color="auto" w:fill="0000EE"/>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8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4980" w:type="dxa"/>
            <w:vAlign w:val="bottom"/>
            <w:gridSpan w:val="2"/>
          </w:tcPr>
          <w:p>
            <w:pPr>
              <w:ind w:left="160"/>
              <w:spacing w:after="0" w:line="191" w:lineRule="exact"/>
              <w:rPr>
                <w:sz w:val="20"/>
                <w:szCs w:val="20"/>
                <w:color w:val="auto"/>
              </w:rPr>
            </w:pPr>
            <w:r>
              <w:rPr>
                <w:rFonts w:ascii="Arial" w:cs="Arial" w:eastAsia="Arial" w:hAnsi="Arial"/>
                <w:sz w:val="18"/>
                <w:szCs w:val="18"/>
                <w:color w:val="auto"/>
              </w:rPr>
              <w:t>that you should read and consider before purchasing our</w:t>
            </w:r>
          </w:p>
        </w:tc>
        <w:tc>
          <w:tcPr>
            <w:tcW w:w="0" w:type="dxa"/>
            <w:vAlign w:val="bottom"/>
          </w:tcPr>
          <w:p>
            <w:pPr>
              <w:spacing w:after="0"/>
              <w:rPr>
                <w:sz w:val="1"/>
                <w:szCs w:val="1"/>
                <w:color w:val="auto"/>
              </w:rPr>
            </w:pPr>
          </w:p>
        </w:tc>
      </w:tr>
      <w:tr>
        <w:trPr>
          <w:trHeight w:val="239"/>
        </w:trPr>
        <w:tc>
          <w:tcPr>
            <w:tcW w:w="3880" w:type="dxa"/>
            <w:vAlign w:val="bottom"/>
          </w:tcPr>
          <w:p>
            <w:pPr>
              <w:spacing w:after="0"/>
              <w:rPr>
                <w:sz w:val="20"/>
                <w:szCs w:val="20"/>
                <w:color w:val="auto"/>
              </w:rPr>
            </w:pPr>
          </w:p>
        </w:tc>
        <w:tc>
          <w:tcPr>
            <w:tcW w:w="6740" w:type="dxa"/>
            <w:vAlign w:val="bottom"/>
            <w:gridSpan w:val="3"/>
          </w:tcPr>
          <w:p>
            <w:pPr>
              <w:ind w:left="1320"/>
              <w:spacing w:after="0"/>
              <w:rPr>
                <w:sz w:val="20"/>
                <w:szCs w:val="20"/>
                <w:color w:val="auto"/>
              </w:rPr>
            </w:pPr>
            <w:r>
              <w:rPr>
                <w:rFonts w:ascii="Arial" w:cs="Arial" w:eastAsia="Arial" w:hAnsi="Arial"/>
                <w:sz w:val="18"/>
                <w:szCs w:val="18"/>
                <w:color w:val="auto"/>
              </w:rPr>
              <w:t>securities in this offering.</w:t>
            </w:r>
          </w:p>
        </w:tc>
        <w:tc>
          <w:tcPr>
            <w:tcW w:w="0" w:type="dxa"/>
            <w:vAlign w:val="bottom"/>
          </w:tcPr>
          <w:p>
            <w:pPr>
              <w:spacing w:after="0"/>
              <w:rPr>
                <w:sz w:val="1"/>
                <w:szCs w:val="1"/>
                <w:color w:val="auto"/>
              </w:rPr>
            </w:pPr>
          </w:p>
        </w:tc>
      </w:tr>
      <w:tr>
        <w:trPr>
          <w:trHeight w:val="409"/>
        </w:trPr>
        <w:tc>
          <w:tcPr>
            <w:tcW w:w="3880" w:type="dxa"/>
            <w:vAlign w:val="bottom"/>
          </w:tcPr>
          <w:p>
            <w:pPr>
              <w:spacing w:after="0"/>
              <w:rPr>
                <w:sz w:val="20"/>
                <w:szCs w:val="20"/>
                <w:color w:val="auto"/>
              </w:rPr>
            </w:pPr>
            <w:r>
              <w:rPr>
                <w:rFonts w:ascii="Arial" w:cs="Arial" w:eastAsia="Arial" w:hAnsi="Arial"/>
                <w:sz w:val="18"/>
                <w:szCs w:val="18"/>
                <w:b w:val="1"/>
                <w:bCs w:val="1"/>
                <w:color w:val="auto"/>
              </w:rPr>
              <w:t>Nasdaq Global Market symbol</w:t>
            </w:r>
          </w:p>
        </w:tc>
        <w:tc>
          <w:tcPr>
            <w:tcW w:w="6740" w:type="dxa"/>
            <w:vAlign w:val="bottom"/>
            <w:gridSpan w:val="3"/>
          </w:tcPr>
          <w:p>
            <w:pPr>
              <w:ind w:left="1320"/>
              <w:spacing w:after="0"/>
              <w:rPr>
                <w:sz w:val="20"/>
                <w:szCs w:val="20"/>
                <w:color w:val="auto"/>
              </w:rPr>
            </w:pPr>
            <w:r>
              <w:rPr>
                <w:rFonts w:ascii="Arial" w:cs="Arial" w:eastAsia="Arial" w:hAnsi="Arial"/>
                <w:sz w:val="18"/>
                <w:szCs w:val="18"/>
                <w:color w:val="auto"/>
              </w:rPr>
              <w:t>“URGN.” We do not intend to apply for listing of the pre-funded</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6740" w:type="dxa"/>
            <w:vAlign w:val="bottom"/>
            <w:gridSpan w:val="3"/>
          </w:tcPr>
          <w:p>
            <w:pPr>
              <w:ind w:left="1320"/>
              <w:spacing w:after="0" w:line="202" w:lineRule="exact"/>
              <w:rPr>
                <w:sz w:val="20"/>
                <w:szCs w:val="20"/>
                <w:color w:val="auto"/>
              </w:rPr>
            </w:pPr>
            <w:r>
              <w:rPr>
                <w:rFonts w:ascii="Arial" w:cs="Arial" w:eastAsia="Arial" w:hAnsi="Arial"/>
                <w:sz w:val="18"/>
                <w:szCs w:val="18"/>
                <w:color w:val="auto"/>
              </w:rPr>
              <w:t>warrants on the Nasdaq Global Market or any other securities</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6740" w:type="dxa"/>
            <w:vAlign w:val="bottom"/>
            <w:gridSpan w:val="3"/>
          </w:tcPr>
          <w:p>
            <w:pPr>
              <w:ind w:left="1320"/>
              <w:spacing w:after="0" w:line="202" w:lineRule="exact"/>
              <w:rPr>
                <w:sz w:val="20"/>
                <w:szCs w:val="20"/>
                <w:color w:val="auto"/>
              </w:rPr>
            </w:pPr>
            <w:r>
              <w:rPr>
                <w:rFonts w:ascii="Arial" w:cs="Arial" w:eastAsia="Arial" w:hAnsi="Arial"/>
                <w:sz w:val="18"/>
                <w:szCs w:val="18"/>
                <w:color w:val="auto"/>
              </w:rPr>
              <w:t>exchange or nationally recognized trading system. There is no</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6740" w:type="dxa"/>
            <w:vAlign w:val="bottom"/>
            <w:gridSpan w:val="3"/>
          </w:tcPr>
          <w:p>
            <w:pPr>
              <w:ind w:left="1320"/>
              <w:spacing w:after="0" w:line="202" w:lineRule="exact"/>
              <w:rPr>
                <w:sz w:val="20"/>
                <w:szCs w:val="20"/>
                <w:color w:val="auto"/>
              </w:rPr>
            </w:pPr>
            <w:r>
              <w:rPr>
                <w:rFonts w:ascii="Arial" w:cs="Arial" w:eastAsia="Arial" w:hAnsi="Arial"/>
                <w:sz w:val="18"/>
                <w:szCs w:val="18"/>
                <w:color w:val="auto"/>
              </w:rPr>
              <w:t>public trading market for the pre-funded warrants, and we do not</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6740" w:type="dxa"/>
            <w:vAlign w:val="bottom"/>
            <w:gridSpan w:val="3"/>
          </w:tcPr>
          <w:p>
            <w:pPr>
              <w:ind w:left="1320"/>
              <w:spacing w:after="0" w:line="202" w:lineRule="exact"/>
              <w:rPr>
                <w:sz w:val="20"/>
                <w:szCs w:val="20"/>
                <w:color w:val="auto"/>
              </w:rPr>
            </w:pPr>
            <w:r>
              <w:rPr>
                <w:rFonts w:ascii="Arial" w:cs="Arial" w:eastAsia="Arial" w:hAnsi="Arial"/>
                <w:sz w:val="18"/>
                <w:szCs w:val="18"/>
                <w:color w:val="auto"/>
                <w:w w:val="99"/>
              </w:rPr>
              <w:t>expect a market to develop. Without a trading market, the liquidity of</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6740" w:type="dxa"/>
            <w:vAlign w:val="bottom"/>
            <w:gridSpan w:val="3"/>
          </w:tcPr>
          <w:p>
            <w:pPr>
              <w:ind w:left="1320"/>
              <w:spacing w:after="0" w:line="202" w:lineRule="exact"/>
              <w:rPr>
                <w:sz w:val="20"/>
                <w:szCs w:val="20"/>
                <w:color w:val="auto"/>
              </w:rPr>
            </w:pPr>
            <w:r>
              <w:rPr>
                <w:rFonts w:ascii="Arial" w:cs="Arial" w:eastAsia="Arial" w:hAnsi="Arial"/>
                <w:sz w:val="18"/>
                <w:szCs w:val="18"/>
                <w:color w:val="auto"/>
              </w:rPr>
              <w:t>the pre-funded warrants will be extremely limited. See “Description</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6740" w:type="dxa"/>
            <w:vAlign w:val="bottom"/>
            <w:gridSpan w:val="3"/>
          </w:tcPr>
          <w:p>
            <w:pPr>
              <w:ind w:left="1320"/>
              <w:spacing w:after="0" w:line="202" w:lineRule="exact"/>
              <w:rPr>
                <w:sz w:val="20"/>
                <w:szCs w:val="20"/>
                <w:color w:val="auto"/>
              </w:rPr>
            </w:pPr>
            <w:r>
              <w:rPr>
                <w:rFonts w:ascii="Arial" w:cs="Arial" w:eastAsia="Arial" w:hAnsi="Arial"/>
                <w:sz w:val="18"/>
                <w:szCs w:val="18"/>
                <w:color w:val="auto"/>
              </w:rPr>
              <w:t>of Securities We Are Offering—Pre-Funded Warrants” for additional</w:t>
            </w:r>
          </w:p>
        </w:tc>
        <w:tc>
          <w:tcPr>
            <w:tcW w:w="0" w:type="dxa"/>
            <w:vAlign w:val="bottom"/>
          </w:tcPr>
          <w:p>
            <w:pPr>
              <w:spacing w:after="0"/>
              <w:rPr>
                <w:sz w:val="1"/>
                <w:szCs w:val="1"/>
                <w:color w:val="auto"/>
              </w:rPr>
            </w:pPr>
          </w:p>
        </w:tc>
      </w:tr>
      <w:tr>
        <w:trPr>
          <w:trHeight w:val="239"/>
        </w:trPr>
        <w:tc>
          <w:tcPr>
            <w:tcW w:w="3880" w:type="dxa"/>
            <w:vAlign w:val="bottom"/>
          </w:tcPr>
          <w:p>
            <w:pPr>
              <w:spacing w:after="0"/>
              <w:rPr>
                <w:sz w:val="20"/>
                <w:szCs w:val="20"/>
                <w:color w:val="auto"/>
              </w:rPr>
            </w:pPr>
          </w:p>
        </w:tc>
        <w:tc>
          <w:tcPr>
            <w:tcW w:w="6740" w:type="dxa"/>
            <w:vAlign w:val="bottom"/>
            <w:gridSpan w:val="3"/>
          </w:tcPr>
          <w:p>
            <w:pPr>
              <w:ind w:left="1320"/>
              <w:spacing w:after="0"/>
              <w:rPr>
                <w:sz w:val="20"/>
                <w:szCs w:val="20"/>
                <w:color w:val="auto"/>
              </w:rPr>
            </w:pPr>
            <w:r>
              <w:rPr>
                <w:rFonts w:ascii="Arial" w:cs="Arial" w:eastAsia="Arial" w:hAnsi="Arial"/>
                <w:sz w:val="18"/>
                <w:szCs w:val="18"/>
                <w:color w:val="auto"/>
              </w:rPr>
              <w:t>information.</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00" w:right="340" w:firstLine="426"/>
        <w:spacing w:after="0" w:line="271" w:lineRule="auto"/>
        <w:rPr>
          <w:sz w:val="20"/>
          <w:szCs w:val="20"/>
          <w:color w:val="auto"/>
        </w:rPr>
      </w:pPr>
      <w:r>
        <w:rPr>
          <w:rFonts w:ascii="Arial" w:cs="Arial" w:eastAsia="Arial" w:hAnsi="Arial"/>
          <w:sz w:val="18"/>
          <w:szCs w:val="18"/>
          <w:color w:val="auto"/>
        </w:rPr>
        <w:t>The number of our ordinary shares to be outstanding immediately after this offering as shown above is based on 36,127,687 ordinary shares outstanding as of March 31, 2024 and excludes, as of that date:</w:t>
      </w:r>
    </w:p>
    <w:p>
      <w:pPr>
        <w:spacing w:after="0" w:line="181" w:lineRule="exact"/>
        <w:rPr>
          <w:sz w:val="20"/>
          <w:szCs w:val="20"/>
          <w:color w:val="auto"/>
        </w:rPr>
      </w:pPr>
    </w:p>
    <w:p>
      <w:pPr>
        <w:ind w:left="1120" w:right="60" w:hanging="407"/>
        <w:spacing w:after="0" w:line="230" w:lineRule="auto"/>
        <w:tabs>
          <w:tab w:leader="none" w:pos="112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2,670,796 ordinary shares issuable upon the exercise of outstanding stock options at a weighted-average exercise price of $25.42 per share;</w:t>
      </w:r>
    </w:p>
    <w:p>
      <w:pPr>
        <w:ind w:left="1120" w:hanging="407"/>
        <w:spacing w:after="0" w:line="230" w:lineRule="auto"/>
        <w:tabs>
          <w:tab w:leader="none" w:pos="112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1,235,316 ordinary shares issuable upon the vesting of outstanding restricted share units;</w:t>
      </w:r>
    </w:p>
    <w:p>
      <w:pPr>
        <w:spacing w:after="0" w:line="22" w:lineRule="exact"/>
        <w:rPr>
          <w:rFonts w:ascii="MS PGothic" w:cs="MS PGothic" w:eastAsia="MS PGothic" w:hAnsi="MS PGothic"/>
          <w:sz w:val="25"/>
          <w:szCs w:val="25"/>
          <w:color w:val="auto"/>
          <w:vertAlign w:val="superscript"/>
        </w:rPr>
      </w:pPr>
    </w:p>
    <w:p>
      <w:pPr>
        <w:ind w:left="1120" w:hanging="407"/>
        <w:spacing w:after="0" w:line="209" w:lineRule="auto"/>
        <w:tabs>
          <w:tab w:leader="none" w:pos="112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265,413 ordinary shares issuable upon the vesting of outstanding performance stock units;</w:t>
      </w:r>
    </w:p>
    <w:p>
      <w:pPr>
        <w:spacing w:after="0" w:line="22" w:lineRule="exact"/>
        <w:rPr>
          <w:rFonts w:ascii="MS PGothic" w:cs="MS PGothic" w:eastAsia="MS PGothic" w:hAnsi="MS PGothic"/>
          <w:sz w:val="25"/>
          <w:szCs w:val="25"/>
          <w:color w:val="auto"/>
          <w:vertAlign w:val="superscript"/>
        </w:rPr>
      </w:pPr>
    </w:p>
    <w:p>
      <w:pPr>
        <w:ind w:left="1120" w:hanging="407"/>
        <w:spacing w:after="0" w:line="209" w:lineRule="auto"/>
        <w:tabs>
          <w:tab w:leader="none" w:pos="112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218,871 ordinary shares reserved for issuance pursuant to the terms of our 2017 Equity Incentive Plan;</w:t>
      </w:r>
    </w:p>
    <w:p>
      <w:pPr>
        <w:spacing w:after="0" w:line="22" w:lineRule="exact"/>
        <w:rPr>
          <w:rFonts w:ascii="MS PGothic" w:cs="MS PGothic" w:eastAsia="MS PGothic" w:hAnsi="MS PGothic"/>
          <w:sz w:val="25"/>
          <w:szCs w:val="25"/>
          <w:color w:val="auto"/>
          <w:vertAlign w:val="superscript"/>
        </w:rPr>
      </w:pPr>
    </w:p>
    <w:p>
      <w:pPr>
        <w:jc w:val="both"/>
        <w:ind w:left="1120" w:right="460" w:hanging="407"/>
        <w:spacing w:after="0" w:line="225" w:lineRule="auto"/>
        <w:tabs>
          <w:tab w:leader="none" w:pos="112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166,598 ordinary shares reserved for issuance pursuant to the terms of our 2019 Inducement Plan plus an additional 600,000 ordinary shares that were authorized for issuance under the 2019 Inducement Plan subsequent to March 31, 2024; and</w:t>
      </w:r>
    </w:p>
    <w:p>
      <w:pPr>
        <w:spacing w:after="0" w:line="4" w:lineRule="exact"/>
        <w:rPr>
          <w:rFonts w:ascii="MS PGothic" w:cs="MS PGothic" w:eastAsia="MS PGothic" w:hAnsi="MS PGothic"/>
          <w:sz w:val="25"/>
          <w:szCs w:val="25"/>
          <w:color w:val="auto"/>
          <w:vertAlign w:val="superscript"/>
        </w:rPr>
      </w:pPr>
    </w:p>
    <w:p>
      <w:pPr>
        <w:ind w:left="1120" w:right="340" w:hanging="407"/>
        <w:spacing w:after="0" w:line="230" w:lineRule="auto"/>
        <w:tabs>
          <w:tab w:leader="none" w:pos="112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3,678,936 ordinary shares reserved for issuance upon the exercise of outstanding pre-funded warrants to purchase our ordinary shares at an exercise price of $0.001 per share.</w:t>
      </w:r>
    </w:p>
    <w:p>
      <w:pPr>
        <w:spacing w:after="0" w:line="180"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Unless otherwise indicated, all information in this prospectus supplement assumes no exercise by the underwriters of their option to purchase additional ordinary shares and no exercise or settlement, as applicable, of the outstanding stock options, restricted share units, performance stock units and pre-funded warrants described above and no sale of pre-funded warrants in this offering.</w:t>
      </w:r>
    </w:p>
    <w:p>
      <w:pPr>
        <w:spacing w:after="0" w:line="2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32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i w:val="1"/>
          <w:iCs w:val="1"/>
          <w:color w:val="auto"/>
        </w:rPr>
        <w:t>Investing in our securities involves a high degree of risk. You should carefully review the risks and uncertainties described below and under the section titled “Risk Factors” in our Quarterly Report on Form 10-Q for the quarter ended March 31, 2024, as updated by our subsequent filings, each of which is incorporated by reference into this prospectus supplement and the accompany prospectus, before deciding whether to purchase any of the securities being offered hereby.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214" w:lineRule="exact"/>
        <w:rPr>
          <w:sz w:val="20"/>
          <w:szCs w:val="20"/>
          <w:color w:val="auto"/>
        </w:rPr>
      </w:pPr>
    </w:p>
    <w:p>
      <w:pPr>
        <w:ind w:left="120" w:right="220"/>
        <w:spacing w:after="0" w:line="278" w:lineRule="auto"/>
        <w:rPr>
          <w:sz w:val="20"/>
          <w:szCs w:val="20"/>
          <w:color w:val="auto"/>
        </w:rPr>
      </w:pPr>
      <w:r>
        <w:rPr>
          <w:rFonts w:ascii="Arial" w:cs="Arial" w:eastAsia="Arial" w:hAnsi="Arial"/>
          <w:sz w:val="18"/>
          <w:szCs w:val="18"/>
          <w:b w:val="1"/>
          <w:bCs w:val="1"/>
          <w:i w:val="1"/>
          <w:iCs w:val="1"/>
          <w:color w:val="auto"/>
        </w:rPr>
        <w:t>Management will have broad discretion as to the use of the net proceeds from this offering, and we may not use the proceeds effectively.</w:t>
      </w:r>
    </w:p>
    <w:p>
      <w:pPr>
        <w:spacing w:after="0" w:line="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Our management will have broad discretion in the application of the net proceeds we receive from this offering, including for any of the purposes described in the section of this prospectus supplement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could spend the proceeds in ways that do not improve our results of operations or enhance the value of our ordinary shares. Our failure to apply these funds effectively could have a material adverse effect on our business or financial results, and may cause the price of our ordinary shares to decline.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no public market for the pre-funded warrants being offered in this offering.</w:t>
      </w:r>
    </w:p>
    <w:p>
      <w:pPr>
        <w:spacing w:after="0" w:line="61" w:lineRule="exact"/>
        <w:rPr>
          <w:sz w:val="20"/>
          <w:szCs w:val="20"/>
          <w:color w:val="auto"/>
        </w:rPr>
      </w:pPr>
    </w:p>
    <w:p>
      <w:pPr>
        <w:ind w:left="120" w:right="180" w:firstLine="440"/>
        <w:spacing w:after="0" w:line="247" w:lineRule="auto"/>
        <w:rPr>
          <w:sz w:val="20"/>
          <w:szCs w:val="20"/>
          <w:color w:val="auto"/>
        </w:rPr>
      </w:pPr>
      <w:r>
        <w:rPr>
          <w:rFonts w:ascii="Arial" w:cs="Arial" w:eastAsia="Arial" w:hAnsi="Arial"/>
          <w:sz w:val="18"/>
          <w:szCs w:val="18"/>
          <w:color w:val="auto"/>
        </w:rPr>
        <w:t>There is no established public trading market for the pre-funded warrants being offered in this offering, and we do not expect a market to develop. In addition, we do not intend to apply to list these pre-funded warrants on any securities exchange or nationally recognized trading system, including the Nasdaq Global Market. Without an active market, the liquidity of these pre-funded warrants will be extremely limited. See “Description of Securities We Are Offering—Pre-Funded Warrants.”</w:t>
      </w:r>
    </w:p>
    <w:p>
      <w:pPr>
        <w:spacing w:after="0" w:line="176" w:lineRule="exact"/>
        <w:rPr>
          <w:sz w:val="20"/>
          <w:szCs w:val="20"/>
          <w:color w:val="auto"/>
        </w:rPr>
      </w:pPr>
    </w:p>
    <w:p>
      <w:pPr>
        <w:ind w:left="120" w:right="240"/>
        <w:spacing w:after="0" w:line="272" w:lineRule="auto"/>
        <w:rPr>
          <w:sz w:val="20"/>
          <w:szCs w:val="20"/>
          <w:color w:val="auto"/>
        </w:rPr>
      </w:pPr>
      <w:r>
        <w:rPr>
          <w:rFonts w:ascii="Arial" w:cs="Arial" w:eastAsia="Arial" w:hAnsi="Arial"/>
          <w:sz w:val="18"/>
          <w:szCs w:val="18"/>
          <w:b w:val="1"/>
          <w:bCs w:val="1"/>
          <w:i w:val="1"/>
          <w:iCs w:val="1"/>
          <w:color w:val="auto"/>
        </w:rPr>
        <w:t>Holders of pre-funded warrants purchased in this offering will have no rights as holders of ordinary shares until such holders exercise their pre-funded warrants and acquire our ordinary shares.</w:t>
      </w:r>
    </w:p>
    <w:p>
      <w:pPr>
        <w:spacing w:after="0" w:line="1"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Until holders of the pre-funded warrants acquire our ordinary shares upon exercise of such pre-funded warrants, such holders will have no rights with respect to the ordinary shares underlying such pre-funded warrants, such as voting rights or the rights to receive dividends. Upon exercise of the pre-funded warrants, the holders will be entitled to exercise the rights of a holder of ordinary shares only as to matters for which the record date occurs after the exercise.</w:t>
      </w:r>
    </w:p>
    <w:p>
      <w:pPr>
        <w:spacing w:after="0" w:line="176" w:lineRule="exact"/>
        <w:rPr>
          <w:sz w:val="20"/>
          <w:szCs w:val="20"/>
          <w:color w:val="auto"/>
        </w:rPr>
      </w:pPr>
    </w:p>
    <w:p>
      <w:pPr>
        <w:jc w:val="both"/>
        <w:ind w:left="120" w:right="240"/>
        <w:spacing w:after="0" w:line="278" w:lineRule="auto"/>
        <w:rPr>
          <w:sz w:val="20"/>
          <w:szCs w:val="20"/>
          <w:color w:val="auto"/>
        </w:rPr>
      </w:pPr>
      <w:r>
        <w:rPr>
          <w:rFonts w:ascii="Arial" w:cs="Arial" w:eastAsia="Arial" w:hAnsi="Arial"/>
          <w:sz w:val="17"/>
          <w:szCs w:val="17"/>
          <w:b w:val="1"/>
          <w:bCs w:val="1"/>
          <w:i w:val="1"/>
          <w:iCs w:val="1"/>
          <w:color w:val="auto"/>
        </w:rPr>
        <w:t>If you purchase the securities sold in this offering, you will experience immediate and substantial dilution in your investment. You will experience further dilution if we issue additional equity securities in the future. Sales of a substantial number of our ordinary shares by existing shareholders in the public market could cause the price of our ordinary shares to decline</w:t>
      </w:r>
      <w:r>
        <w:rPr>
          <w:rFonts w:ascii="Arial" w:cs="Arial" w:eastAsia="Arial" w:hAnsi="Arial"/>
          <w:sz w:val="17"/>
          <w:szCs w:val="17"/>
          <w:i w:val="1"/>
          <w:iCs w:val="1"/>
          <w:color w:val="auto"/>
        </w:rPr>
        <w:t>.</w:t>
      </w:r>
    </w:p>
    <w:p>
      <w:pPr>
        <w:spacing w:after="0" w:line="7"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color w:val="auto"/>
        </w:rPr>
        <w:t>Since the offering price per ordinary share and per pre-funded warrant in this offering is substantially higher than our net tangible book value (deficit) per ordinary share, you will suffer</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substantial dilution with respect to the net tangible book value of the ordinary shares you purchase in this offering. Based on the public offering price of $      per share, and our net tangible book value (deficit) as of March 31, 2024, if you purchase our ordinary shares or pre-funded warrants in this offering, you will suffer immediate and substantial dilution of $      per share with respect to the net tangible book value of our ordinary shares. In addition, we have a significant number of stock options, restricted stock units, performance stock units and pre-funded warrants outstanding. To the extent that outstanding options or warrants are exercised or outstanding restricted stock units or performance stock units are settled or other shares are issued, investors purchasing our ordinary shares in this offering may experience further dilution.</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in order to raise additional capital, we may in the future offer additional ordinary shares or other securities convertible into or exchangeable for our ordinary shares at prices that may be less than the price per share paid by investors in this offering, and investors purchasing shares or other securities in the future could have rights superior to existing shareholders. We may choose to raise additional capital due to market conditions or strategic considerations, even if we believe we have sufficient funds for our current or future operating plans. In December 2019, we entered into a sales agreement with Cowen and Company, LLC, an affiliate of TD Securities (USA) LLC (“TD Cowen”), pursuant to which we may sell our ordinary shares through Cowen and Company, LLC as our sales agent from time to time in transactions that are deemed to be “at the market offering” as defined in Rule 415(a)(4) under the Securities Act of 1933, as amended (the “Securities Act”). We filed a sales agreement prospectus, dated November 29, 2022, under which we may offer and sell from time to time up to approximately $83.4 million of our ordinary shares pursuant to the sales agreement with Cowen and Company, LLC. As of the date of this prospectus supplement, approximately $ 27.3 million remains available for sale under the sales agreement prospectus. To the extent that additional capital is raised through the sale of equity or convertible debt securities, the issuance of these securities could result in further dilution to our shareholders.</w:t>
      </w:r>
    </w:p>
    <w:p>
      <w:pPr>
        <w:spacing w:after="0" w:line="183" w:lineRule="exact"/>
        <w:rPr>
          <w:sz w:val="20"/>
          <w:szCs w:val="20"/>
          <w:color w:val="auto"/>
        </w:rPr>
      </w:pPr>
    </w:p>
    <w:p>
      <w:pPr>
        <w:ind w:left="120" w:right="200" w:firstLine="440"/>
        <w:spacing w:after="0" w:line="247" w:lineRule="auto"/>
        <w:rPr>
          <w:sz w:val="20"/>
          <w:szCs w:val="20"/>
          <w:color w:val="auto"/>
        </w:rPr>
      </w:pPr>
      <w:r>
        <w:rPr>
          <w:rFonts w:ascii="Arial" w:cs="Arial" w:eastAsia="Arial" w:hAnsi="Arial"/>
          <w:sz w:val="18"/>
          <w:szCs w:val="18"/>
          <w:color w:val="auto"/>
        </w:rPr>
        <w:t>In addition, sales of a substantial number of our ordinary shares in the public market or the perception that these sales might occur could depress the market price of our ordinary shares, could make it more difficult for you to sell your ordinary shares at a time and price that you deem appropriate and could impair our ability to raise capital through the sale of additional equity securities. We are unable to predict the effect that sales may have on the prevailing market price of our ordinary shares.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20"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Some of the statements in this prospectus supplement, the accompanying prospectus and incorporated herein or therein by reference constitute “forward-looking statements” within the meaning of the Private Securities Litigation Reform Act of 1995. These statements relate to future events concerning our business and to our future revenues, operating results and financial condition. In some cases, you can identify forward-looking statements by terminology such as “may,” “will,” “could,” “would,” “should,” “expect,” “plan,” “anticipate,” “intend,” “believe,” “estimate,” “forecast,” “predict,” “propose,” “potential” or “continue,” or the negative of those terms or other comparable terminology. These forward-looking statements include, but are not limited to, statements about:</w:t>
      </w:r>
    </w:p>
    <w:p>
      <w:pPr>
        <w:spacing w:after="0" w:line="206" w:lineRule="exact"/>
        <w:rPr>
          <w:sz w:val="20"/>
          <w:szCs w:val="20"/>
          <w:color w:val="auto"/>
        </w:rPr>
      </w:pPr>
    </w:p>
    <w:p>
      <w:pPr>
        <w:ind w:left="980" w:right="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conduct of our clinical trials of our product candidates, including statements regarding the timing, progress and results of current and future nonclinical studies and clinical trials, and our research and development programs;</w:t>
      </w:r>
    </w:p>
    <w:p>
      <w:pPr>
        <w:spacing w:after="0" w:line="4" w:lineRule="exact"/>
        <w:rPr>
          <w:rFonts w:ascii="MS PGothic" w:cs="MS PGothic" w:eastAsia="MS PGothic" w:hAnsi="MS PGothic"/>
          <w:sz w:val="25"/>
          <w:szCs w:val="25"/>
          <w:color w:val="auto"/>
          <w:vertAlign w:val="superscript"/>
        </w:rPr>
      </w:pPr>
    </w:p>
    <w:p>
      <w:pPr>
        <w:ind w:left="980" w:right="10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clinical utility, potential advantages and timing or likelihood of regulatory filings and review decisions for, and approvals of, UGN-102 and our other product candidates;</w:t>
      </w:r>
    </w:p>
    <w:p>
      <w:pPr>
        <w:spacing w:after="0" w:line="4" w:lineRule="exact"/>
        <w:rPr>
          <w:rFonts w:ascii="MS PGothic" w:cs="MS PGothic" w:eastAsia="MS PGothic" w:hAnsi="MS PGothic"/>
          <w:sz w:val="25"/>
          <w:szCs w:val="25"/>
          <w:color w:val="auto"/>
          <w:vertAlign w:val="superscript"/>
        </w:rPr>
      </w:pPr>
    </w:p>
    <w:p>
      <w:pPr>
        <w:ind w:left="980" w:right="12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for UGN-102 to be the first FDA-approved medicine for low-grade intermediate risk NMIBC and an alternative to the current standard of care for low-grade intermediate risk NMIBC;</w:t>
      </w: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 xml:space="preserve">the estimated U.S. patient population for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for low-grade UTUC and UGN-102 for low-grade intermediate risk NMIBC;</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estimated potential market opportunity for UGN-102;</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expected price range per dose for UGN-102;</w:t>
      </w:r>
    </w:p>
    <w:p>
      <w:pPr>
        <w:spacing w:after="0" w:line="22" w:lineRule="exact"/>
        <w:rPr>
          <w:rFonts w:ascii="MS PGothic" w:cs="MS PGothic" w:eastAsia="MS PGothic" w:hAnsi="MS PGothic"/>
          <w:sz w:val="25"/>
          <w:szCs w:val="25"/>
          <w:color w:val="auto"/>
          <w:vertAlign w:val="superscript"/>
        </w:rPr>
      </w:pPr>
    </w:p>
    <w:p>
      <w:pPr>
        <w:ind w:left="980" w:right="40" w:hanging="432"/>
        <w:spacing w:after="0" w:line="22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ongoing and planned development of our product candidates including UGN-103, UGN-104, UGN-201 and UGN-301, and our discovery of new product candidates;</w:t>
      </w:r>
    </w:p>
    <w:p>
      <w:pPr>
        <w:spacing w:after="0" w:line="5" w:lineRule="exact"/>
        <w:rPr>
          <w:rFonts w:ascii="MS PGothic" w:cs="MS PGothic" w:eastAsia="MS PGothic" w:hAnsi="MS PGothic"/>
          <w:sz w:val="25"/>
          <w:szCs w:val="25"/>
          <w:color w:val="auto"/>
          <w:vertAlign w:val="superscript"/>
        </w:rPr>
      </w:pPr>
    </w:p>
    <w:p>
      <w:pPr>
        <w:ind w:left="980" w:right="44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future growth, including our ability to develop, and obtain regulatory approval for, new product candidates;</w:t>
      </w: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additional financing to support our operations;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2" w:lineRule="exact"/>
        <w:rPr>
          <w:rFonts w:ascii="MS PGothic" w:cs="MS PGothic" w:eastAsia="MS PGothic" w:hAnsi="MS PGothic"/>
          <w:sz w:val="25"/>
          <w:szCs w:val="25"/>
          <w:color w:val="auto"/>
          <w:vertAlign w:val="superscript"/>
        </w:rPr>
      </w:pPr>
    </w:p>
    <w:p>
      <w:pPr>
        <w:ind w:left="980" w:right="140" w:hanging="432"/>
        <w:spacing w:after="0" w:line="22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maintain our existing collaboration and licensing arrangements and enter into and maintain other collaborations, licensing arrangements or in-license or acquire rights to other products, product candidates or technologies;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plans to develop and commercialize our in-line and investigational product candidates;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the commercial potential and market opportunity for our product pipeline and investigational products;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the need for additional financing;</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impact of our research and development expenses as we continue developing investigational product candidates;</w:t>
      </w:r>
    </w:p>
    <w:p>
      <w:pPr>
        <w:spacing w:after="0" w:line="22" w:lineRule="exact"/>
        <w:rPr>
          <w:rFonts w:ascii="MS PGothic" w:cs="MS PGothic" w:eastAsia="MS PGothic" w:hAnsi="MS PGothic"/>
          <w:sz w:val="25"/>
          <w:szCs w:val="25"/>
          <w:color w:val="auto"/>
          <w:vertAlign w:val="superscript"/>
        </w:rPr>
      </w:pPr>
    </w:p>
    <w:p>
      <w:pPr>
        <w:ind w:left="980" w:right="220" w:hanging="432"/>
        <w:spacing w:after="0" w:line="22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future nonclinical and clinical development of licensed products, including UGN-103, UGN-104, and UGN-301, and their commercial opportunity;</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use of cash and other resources, including our expected use of the net proceeds from this offering; and</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impact of government laws and regulations.</w:t>
      </w:r>
    </w:p>
    <w:p>
      <w:pPr>
        <w:spacing w:after="0" w:line="18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20"/>
          </w:cols>
          <w:pgMar w:left="320" w:top="455"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6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this prospectus supplement, the accompanying prospectus and the documents incorporated by reference herein and therein or any free writing prospectus that we authorized. We qualify all of the forward-looking statements contained in this prospectus supplement, accompanying prospectus and the documents incorporated by reference herein and in any free writing prospectus we have authorized for use in connection with this offering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herein or incorporated by reference, in addition to the other information set forth in this prospectus supplement, the accompanying prospectus, any free writing prospectus or in the documents incorporated by reference herein and therein.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320" w:lineRule="exact"/>
        <w:rPr>
          <w:sz w:val="20"/>
          <w:szCs w:val="20"/>
          <w:color w:val="auto"/>
        </w:rPr>
      </w:pPr>
    </w:p>
    <w:p>
      <w:pPr>
        <w:ind w:left="120" w:right="440" w:firstLine="440"/>
        <w:spacing w:after="0" w:line="253" w:lineRule="auto"/>
        <w:rPr>
          <w:sz w:val="20"/>
          <w:szCs w:val="20"/>
          <w:color w:val="auto"/>
        </w:rPr>
      </w:pPr>
      <w:r>
        <w:rPr>
          <w:rFonts w:ascii="Arial" w:cs="Arial" w:eastAsia="Arial" w:hAnsi="Arial"/>
          <w:sz w:val="18"/>
          <w:szCs w:val="18"/>
          <w:color w:val="auto"/>
        </w:rPr>
        <w:t>We estimate the net proceeds to us from this offering will be approximately $      million (or $      million if the underwriters’ option to purchase additional ordinary shares is exercised in full), after deducting the underwriting discounts and commissions and estimated offering expenses payable by us, in each case assuming no sale of pre-funded warrants in this offering.</w:t>
      </w:r>
    </w:p>
    <w:p>
      <w:pPr>
        <w:spacing w:after="0" w:line="169" w:lineRule="exact"/>
        <w:rPr>
          <w:sz w:val="20"/>
          <w:szCs w:val="20"/>
          <w:color w:val="auto"/>
        </w:rPr>
      </w:pPr>
    </w:p>
    <w:p>
      <w:pPr>
        <w:ind w:left="120" w:right="260" w:firstLine="440"/>
        <w:spacing w:after="0" w:line="244" w:lineRule="auto"/>
        <w:rPr>
          <w:sz w:val="20"/>
          <w:szCs w:val="20"/>
          <w:color w:val="auto"/>
        </w:rPr>
      </w:pPr>
      <w:r>
        <w:rPr>
          <w:rFonts w:ascii="Arial" w:cs="Arial" w:eastAsia="Arial" w:hAnsi="Arial"/>
          <w:sz w:val="18"/>
          <w:szCs w:val="18"/>
          <w:color w:val="auto"/>
        </w:rPr>
        <w:t xml:space="preserve">We intend to use the net proceeds from this offering for working capital and general corporate purposes, which may include costs associated with the commercialization of </w:t>
      </w:r>
      <w:r>
        <w:rPr>
          <w:rFonts w:ascii="Arial" w:cs="Arial" w:eastAsia="Arial" w:hAnsi="Arial"/>
          <w:sz w:val="18"/>
          <w:szCs w:val="18"/>
          <w:i w:val="1"/>
          <w:iCs w:val="1"/>
          <w:color w:val="auto"/>
        </w:rPr>
        <w:t>Jelmyto</w:t>
      </w:r>
      <w:r>
        <w:rPr>
          <w:rFonts w:ascii="Arial" w:cs="Arial" w:eastAsia="Arial" w:hAnsi="Arial"/>
          <w:sz w:val="18"/>
          <w:szCs w:val="18"/>
          <w:color w:val="auto"/>
        </w:rPr>
        <w:t xml:space="preserve"> and UGN-102 (if approved), research activities and clinical development of product candidates in our pipeline or future product candidates, as well as other capital expenditures and general and administrative expenses. We may also use a portion of the net proceeds to in-license, invest in or acquire businesses, assets or technologies that we believe are complementary to our own, although we have no current plans, commitments or agreements with respect to any acquisitions.</w:t>
      </w:r>
    </w:p>
    <w:p>
      <w:pPr>
        <w:spacing w:after="0" w:line="176"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The amounts and timing of these expenditures will depend on a number of factors, such as the timing of regulatory review and regulatory review decisions for our product candidates, the timing and progress of our clinical development efforts, the timing and progress of any partnering efforts, and the competitive environment for our product(s) and product candidates. As of the date of this prospectus supplement, we cannot specify with certainty all of the particular uses of the net proceeds from this offering. Accordingly, our management will have broad discretion in the application of these proceeds. Pending application of the net proceeds as described above, we intend to temporarily invest the net proceeds in short-term, interest-bearing instruments.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w:t>
      </w:r>
    </w:p>
    <w:p>
      <w:pPr>
        <w:spacing w:after="0" w:line="320" w:lineRule="exact"/>
        <w:rPr>
          <w:sz w:val="20"/>
          <w:szCs w:val="20"/>
          <w:color w:val="auto"/>
        </w:rPr>
      </w:pPr>
    </w:p>
    <w:p>
      <w:pPr>
        <w:ind w:left="120" w:right="340" w:firstLine="440"/>
        <w:spacing w:after="0" w:line="247" w:lineRule="auto"/>
        <w:rPr>
          <w:sz w:val="20"/>
          <w:szCs w:val="20"/>
          <w:color w:val="auto"/>
        </w:rPr>
      </w:pPr>
      <w:r>
        <w:rPr>
          <w:rFonts w:ascii="Arial" w:cs="Arial" w:eastAsia="Arial" w:hAnsi="Arial"/>
          <w:sz w:val="18"/>
          <w:szCs w:val="18"/>
          <w:color w:val="auto"/>
        </w:rPr>
        <w:t>The following descriptions of our share capital and provisions of our amended and restated articles of association are summaries and do not purport to be complete. Our amended and restated articles of association are filed with the U.S. Securities and Exchange Commission (the “SEC”) as an exhibit to our registration statement, of which this prospectus supplement and the accompanying prospectus form a part.</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77" w:lineRule="exact"/>
        <w:rPr>
          <w:sz w:val="20"/>
          <w:szCs w:val="20"/>
          <w:color w:val="auto"/>
        </w:rPr>
      </w:pPr>
    </w:p>
    <w:p>
      <w:pPr>
        <w:ind w:left="120" w:right="360" w:firstLine="440"/>
        <w:spacing w:after="0" w:line="271" w:lineRule="auto"/>
        <w:rPr>
          <w:sz w:val="20"/>
          <w:szCs w:val="20"/>
          <w:color w:val="auto"/>
        </w:rPr>
      </w:pPr>
      <w:r>
        <w:rPr>
          <w:rFonts w:ascii="Arial" w:cs="Arial" w:eastAsia="Arial" w:hAnsi="Arial"/>
          <w:sz w:val="18"/>
          <w:szCs w:val="18"/>
          <w:color w:val="auto"/>
        </w:rPr>
        <w:t>Our authorized share capital consists of 100,000,000 ordinary shares, par value NIS 0.01 per share. Our ordinary shares are not redeemable and do not have any preemptive rights.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Number and Purpose of the Company</w:t>
      </w:r>
    </w:p>
    <w:p>
      <w:pPr>
        <w:spacing w:after="0" w:line="63"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Our registration number with the Israeli Registrar of Companies is 513537621. Our purpose as set forth in our amended and restated articles of association is to engage in any lawful activity.</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of Shares</w:t>
      </w:r>
    </w:p>
    <w:p>
      <w:pPr>
        <w:spacing w:after="0" w:line="63"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of Directors</w:t>
      </w:r>
    </w:p>
    <w:p>
      <w:pPr>
        <w:spacing w:after="0" w:line="77" w:lineRule="exact"/>
        <w:rPr>
          <w:sz w:val="20"/>
          <w:szCs w:val="20"/>
          <w:color w:val="auto"/>
        </w:rPr>
      </w:pPr>
    </w:p>
    <w:p>
      <w:pPr>
        <w:ind w:left="120" w:right="420" w:firstLine="440"/>
        <w:spacing w:after="0" w:line="271"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meeting of shareholders have the power to elect all of our directors.</w:t>
      </w:r>
    </w:p>
    <w:p>
      <w:pPr>
        <w:spacing w:after="0" w:line="154"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8"/>
          <w:szCs w:val="18"/>
          <w:color w:val="auto"/>
        </w:rPr>
        <w:t>Under our amended and restated articles of association, our board of directors must consist of at least five and not more than nine directors. Our board of directors currently consists of eight directors.</w:t>
      </w:r>
    </w:p>
    <w:p>
      <w:pPr>
        <w:spacing w:after="0" w:line="154"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Pursuant to our amended and restated articles of association, each of our directors is appointed by a simple majority vote of holders of our ordinary shares, participating and voting at an annual general meeting of our shareholders. Each director serves until the next annual general meeting following his or her election and his or her successor is duly elected and qualified or until his or her earlier death, resignation or removal by a vote of the majority of the aggregate voting power of the Company at a general meeting of our shareholders or until his or her office expires by operation of law. In addition, our amended and restated articles of association allow our board of directors to appoint directors to fill vacancies on the board of directors, including filling empty board seats up to the maximum number of directors permitted under our articles of association, to serve until the next annual general meeting of shareholders. Our amended and restated articles of association do not have a retirement age requirement for our directors.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Share Buy-Back and Liquidation Rights</w:t>
      </w:r>
    </w:p>
    <w:p>
      <w:pPr>
        <w:spacing w:after="0" w:line="63" w:lineRule="exact"/>
        <w:rPr>
          <w:sz w:val="20"/>
          <w:szCs w:val="20"/>
          <w:color w:val="auto"/>
        </w:rPr>
      </w:pPr>
    </w:p>
    <w:p>
      <w:pPr>
        <w:jc w:val="both"/>
        <w:ind w:left="120" w:right="720" w:firstLine="440"/>
        <w:spacing w:after="0" w:line="253"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or buy-back our shares. Under the Israeli Companies Law, 5759-1999 (the “Israeli Companies Law”), dividend distributions or share buy-backs are determined by the board of</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69"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Pursuant to the Israeli Companies Law, the distribution amount is limited to the greater of retained earnings or earnings generated over the previous two years, according to our then last reviewed or audited financial statements (less the amount of previously distributed dividends, if not already reduced from the earnings), provided that the end of the period to which the financial statements relate is not more than six months prior to the date of the distribution (“Profit Test”).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 (“Solvency Test”).</w:t>
      </w:r>
    </w:p>
    <w:p>
      <w:pPr>
        <w:spacing w:after="0" w:line="185" w:lineRule="exact"/>
        <w:rPr>
          <w:sz w:val="20"/>
          <w:szCs w:val="20"/>
          <w:color w:val="auto"/>
        </w:rPr>
      </w:pPr>
    </w:p>
    <w:p>
      <w:pPr>
        <w:ind w:left="120" w:right="140" w:firstLine="440"/>
        <w:spacing w:after="0" w:line="244" w:lineRule="auto"/>
        <w:rPr>
          <w:sz w:val="20"/>
          <w:szCs w:val="20"/>
          <w:color w:val="auto"/>
        </w:rPr>
      </w:pPr>
      <w:r>
        <w:rPr>
          <w:rFonts w:ascii="Arial" w:cs="Arial" w:eastAsia="Arial" w:hAnsi="Arial"/>
          <w:sz w:val="18"/>
          <w:szCs w:val="18"/>
          <w:color w:val="auto"/>
        </w:rPr>
        <w:t>We may make a distribution by means of share buy-back even if such distribution does not meet the Profit Test, provided, the we meet the following conditions: (i) the distribution qualifies under the “Solvency Test”; (ii) we notify our material creditors and secured creditors of our intention to make a distribution that does not meet the “Profit Test” and expressly specify that the distribution shall not be made from its profits; (iii) we make this resolution public; and (iv) no creditor files an objection. If a creditor files an objection, we will have to file a motion with the court for approval of the distribution.</w:t>
      </w:r>
    </w:p>
    <w:p>
      <w:pPr>
        <w:spacing w:after="0" w:line="176"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Controls</w:t>
      </w:r>
    </w:p>
    <w:p>
      <w:pPr>
        <w:spacing w:after="0" w:line="7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Meetings</w:t>
      </w:r>
    </w:p>
    <w:p>
      <w:pPr>
        <w:spacing w:after="0" w:line="6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extraordinary meetings. Our board of directors may call extraordinary meetings whenever it sees fit, at such time and place, within or outside of Israel, as it may determine. In addition, the Israeli Companies Law provides that our board of directors is required to convene an extraordinary meeting upon the written request of</w:t>
      </w:r>
    </w:p>
    <w:p>
      <w:pPr>
        <w:spacing w:after="0" w:line="4" w:lineRule="exact"/>
        <w:rPr>
          <w:sz w:val="20"/>
          <w:szCs w:val="20"/>
          <w:color w:val="auto"/>
        </w:rPr>
      </w:pPr>
    </w:p>
    <w:p>
      <w:pPr>
        <w:ind w:left="120" w:right="120" w:hanging="4"/>
        <w:spacing w:after="0" w:line="242"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two or more of our directors or one-quarter or more of the members of our board of directors, or (ii) one or more shareholders holding, in the aggregate, either (a) 10% or more of our outstanding issued shares and 1% of our outstanding voting power, or (b) 10% or more of our outstanding voting power.</w:t>
      </w:r>
    </w:p>
    <w:p>
      <w:pPr>
        <w:spacing w:after="0" w:line="179"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60 days prior to the date of the meeting. Furthermore, the Israeli Companies Law requires that resolutions regarding the following matters must be passed at a general meeting of our shareholders:</w:t>
      </w:r>
    </w:p>
    <w:p>
      <w:pPr>
        <w:spacing w:after="0" w:line="187" w:lineRule="exact"/>
        <w:rPr>
          <w:sz w:val="20"/>
          <w:szCs w:val="20"/>
          <w:color w:val="auto"/>
        </w:rPr>
      </w:pPr>
    </w:p>
    <w:p>
      <w:pPr>
        <w:ind w:left="980" w:hanging="432"/>
        <w:spacing w:after="0"/>
        <w:tabs>
          <w:tab w:leader="none" w:pos="98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amendments to our articles of association;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5" w:lineRule="exact"/>
        <w:rPr>
          <w:sz w:val="20"/>
          <w:szCs w:val="20"/>
          <w:color w:val="auto"/>
        </w:rPr>
      </w:pPr>
    </w:p>
    <w:p>
      <w:pPr>
        <w:ind w:left="980" w:hanging="432"/>
        <w:spacing w:after="0"/>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appointment or termination of our auditors;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appointment of external directors (if applicable);</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approval of certain related party transactions;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increases or reductions of our authorized share capital;</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merger; and</w:t>
      </w:r>
    </w:p>
    <w:p>
      <w:pPr>
        <w:spacing w:after="0" w:line="22" w:lineRule="exact"/>
        <w:rPr>
          <w:rFonts w:ascii="MS PGothic" w:cs="MS PGothic" w:eastAsia="MS PGothic" w:hAnsi="MS PGothic"/>
          <w:sz w:val="25"/>
          <w:szCs w:val="25"/>
          <w:color w:val="auto"/>
          <w:vertAlign w:val="superscript"/>
        </w:rPr>
      </w:pPr>
    </w:p>
    <w:p>
      <w:pPr>
        <w:ind w:left="980" w:right="300" w:hanging="432"/>
        <w:spacing w:after="0" w:line="220" w:lineRule="auto"/>
        <w:tabs>
          <w:tab w:leader="none" w:pos="98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81"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color w:val="auto"/>
        </w:rPr>
        <w:t>Recent amendment of the Israeli Companies Law provides that any shareholder holding at least 5% of the outstanding voting rights may request inclusion of a proposal to nominate certain candidate as director or the removal of a serving director on the agenda of a general meeting. Currently our amended and restated articles of association provides that any shareholder holding at least 1% of the outstanding voting rights may make such request.</w:t>
      </w:r>
    </w:p>
    <w:p>
      <w:pPr>
        <w:spacing w:after="0" w:line="174" w:lineRule="exact"/>
        <w:rPr>
          <w:sz w:val="20"/>
          <w:szCs w:val="20"/>
          <w:color w:val="auto"/>
        </w:rPr>
      </w:pPr>
    </w:p>
    <w:p>
      <w:pPr>
        <w:ind w:left="120" w:right="60" w:firstLine="440"/>
        <w:spacing w:after="0" w:line="247" w:lineRule="auto"/>
        <w:rPr>
          <w:sz w:val="20"/>
          <w:szCs w:val="20"/>
          <w:color w:val="auto"/>
        </w:rPr>
      </w:pPr>
      <w:r>
        <w:rPr>
          <w:rFonts w:ascii="Arial" w:cs="Arial" w:eastAsia="Arial" w:hAnsi="Arial"/>
          <w:sz w:val="18"/>
          <w:szCs w:val="18"/>
          <w:color w:val="auto"/>
        </w:rPr>
        <w:t>The Israeli Companies Law requires that a notice of any annual general meeting or extraordinary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74"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Under the Israeli Companies Law, shareholders of a public company are not permitted to take action by way of written consent in lieu of a meeting.</w:t>
      </w:r>
    </w:p>
    <w:p>
      <w:pPr>
        <w:spacing w:after="0" w:line="154" w:lineRule="exact"/>
        <w:rPr>
          <w:sz w:val="20"/>
          <w:szCs w:val="20"/>
          <w:color w:val="auto"/>
        </w:rPr>
      </w:pPr>
    </w:p>
    <w:p>
      <w:pPr>
        <w:ind w:left="120" w:right="200" w:firstLine="440"/>
        <w:spacing w:after="0" w:line="253" w:lineRule="auto"/>
        <w:rPr>
          <w:sz w:val="20"/>
          <w:szCs w:val="20"/>
          <w:color w:val="auto"/>
        </w:rPr>
      </w:pPr>
      <w:r>
        <w:rPr>
          <w:rFonts w:ascii="Arial" w:cs="Arial" w:eastAsia="Arial" w:hAnsi="Arial"/>
          <w:sz w:val="18"/>
          <w:szCs w:val="18"/>
          <w:color w:val="auto"/>
        </w:rPr>
        <w:t>Under the Israeli Companies Law, whenever we cannot convene or conduct a general meeting in the manner prescribed under the law or our articles of association, the court may, upon our, shareholders’ or directors’ request, order that we convene and conduct a general meeting in the manner the court deems appropriate.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75" w:lineRule="exact"/>
        <w:rPr>
          <w:sz w:val="20"/>
          <w:szCs w:val="20"/>
          <w:color w:val="auto"/>
        </w:rPr>
      </w:pPr>
    </w:p>
    <w:p>
      <w:pPr>
        <w:ind w:left="120" w:right="120" w:firstLine="440"/>
        <w:spacing w:after="0" w:line="226" w:lineRule="auto"/>
        <w:rPr>
          <w:sz w:val="20"/>
          <w:szCs w:val="20"/>
          <w:color w:val="auto"/>
        </w:rPr>
      </w:pPr>
      <w:r>
        <w:rPr>
          <w:rFonts w:ascii="Arial" w:cs="Arial" w:eastAsia="Arial" w:hAnsi="Arial"/>
          <w:sz w:val="18"/>
          <w:szCs w:val="18"/>
          <w:color w:val="auto"/>
        </w:rPr>
        <w:t>Pursuant to our amended and restated articles of association, holders of our ordinary shares have one vote for each ordinary share held on all matters submitted to a vote before the shareholders at a general meeting. Pursuant to our amended and restated articles of association, the quorum required for our general meetings of shareholders consists of at least two shareholders present in person, by proxy or by other voting instrument in accordance with the Israeli Companies Law who hold or represent between them at least 33</w:t>
      </w:r>
      <w:r>
        <w:rPr>
          <w:rFonts w:ascii="Arial" w:cs="Arial" w:eastAsia="Arial" w:hAnsi="Arial"/>
          <w:sz w:val="26"/>
          <w:szCs w:val="26"/>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total outstanding voting rights. A meeting adjourned for lack of a quorum is generally adjourned to the same day in the following week at the same time and place or to a later time or date if so specified in the notice of the meeting. At the reconvened meeting, any two or more shareholders present in person or by proxy shall constitute a lawful quorum.</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61" w:lineRule="exact"/>
        <w:rPr>
          <w:sz w:val="20"/>
          <w:szCs w:val="20"/>
          <w:color w:val="auto"/>
        </w:rPr>
      </w:pPr>
    </w:p>
    <w:p>
      <w:pPr>
        <w:ind w:left="120" w:right="460" w:firstLine="440"/>
        <w:spacing w:after="0" w:line="271" w:lineRule="auto"/>
        <w:rPr>
          <w:sz w:val="20"/>
          <w:szCs w:val="20"/>
          <w:color w:val="auto"/>
        </w:rPr>
      </w:pPr>
      <w:r>
        <w:rPr>
          <w:rFonts w:ascii="Arial" w:cs="Arial" w:eastAsia="Arial" w:hAnsi="Arial"/>
          <w:sz w:val="18"/>
          <w:szCs w:val="18"/>
          <w:color w:val="auto"/>
        </w:rPr>
        <w:t>Our amended and restated articles of association provide that all resolutions of our shareholders require a simple majority vote, unless otherwise required by the Israeli Companies Law or by our amended and restated articles of association.</w:t>
      </w:r>
    </w:p>
    <w:p>
      <w:pPr>
        <w:spacing w:after="0" w:line="154" w:lineRule="exact"/>
        <w:rPr>
          <w:sz w:val="20"/>
          <w:szCs w:val="20"/>
          <w:color w:val="auto"/>
        </w:rPr>
      </w:pPr>
    </w:p>
    <w:p>
      <w:pPr>
        <w:ind w:left="120" w:right="320" w:firstLine="440"/>
        <w:spacing w:after="0" w:line="253" w:lineRule="auto"/>
        <w:rPr>
          <w:sz w:val="20"/>
          <w:szCs w:val="20"/>
          <w:color w:val="auto"/>
        </w:rPr>
      </w:pPr>
      <w:r>
        <w:rPr>
          <w:rFonts w:ascii="Arial" w:cs="Arial" w:eastAsia="Arial" w:hAnsi="Arial"/>
          <w:sz w:val="18"/>
          <w:szCs w:val="18"/>
          <w:color w:val="auto"/>
        </w:rPr>
        <w:t>We have adopted an amended and restated compensation policy regarding the terms of engagement of office holders, which our shareholders approved on June 3, 2019. The compensation policy is valid for a period of five years. Renewal or amendment of the compensation policy is subject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to shareholder approval. Even if our shareholders do not approve the compensation policy, our board of directors may resolve to approve the compensation policy if and to the extent the board determines, in its judgment following internal discussions, that approval of the compensation policy is for the benefit of the Company.</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Renewing or amending the compensation policy requires the recommendation to our board of directors by the</w:t>
      </w:r>
    </w:p>
    <w:p>
      <w:pPr>
        <w:spacing w:after="0" w:line="1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compensation committee. Thereafter our board of directors, after considering the recommendations of the compensation committee, need to approve the compensation policy, and will further need to be approved by our shareholders, which we refer to as a Special Majority Approval for Compensation. A Special Majority Approval for Compensation requires shareholder approval by a majority vote of the shares present and voting at a meeting of shareholders called for such purpose, provided that either: (i) such majority includes at least a majority of the shares held by all shareholders who are not controlling shareholders and do not have a personal interest in such compensation arrangement, excluding abstentions; or (ii) the total number of shares of non-controlling shareholders and shareholders who do not have a personal interest in the compensation arrangement and who vote against the arrangement does not exceed 2% of the Company’s aggregate voting rights.</w:t>
      </w:r>
    </w:p>
    <w:p>
      <w:pPr>
        <w:spacing w:after="0" w:line="18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 Israeli Companies Law requires that an office holder promptly disclose to our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action or transaction of a company, including a personal interest of such person’s relative or of a corporate body in which such person or a relative of such person is a 5% or greater shareholder, director or chief executive officer or in which he or she has the right to appoint at least one director or the chief executive officer, but excluding a personal interest stemming from one’s ownership of shares in the Company. An extraordinary transaction consists of:</w:t>
      </w:r>
    </w:p>
    <w:p>
      <w:pPr>
        <w:spacing w:after="0" w:line="193" w:lineRule="exact"/>
        <w:rPr>
          <w:sz w:val="20"/>
          <w:szCs w:val="20"/>
          <w:color w:val="auto"/>
        </w:rPr>
      </w:pPr>
    </w:p>
    <w:p>
      <w:pPr>
        <w:ind w:left="980" w:hanging="432"/>
        <w:spacing w:after="0"/>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transaction other than in the ordinary course of business;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transaction that is not on market terms; or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transaction that may have a material impact on a company’s profitability, assets or liabilities.</w:t>
      </w:r>
    </w:p>
    <w:p>
      <w:pPr>
        <w:spacing w:after="0" w:line="180"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Company’s interest or that is not performed by the office holder in good faith.</w:t>
      </w:r>
    </w:p>
    <w:p>
      <w:pPr>
        <w:spacing w:after="0" w:line="176" w:lineRule="exact"/>
        <w:rPr>
          <w:sz w:val="20"/>
          <w:szCs w:val="20"/>
          <w:color w:val="auto"/>
        </w:rPr>
      </w:pPr>
    </w:p>
    <w:p>
      <w:pPr>
        <w:ind w:left="120" w:right="760" w:firstLine="440"/>
        <w:spacing w:after="0" w:line="271" w:lineRule="auto"/>
        <w:rPr>
          <w:sz w:val="20"/>
          <w:szCs w:val="20"/>
          <w:color w:val="auto"/>
        </w:rPr>
      </w:pPr>
      <w:r>
        <w:rPr>
          <w:rFonts w:ascii="Arial" w:cs="Arial" w:eastAsia="Arial" w:hAnsi="Arial"/>
          <w:sz w:val="18"/>
          <w:szCs w:val="18"/>
          <w:color w:val="auto"/>
        </w:rPr>
        <w:t>An extraordinary transaction in which an office holder has a personal interest requires approval first by the Company’s audit committee and subsequently by the board of directors.</w:t>
      </w:r>
    </w:p>
    <w:p>
      <w:pPr>
        <w:spacing w:after="0" w:line="15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7"/>
          <w:szCs w:val="17"/>
          <w:color w:val="auto"/>
        </w:rPr>
        <w:t>The compensation of, or an undertaking to indemnify or insure, an office holder who is not a director generally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Majority Approval for Compensation. If the shareholders of a company do not approve the compensation terms of office holders at a meeting of the shareholders, other than directors, the compensation committee and board of directors may override the shareholders’ decision, subject to</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certain conditions. Arrangements regarding the compensation, indemnification or insurance of a director require the approval of the compensation committee, board of directors and shareholders by simple majority, in that order, and under certain circumstances, a Special Majority Approval for Compensation.</w:t>
      </w:r>
    </w:p>
    <w:p>
      <w:pPr>
        <w:spacing w:after="0" w:line="169" w:lineRule="exact"/>
        <w:rPr>
          <w:sz w:val="20"/>
          <w:szCs w:val="20"/>
          <w:color w:val="auto"/>
        </w:rPr>
      </w:pPr>
    </w:p>
    <w:p>
      <w:pPr>
        <w:jc w:val="both"/>
        <w:ind w:left="120" w:right="80" w:firstLine="440"/>
        <w:spacing w:after="0" w:line="242" w:lineRule="auto"/>
        <w:rPr>
          <w:sz w:val="20"/>
          <w:szCs w:val="20"/>
          <w:color w:val="auto"/>
        </w:rPr>
      </w:pPr>
      <w:r>
        <w:rPr>
          <w:rFonts w:ascii="Arial" w:cs="Arial" w:eastAsia="Arial" w:hAnsi="Arial"/>
          <w:sz w:val="18"/>
          <w:szCs w:val="18"/>
          <w:color w:val="auto"/>
        </w:rPr>
        <w:t>Generally, a person who has a personal interest in a matter which is considered at a meeting of the board of directors or the audit committee may not be present at such a meeting or vote on that matter unless the chair of the audit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179"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color w:val="auto"/>
        </w:rPr>
        <w:t>Under our amended and restated articles of association, (i) the removal of a director from office requires the adoption of a resolution at a general meeting of shareholders by a majority of the aggregate voting rights of the Company, and (ii)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76"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Further exceptions to the simple majority vote requirement are a resolution for the voluntary winding up, or an approval of a scheme of arrangement or reorganization, of the Company pursuant to Section 350 of the Israeli Companies Law, that governs the settlement of debts and reorganization of a company, which requires the approval of holders of 75% of the voting rights represented at the meeting and voting on the resolution.</w:t>
      </w:r>
    </w:p>
    <w:p>
      <w:pPr>
        <w:spacing w:after="0" w:line="17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We do not have any controlling shareholder. Under the Israeli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requires the approval of the audit committee, the board of directors and the shareholders of the Company, in that order, is required for (i) extraordinary transactions with a controlling shareholder or in which a controlling shareholder has a personal interest, (ii) the engagement with a controlling shareholder or his or her relative, directly or indirectly, for the provision of services to the Company, (iii)  the terms of engagement and compensation of a controlling shareholder or his or her relative who is not an office holder or (iv) the employment of a controlling shareholder or his or her relative by the Company, other than as an office holder. In addition, the shareholder approval requires one of the following, which we refer to as a Special Majority:</w:t>
      </w:r>
    </w:p>
    <w:p>
      <w:pPr>
        <w:spacing w:after="0" w:line="210" w:lineRule="exact"/>
        <w:rPr>
          <w:sz w:val="20"/>
          <w:szCs w:val="20"/>
          <w:color w:val="auto"/>
        </w:rPr>
      </w:pPr>
    </w:p>
    <w:p>
      <w:pPr>
        <w:ind w:left="980" w:right="320" w:hanging="432"/>
        <w:spacing w:after="0" w:line="230"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4" w:lineRule="exact"/>
        <w:rPr>
          <w:rFonts w:ascii="MS PGothic" w:cs="MS PGothic" w:eastAsia="MS PGothic" w:hAnsi="MS PGothic"/>
          <w:sz w:val="25"/>
          <w:szCs w:val="25"/>
          <w:color w:val="auto"/>
          <w:vertAlign w:val="superscript"/>
        </w:rPr>
      </w:pPr>
    </w:p>
    <w:p>
      <w:pPr>
        <w:ind w:left="980" w:right="60" w:hanging="432"/>
        <w:spacing w:after="0" w:line="230" w:lineRule="auto"/>
        <w:tabs>
          <w:tab w:leader="none" w:pos="98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shares voted against the transaction by shareholders who have no personal interest in the transaction and who are present and voting at the meeting do not exceed 2% of the aggregate voting rights in the Company.</w:t>
      </w:r>
    </w:p>
    <w:p>
      <w:pPr>
        <w:spacing w:after="0" w:line="180" w:lineRule="exact"/>
        <w:rPr>
          <w:sz w:val="20"/>
          <w:szCs w:val="20"/>
          <w:color w:val="auto"/>
        </w:rPr>
      </w:pPr>
    </w:p>
    <w:p>
      <w:pPr>
        <w:jc w:val="both"/>
        <w:ind w:left="120" w:right="80" w:firstLine="440"/>
        <w:spacing w:after="0" w:line="275"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firstLine="440"/>
        <w:spacing w:after="0" w:line="271"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w:t>
      </w:r>
    </w:p>
    <w:p>
      <w:pPr>
        <w:spacing w:after="0" w:line="154" w:lineRule="exact"/>
        <w:rPr>
          <w:sz w:val="20"/>
          <w:szCs w:val="20"/>
          <w:color w:val="auto"/>
        </w:rPr>
      </w:pPr>
    </w:p>
    <w:p>
      <w:pPr>
        <w:jc w:val="both"/>
        <w:ind w:left="120" w:right="220" w:firstLine="440"/>
        <w:spacing w:after="0" w:line="253" w:lineRule="auto"/>
        <w:rPr>
          <w:sz w:val="20"/>
          <w:szCs w:val="20"/>
          <w:color w:val="auto"/>
        </w:rPr>
      </w:pPr>
      <w:r>
        <w:rPr>
          <w:rFonts w:ascii="Arial" w:cs="Arial" w:eastAsia="Arial" w:hAnsi="Arial"/>
          <w:sz w:val="18"/>
          <w:szCs w:val="18"/>
          <w:color w:val="auto"/>
        </w:rPr>
        <w:t>Pursuant to regulations promulgated under the Israeli Companies Law, certain transactions with a controlling shareholder or his or her relative, or with directors or other office holders, that would otherwise require approval of a company’s shareholders may be exempt from shareholder approval under certain conditions.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75"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Class Rights</w:t>
      </w:r>
    </w:p>
    <w:p>
      <w:pPr>
        <w:spacing w:after="0" w:line="63" w:lineRule="exact"/>
        <w:rPr>
          <w:sz w:val="20"/>
          <w:szCs w:val="20"/>
          <w:color w:val="auto"/>
        </w:rPr>
      </w:pPr>
    </w:p>
    <w:p>
      <w:pPr>
        <w:jc w:val="both"/>
        <w:ind w:left="120" w:right="120" w:firstLine="440"/>
        <w:spacing w:after="0" w:line="247" w:lineRule="auto"/>
        <w:rPr>
          <w:sz w:val="20"/>
          <w:szCs w:val="20"/>
          <w:color w:val="auto"/>
        </w:rPr>
      </w:pPr>
      <w:r>
        <w:rPr>
          <w:rFonts w:ascii="Arial" w:cs="Arial" w:eastAsia="Arial" w:hAnsi="Arial"/>
          <w:sz w:val="18"/>
          <w:szCs w:val="18"/>
          <w:color w:val="auto"/>
        </w:rPr>
        <w:t>Under the Israeli Companies Law and our amended and restated articles of association, 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 under Israeli Law</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61"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80" w:lineRule="exact"/>
        <w:rPr>
          <w:sz w:val="20"/>
          <w:szCs w:val="20"/>
          <w:color w:val="auto"/>
        </w:rPr>
      </w:pPr>
    </w:p>
    <w:p>
      <w:pPr>
        <w:ind w:left="120" w:right="160" w:firstLine="440"/>
        <w:spacing w:after="0" w:line="244" w:lineRule="auto"/>
        <w:rPr>
          <w:sz w:val="20"/>
          <w:szCs w:val="20"/>
          <w:color w:val="auto"/>
        </w:rPr>
      </w:pPr>
      <w:r>
        <w:rPr>
          <w:rFonts w:ascii="Arial" w:cs="Arial" w:eastAsia="Arial" w:hAnsi="Arial"/>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76"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8"/>
          <w:szCs w:val="18"/>
          <w:color w:val="auto"/>
        </w:rPr>
        <w:t>If (i) the shareholders who did not respond to or accept the tender offer hold at least 5% of the issued and outstanding share capital of the Company or of the applicable class or the shareholders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color w:val="auto"/>
        </w:rPr>
        <w:t>who accept the offer constitute less than a majority of the offerees that do not have a personal interest in the acceptance of the tender offer, or (ii) the shareholders who did not accept the tender offer hold 2% or more of the issued and outstanding share capital of the Company (or of the applicable class), the acquirer may not acquire shares from shareholders who accepted the tender offer that will increase its holdings to more than 90% of the Company’s issued and outstanding share capital or of the applicable class. Shares acquired in contradiction of the full tender offer rules under the Israeli Companies Law will have no rights and will become dormant shares.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7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Israeli Companies Law provides that, subject to certain exceptions,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subject to certain exceptions,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in general, the acquisition (1) was made in a private placement that received shareholders’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(2) was from a shareholder holding 25% or more of the voting rights in the company which resulted in the purchaser becoming a holder of 25% or more of the voting rights in the company, or (3) was from a holder of more than 45% of the voting rights in the company which resulted in the acquirer becoming a holder of more than 45% of the voting rights in the company.</w:t>
      </w:r>
    </w:p>
    <w:p>
      <w:pPr>
        <w:spacing w:after="0" w:line="180"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A special tender offer must be extended to all shareholders of a company.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offeror, controlling shareholders, holders of 25% or more of the voting rights in the company or any person having a personal interest in the acceptance of the tender offer or any of their relatives or any entity controlled by them).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tender offer rules under the Israeli Companies Law, will have no rights and will become dormant shares.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w:t>
      </w:r>
    </w:p>
    <w:p>
      <w:pPr>
        <w:spacing w:after="0" w:line="61" w:lineRule="exact"/>
        <w:rPr>
          <w:sz w:val="20"/>
          <w:szCs w:val="20"/>
          <w:color w:val="auto"/>
        </w:rPr>
      </w:pPr>
    </w:p>
    <w:p>
      <w:pPr>
        <w:ind w:left="120" w:right="460" w:firstLine="440"/>
        <w:spacing w:after="0" w:line="253"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69" w:lineRule="exact"/>
        <w:rPr>
          <w:sz w:val="20"/>
          <w:szCs w:val="20"/>
          <w:color w:val="auto"/>
        </w:rPr>
      </w:pPr>
    </w:p>
    <w:p>
      <w:pPr>
        <w:jc w:val="both"/>
        <w:ind w:left="120" w:right="320" w:firstLine="440"/>
        <w:spacing w:after="0" w:line="275"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69" w:lineRule="exact"/>
        <w:rPr>
          <w:sz w:val="20"/>
          <w:szCs w:val="20"/>
          <w:color w:val="auto"/>
        </w:rPr>
      </w:pPr>
    </w:p>
    <w:p>
      <w:pPr>
        <w:ind w:left="120" w:right="120" w:firstLine="440"/>
        <w:spacing w:after="0" w:line="244"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76"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69"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75" w:lineRule="exact"/>
        <w:rPr>
          <w:sz w:val="20"/>
          <w:szCs w:val="20"/>
          <w:color w:val="auto"/>
        </w:rPr>
      </w:pPr>
    </w:p>
    <w:p>
      <w:pPr>
        <w:ind w:left="120" w:right="40" w:firstLine="440"/>
        <w:spacing w:after="0" w:line="239" w:lineRule="auto"/>
        <w:rPr>
          <w:sz w:val="20"/>
          <w:szCs w:val="20"/>
          <w:color w:val="auto"/>
        </w:rPr>
      </w:pPr>
      <w:r>
        <w:rPr>
          <w:rFonts w:ascii="Arial" w:cs="Arial" w:eastAsia="Arial" w:hAnsi="Arial"/>
          <w:sz w:val="18"/>
          <w:szCs w:val="18"/>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As of the date of this prospectus, no preferred shares are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and voting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Borrowing Powers</w:t>
      </w:r>
    </w:p>
    <w:p>
      <w:pPr>
        <w:spacing w:after="0" w:line="63"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Capital</w:t>
      </w:r>
    </w:p>
    <w:p>
      <w:pPr>
        <w:spacing w:after="0" w:line="63"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8"/>
          <w:szCs w:val="18"/>
          <w:color w:val="auto"/>
        </w:rPr>
        <w:t>The transfer agent and registrar for our ordinary shares is Computershare Trust Company, N.A. Its address is 150 Royall Street, Canton, MA 02021. Its telephone number is +1 (201) 680-4503.</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ordinary shares are listed on the Nasdaq Global Market under the symbol “URGN.”</w:t>
      </w:r>
    </w:p>
    <w:p>
      <w:pPr>
        <w:spacing w:after="0" w:line="14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0720"/>
          </w:cols>
          <w:pgMar w:left="320" w:top="455" w:right="8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SECURITIES WE ARE OFFERING</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77"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8"/>
          <w:szCs w:val="18"/>
          <w:color w:val="auto"/>
        </w:rPr>
        <w:t>We are offering our ordinary shares in this offering. See section titled “Description of Share Capital” for more information regarding our ordinary shares.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Pre-Funded Warrants</w:t>
      </w:r>
    </w:p>
    <w:p>
      <w:pPr>
        <w:spacing w:after="0" w:line="63" w:lineRule="exact"/>
        <w:rPr>
          <w:sz w:val="20"/>
          <w:szCs w:val="20"/>
          <w:color w:val="auto"/>
        </w:rPr>
      </w:pPr>
    </w:p>
    <w:p>
      <w:pPr>
        <w:ind w:left="120" w:right="20" w:firstLine="440"/>
        <w:spacing w:after="0" w:line="244" w:lineRule="auto"/>
        <w:rPr>
          <w:sz w:val="20"/>
          <w:szCs w:val="20"/>
          <w:color w:val="auto"/>
        </w:rPr>
      </w:pPr>
      <w:r>
        <w:rPr>
          <w:rFonts w:ascii="Arial" w:cs="Arial" w:eastAsia="Arial" w:hAnsi="Arial"/>
          <w:sz w:val="18"/>
          <w:szCs w:val="18"/>
          <w:color w:val="auto"/>
        </w:rPr>
        <w:t>The following is a summary of the material attributes and characteristics of the pre-funded warrants being offered in this offering. The form of pre-funded warrant will be filed as an exhibit to a Current Report on Form 8-K in connection with this offering and is incorporated by reference into the registration statement of which this prospectus supplement forms a part. The following summary is subject in all respects to the terms of the pre-funded warrants. The pre-funded warrants offered by this prospectus supplement and accompanying prospectus will be issued in certificated form only.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Duration and Exercise Price</w:t>
      </w:r>
    </w:p>
    <w:p>
      <w:pPr>
        <w:spacing w:after="0" w:line="61"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7"/>
          <w:szCs w:val="17"/>
          <w:color w:val="auto"/>
        </w:rPr>
        <w:t>Each pre-funded warrant entitles the holder thereof to purchase our ordinary shares at an exercise price of $0.001 per share. Each pre-funded warrant will be exercisable in whole or in part at any time beginning on the date of issuance. The number of ordinary shares issuable upon exercise of each pre-funded warrant is subject to appropriate adjustment in the event of certain share dividends, stock splits, reorganizations or similar events affecting our ordinary shares and the exercise price. The pre-funded warrants do not expire.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Exercisability</w:t>
      </w:r>
    </w:p>
    <w:p>
      <w:pPr>
        <w:spacing w:after="0" w:line="7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holder of a pre-funded warrant may exercise the pre-funded warrant by delivering an exercise notice, completed and duly signed, and payment in cash of the exercise price for the number of our ordinary shares for which the pre-funded warrant is being exercised. The holder of a pre-funded warrant may also satisfy its obligation to pay the exercise price through a “cashless exercise,” in which the holder receives upon such “cashless exercise” a number of ordinary shares determined according to the formula set forth in the pre-funded warrant. Upon a holder’s exercise of the pre-funded warrant, we will issue the ordinary shares which the holder is entitled to receive pursuant to such exercise promptly, but in any case no more than two trading days after the exercise date. A holder of a pre-funded warrant will not be entitled to exercise any portion of such pre-funded warrant to the extent that, upon giving effect to such exercise, the aggregate number of our ordinary shares beneficially owned by such holder (together with its affiliates and any other persons whose beneficial ownership of ordinary shares would be aggregated with the holder for purposes of Section 13(d) of the Exchange Act) would exceed 9.99% of the total number of then issued and outstanding ordinary shares, as such percentage ownership is determined in accordance with the terms of the pre-funded warrant and subject to such holder’s rights under the pre-funded warrant to increase or decrease such percentage to any other percentage not in excess of 19.99% (provided that any such increase will not be effective until 61st day after such notice is delivered to us).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Fundamental Transaction</w:t>
      </w:r>
    </w:p>
    <w:p>
      <w:pPr>
        <w:spacing w:after="0" w:line="61"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In the event of any fundamental transaction, as described in the pre-funded warrants and generally including any merger with or into another entity, sale of all or substantially all of our assets, tender offer or exchange offer, or reclassification of our ordinary shares, then upon any subsequent exercise of a pre-funded warrant, the holder will have the right to receive as alternative consideration, for each ordinary share that would have been issuable upon such exercise immediately prior to the occurrence of such fundamental transaction, the number of ordinary shares of the successor or acquiring corporation of our company, if it is the surviving corporation, and any additional consideration receivable upon or as a result of such transaction by a holder of the number of ordinary shares for which the pre-funded warrant is exercisable immediately prior to such event.</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Transferability</w:t>
      </w:r>
    </w:p>
    <w:p>
      <w:pPr>
        <w:spacing w:after="0" w:line="7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7"/>
          <w:szCs w:val="17"/>
          <w:color w:val="auto"/>
        </w:rPr>
        <w:t>Subject to applicable laws, a pre-funded warrant may be transferred at the option of the holder upon surrender of the pre-funded warrant to us together with the appropriate instruments of transfer and payment of funds sufficient to pay any transfer taxes (if applicable).</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Listing</w:t>
      </w:r>
    </w:p>
    <w:p>
      <w:pPr>
        <w:spacing w:after="0" w:line="61"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There is no trading market available for the pre-funded warrants on any securities exchange or nationally recognized trading system. We do not intend to list the pre-funded warrants on the Nasdaq Global Market or any securities exchange or nationally recognized trading system. We will initially serve as the warrant agent under the pre-funded warrants.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as a Shareholder</w:t>
      </w:r>
    </w:p>
    <w:p>
      <w:pPr>
        <w:spacing w:after="0" w:line="6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Except as otherwise provided in the pre-funded warrants or by virtue of such holder’s ownership of our ordinary shares, a holder of the pre-funded warrants does not have the rights or privileges of holders of our ordinary shares, including any voting rights, until such time as such holder duly exercises its pre-funded warrants.</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320" w:lineRule="exact"/>
        <w:rPr>
          <w:sz w:val="20"/>
          <w:szCs w:val="20"/>
          <w:color w:val="auto"/>
        </w:rPr>
      </w:pPr>
    </w:p>
    <w:p>
      <w:pPr>
        <w:ind w:left="120" w:right="120" w:firstLine="440"/>
        <w:spacing w:after="0" w:line="247" w:lineRule="auto"/>
        <w:rPr>
          <w:sz w:val="20"/>
          <w:szCs w:val="20"/>
          <w:color w:val="auto"/>
        </w:rPr>
      </w:pPr>
      <w:r>
        <w:rPr>
          <w:rFonts w:ascii="Arial" w:cs="Arial" w:eastAsia="Arial" w:hAnsi="Arial"/>
          <w:sz w:val="18"/>
          <w:szCs w:val="18"/>
          <w:color w:val="auto"/>
        </w:rPr>
        <w:t>If you purchase our ordinary shares or pre-funded warrants in this offering, your interest will be diluted to the extent of the difference between the public offering price per share or per pre-funded warrants that you pay and the net tangible book value per share of our ordinary shares after this offering. We calculate net tangible book value per share by dividing our net tangible assets (tangible assets less total liabilities) by the number of our ordinary shares issued and outstanding as of March 31, 2024.</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Our net tangible book value (deficit) at March 31, 2024 was $(40.1) million, or $(1.11) per share. After giving effect to the sale of</w:t>
      </w:r>
    </w:p>
    <w:p>
      <w:pPr>
        <w:spacing w:after="0" w:line="1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      ordinary shares in this offering at the public offering price of $      per ordinary share (assuming no sale of pre-funded warrants in this offering), and after deducting the underwriting discounts and commissions and estimated offering expenses payable by us, our as adjusted net tangible book value as of March 31, 2024 would have been approximately $      million, or $      per ordinary share. This represents an immediate increase in the net tangible book value of $      per share to our existing shareholders and an immediate dilution in net tangible book value of $      per share to investors purchasing ordinary shares in this offering. The following table illustrates this per share dilution:</w:t>
      </w:r>
    </w:p>
    <w:p>
      <w:pPr>
        <w:spacing w:after="0" w:line="223"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r>
      <w:tr>
        <w:trPr>
          <w:trHeight w:val="203"/>
        </w:trPr>
        <w:tc>
          <w:tcPr>
            <w:tcW w:w="20" w:type="dxa"/>
            <w:vAlign w:val="bottom"/>
          </w:tcPr>
          <w:p>
            <w:pPr>
              <w:spacing w:after="0"/>
              <w:rPr>
                <w:sz w:val="17"/>
                <w:szCs w:val="17"/>
                <w:color w:val="auto"/>
              </w:rPr>
            </w:pPr>
          </w:p>
        </w:tc>
        <w:tc>
          <w:tcPr>
            <w:tcW w:w="8340" w:type="dxa"/>
            <w:vAlign w:val="bottom"/>
          </w:tcPr>
          <w:p>
            <w:pPr>
              <w:ind w:left="340"/>
              <w:spacing w:after="0" w:line="202" w:lineRule="exact"/>
              <w:rPr>
                <w:sz w:val="20"/>
                <w:szCs w:val="20"/>
                <w:color w:val="auto"/>
              </w:rPr>
            </w:pPr>
            <w:r>
              <w:rPr>
                <w:rFonts w:ascii="Arial" w:cs="Arial" w:eastAsia="Arial" w:hAnsi="Arial"/>
                <w:sz w:val="18"/>
                <w:szCs w:val="18"/>
                <w:color w:val="auto"/>
              </w:rPr>
              <w:t>Net tangible book value (deficit) per share as of March 31, 2024</w:t>
            </w:r>
          </w:p>
        </w:tc>
        <w:tc>
          <w:tcPr>
            <w:tcW w:w="1260" w:type="dxa"/>
            <w:vAlign w:val="bottom"/>
            <w:gridSpan w:val="3"/>
          </w:tcPr>
          <w:p>
            <w:pPr>
              <w:jc w:val="right"/>
              <w:ind w:right="290"/>
              <w:spacing w:after="0" w:line="202" w:lineRule="exact"/>
              <w:rPr>
                <w:sz w:val="20"/>
                <w:szCs w:val="20"/>
                <w:color w:val="auto"/>
              </w:rPr>
            </w:pPr>
            <w:r>
              <w:rPr>
                <w:rFonts w:ascii="Arial" w:cs="Arial" w:eastAsia="Arial" w:hAnsi="Arial"/>
                <w:sz w:val="18"/>
                <w:szCs w:val="18"/>
                <w:color w:val="auto"/>
              </w:rPr>
              <w:t>$(1.11)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in net tangible book value per share attributable to this offering</w:t>
            </w:r>
          </w:p>
        </w:tc>
        <w:tc>
          <w:tcPr>
            <w:tcW w:w="3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as of March 31, 2024, after giving effect to this offering</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investors purchasing ordinary shares in this offering</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 xml:space="preserve">$ </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color w:val="auto"/>
                <w:w w:val="76"/>
              </w:rPr>
              <w:t> </w:t>
            </w:r>
          </w:p>
        </w:tc>
        <w:tc>
          <w:tcPr>
            <w:tcW w:w="3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 </w:t>
            </w: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44" w:lineRule="auto"/>
        <w:rPr>
          <w:sz w:val="20"/>
          <w:szCs w:val="20"/>
          <w:color w:val="auto"/>
        </w:rPr>
      </w:pPr>
      <w:r>
        <w:rPr>
          <w:rFonts w:ascii="Arial" w:cs="Arial" w:eastAsia="Arial" w:hAnsi="Arial"/>
          <w:sz w:val="18"/>
          <w:szCs w:val="18"/>
          <w:color w:val="auto"/>
        </w:rPr>
        <w:t>If the underwriters exercise in full their option to purchase      additional ordinary shares at the public offering price of $      per ordinary share (assuming no sale of pre-funded warrants in this offering), and after deducting underwriting discounts and commissions, our as adjusted net tangible book value as of March 31, 2024 after giving effect to this offering would be $      per ordinary share, representing an increase in net tangible book value (deficit) of $      per ordinary share to our existing shareholders and immediate dilution in net tangible book value (deficit) of $      per share to investors purchasing ordinary shares in this offering.</w:t>
      </w:r>
    </w:p>
    <w:p>
      <w:pPr>
        <w:spacing w:after="0" w:line="17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8"/>
          <w:szCs w:val="18"/>
          <w:color w:val="auto"/>
        </w:rPr>
        <w:t>The number of our ordinary shares to be outstanding immediately after this offering as shown above is based on 36,127,687 ordinary shares outstanding as of March 31, 2024 and excludes, as of that date:</w:t>
      </w:r>
    </w:p>
    <w:p>
      <w:pPr>
        <w:spacing w:after="0" w:line="181" w:lineRule="exact"/>
        <w:rPr>
          <w:sz w:val="20"/>
          <w:szCs w:val="20"/>
          <w:color w:val="auto"/>
        </w:rPr>
      </w:pPr>
    </w:p>
    <w:p>
      <w:pPr>
        <w:ind w:left="980" w:right="420" w:hanging="432"/>
        <w:spacing w:after="0" w:line="230"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2,670,796 ordinary shares issuable upon the exercise of outstanding stock options at a weighted-average exercise price of $25.42 per share;</w:t>
      </w:r>
    </w:p>
    <w:p>
      <w:pPr>
        <w:ind w:left="980" w:hanging="432"/>
        <w:spacing w:after="0" w:line="230"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1,235,316 ordinary shares issuable upon the vesting of outstanding restricted share units;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265,413 ordinary shares issuable upon the vesting of outstanding performance stock units;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218,871 ordinary shares reserved for issuance pursuant to the terms of our 2017 Equity Incentive Plan;</w:t>
      </w:r>
    </w:p>
    <w:p>
      <w:pPr>
        <w:spacing w:after="0" w:line="22" w:lineRule="exact"/>
        <w:rPr>
          <w:rFonts w:ascii="MS PGothic" w:cs="MS PGothic" w:eastAsia="MS PGothic" w:hAnsi="MS PGothic"/>
          <w:sz w:val="25"/>
          <w:szCs w:val="25"/>
          <w:color w:val="auto"/>
          <w:vertAlign w:val="superscript"/>
        </w:rPr>
      </w:pPr>
    </w:p>
    <w:p>
      <w:pPr>
        <w:ind w:left="980" w:right="180" w:hanging="432"/>
        <w:spacing w:after="0" w:line="220"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166,598 ordinary shares reserved for issuance pursuant to the terms of our 2019 Inducement Plan plus an additional 600,000 ordinary shares that were authorized for issuance under the 2019 Inducement Plan subsequent to March 31, 2024; and</w:t>
      </w:r>
    </w:p>
    <w:p>
      <w:pPr>
        <w:spacing w:after="0" w:line="5" w:lineRule="exact"/>
        <w:rPr>
          <w:rFonts w:ascii="MS PGothic" w:cs="MS PGothic" w:eastAsia="MS PGothic" w:hAnsi="MS PGothic"/>
          <w:sz w:val="25"/>
          <w:szCs w:val="25"/>
          <w:color w:val="auto"/>
          <w:vertAlign w:val="superscript"/>
        </w:rPr>
      </w:pPr>
    </w:p>
    <w:p>
      <w:pPr>
        <w:ind w:left="980" w:right="680" w:hanging="432"/>
        <w:spacing w:after="0" w:line="230" w:lineRule="auto"/>
        <w:tabs>
          <w:tab w:leader="none" w:pos="98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3,678,936 ordinary shares reserved for issuance upon the exercise of outstanding pre-funded warrants to purchase our ordinary shares at an exercise price of $0.001 per share.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To the extent that any outstanding stock options or pre-funded warrants are exercised or outstanding restricted stock units or performance stock units are settled, or we otherwise issue additional ordinary shares in the future, there will be further dilution to investors participating in this offering.</w:t>
      </w:r>
    </w:p>
    <w:p>
      <w:pPr>
        <w:spacing w:after="0" w:line="169"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by issuing equity securities or convertible securities, your ownership will be further diluted.</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TAX DISCLOSURE</w:t>
      </w:r>
    </w:p>
    <w:p>
      <w:pPr>
        <w:spacing w:after="0" w:line="212"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b w:val="1"/>
          <w:bCs w:val="1"/>
          <w:color w:val="auto"/>
        </w:rPr>
        <w:t>THE FOLLOWING DESCRIPTION IS NOT INTENDED TO CONSTITUTE A COMPLETE ANALYSIS OF ALL TAX CONSEQUENCES RELATING TO THE ACQUISITION, OWNERSHIP AND DISPOSITION OF OUR ORDINARY SHARES OR OUR PRE-FUNDED WARRANTS. YOU SHOULD CONSULT YOUR OWN TAX ADVISOR CONCERNING THE TAX CONSEQUENCES IN YOUR PARTICULAR SITUATION, AS WELL AS ANY TAX CONSEQUENCES THAT MAY ARISE UNDER THE LAWS OF ANY STATE, LOCAL, FOREIGN OR OTHER TAXING JURISDICTION.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Material Israeli Income Tax Considerations</w:t>
      </w:r>
    </w:p>
    <w:p>
      <w:pPr>
        <w:spacing w:after="0" w:line="21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following is a brief summary of the material Israeli tax laws applicable to us. This section also contains a discussion of material Israeli tax consequences concerning the ownership and disposition of our ordinary shares purchased by investors in this offering (and ordinary shares received upon exercise of pre-funded warrants). This summary does not discuss certain tax benefits, including under the Law for Encouragement of Capital Investments, 5719-1959, to which we may become eligible in the future. This summary also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or other tax regimes not covered in this discussion. Because parts of this discussion are based on tax legislation that has not yet been subject to judicial or administrative interpretation, the appropriate tax authorities or the courts may not accept the views expressed in this discussion. The discussion below is not intended, and should not be construed, as legal or professional tax advice and is not exhaustive of all possible tax considerations. The discussion below is subject to change, including due to amendments under Israeli law or changes to the applicable judicial or administrative interpretations of Israeli law, which change could affect the tax consequences described below, possibly with a retroactive effect.</w:t>
      </w:r>
    </w:p>
    <w:p>
      <w:pPr>
        <w:spacing w:after="0" w:line="183"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b w:val="1"/>
          <w:bCs w:val="1"/>
          <w:color w:val="auto"/>
        </w:rPr>
        <w:t>THEREFORE, YOU ARE URGED TO CONSULT YOUR OWN TAX ADVISORS AS TO THE ISRAELI OR OTHER TAX CONSEQUENCES OF THE PURCHASE, OWNERSHIP AND DISPOSITION OF OUR ORDINARY SHARES OR OUR PRE-FUNDED WARRANTS, INCLUDING, IN PARTICULAR, THE EFFECT OF ANY FOREIGN, STATE OR LOCAL TAXES.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10" w:lineRule="exact"/>
        <w:rPr>
          <w:sz w:val="20"/>
          <w:szCs w:val="20"/>
          <w:color w:val="auto"/>
        </w:rPr>
      </w:pPr>
    </w:p>
    <w:p>
      <w:pPr>
        <w:jc w:val="both"/>
        <w:ind w:left="120" w:right="80" w:firstLine="440"/>
        <w:spacing w:after="0" w:line="253" w:lineRule="auto"/>
        <w:rPr>
          <w:sz w:val="20"/>
          <w:szCs w:val="20"/>
          <w:color w:val="auto"/>
        </w:rPr>
      </w:pPr>
      <w:r>
        <w:rPr>
          <w:rFonts w:ascii="Arial" w:cs="Arial" w:eastAsia="Arial" w:hAnsi="Arial"/>
          <w:sz w:val="18"/>
          <w:szCs w:val="18"/>
          <w:color w:val="auto"/>
        </w:rPr>
        <w:t>Israeli companies are generally subject to corporate tax at a flat rate. As of the date hereof, Israeli companies are generally subject to corporate tax at the rate of 23% of a company’s taxable income. In addition, real capital gains realized by Israeli companies are subject to tax at the regular corporate tax rate.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210"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Israeli law generally imposes a capital gains tax on the sale of any capital assets by Israeli residents, as defined for Israeli tax purposes, and on the sale of capital assets by non-Israeli resident, if such assets (i) are located in Israel, (ii) are shares or rights to shares in an Israeli resident company, or (iii) represent, directly or indirectly, rights to assets located in Israel, unless a specific exemption is available or unless a tax treaty between Israel and the shareholder’s country of residence provides otherwise. The Israeli Income Tax Ordinance (New Version), 5721-1961 (the “Ordinance”) distinguishes between real gain and inflationary surplus. The Inflationary Surplus is a portion of the total capital gain equivalent to the increase of the relevant asset’s purchase price attributable to an increase in the Israeli consumer price index, or, in certain circumstances, a foreign currency exchange rate, between the date of purchase and the date of sale. Inflationary surplus is currently not subject to tax in Israel under certain conditions. The real gain is the excess of the total capital gain over the inflationary surplus.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i w:val="1"/>
          <w:iCs w:val="1"/>
          <w:color w:val="auto"/>
        </w:rPr>
        <w:t>Exercise of Pre-Funded Warrants and Certain Adjustments to the Pre-Funded Warrants</w:t>
      </w:r>
      <w:r>
        <w:rPr>
          <w:rFonts w:ascii="Arial" w:cs="Arial" w:eastAsia="Arial" w:hAnsi="Arial"/>
          <w:sz w:val="17"/>
          <w:szCs w:val="17"/>
          <w:color w:val="auto"/>
        </w:rPr>
        <w:t>. The Israeli income tax treatment and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consequences with respect to pre-funded warrants, including with respect to exercise of such warrants into our ordinary shares, is unclear. It may be reasonable to assume that the characterization and treatment of our pre-funded warrants for Israeli income tax purposes should be generally similar to our ordinary shares, however, this is uncertain. Furthermore, the exercise terms of the pre-funded warrants may be adjusted in certain circumstances. An adjustment to the number of ordinary shares that will be issued on the exercise of the pre-funded warrants or an adjustment to the exercise price of the pre-funded warrants may be treated as a taxable event under Israeli tax law even if the holder of such pre-funded warrants does not receive any cash or other property in connection with the adjustment. Investors should consult their tax advisors regarding the proper Israeli tax treatment and consequences of any aspect relating to the purchase, ownership and disposition of (including exercise and/or any adjustments) the pre-funded warrants. </w:t>
      </w:r>
      <w:r>
        <w:rPr>
          <w:rFonts w:ascii="Arial" w:cs="Arial" w:eastAsia="Arial" w:hAnsi="Arial"/>
          <w:sz w:val="17"/>
          <w:szCs w:val="17"/>
          <w:b w:val="1"/>
          <w:bCs w:val="1"/>
          <w:color w:val="auto"/>
        </w:rPr>
        <w:t>THE BRIEF ISRAELI TAX DISCUSSION SET</w:t>
      </w:r>
    </w:p>
    <w:p>
      <w:pPr>
        <w:spacing w:after="0" w:line="1"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b w:val="1"/>
          <w:bCs w:val="1"/>
          <w:color w:val="auto"/>
        </w:rPr>
        <w:t>FORTH BELOW RELATES SOLEY TO OUR ORDINARY SHARES, WHICH WILL BE ISSUED UPON THE EXERCISE OF THE PRE-FUNDED WARRANTS.</w:t>
      </w:r>
    </w:p>
    <w:p>
      <w:pPr>
        <w:spacing w:after="0" w:line="155"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i w:val="1"/>
          <w:iCs w:val="1"/>
          <w:color w:val="auto"/>
        </w:rPr>
        <w:t xml:space="preserve">Capital gains taxes applicable to non-Israeli resident shareholders. </w:t>
      </w:r>
      <w:r>
        <w:rPr>
          <w:rFonts w:ascii="Arial" w:cs="Arial" w:eastAsia="Arial" w:hAnsi="Arial"/>
          <w:sz w:val="18"/>
          <w:szCs w:val="18"/>
          <w:color w:val="auto"/>
        </w:rPr>
        <w:t>A non-Israeli resident corporate shareholder will generally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tax on real capital gain at the ordinary corporate tax rate (23% as of the date hereof). A non-Israeli resident individual who derives capital gains from the sale of our ordinary shares that were purchased after the shares were listed for trading on the Nasdaq will generally be subject to tax on real capital gain at the rate of 25% plus 3% Surtax, when applicable, or 30% plus 3% Surtax, when applicable, if generated by an individual who is a “Substantial Shareholder” at the time of sale or at any time during the preceding</w:t>
      </w:r>
    </w:p>
    <w:p>
      <w:pPr>
        <w:spacing w:after="0" w:line="4"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12-month period (or if the shareholder claims a deduction for interest and linkage differences expenses in connection with the purchase and holding of such shares). A person is considered to be a “Substantial Shareholder” if it holds, directly or indirectly, alone or together with such person’s relative or another person who collaborates with such person on a permanent basis based on a contract, 10% or more of a company’s means of control, which include, among other things, voting rights, the right to receive profits of the company, the right to receive assets upon liquidation and the right to appoint a director or an executive officer.</w:t>
      </w:r>
    </w:p>
    <w:p>
      <w:pPr>
        <w:spacing w:after="0" w:line="180"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7"/>
          <w:szCs w:val="17"/>
          <w:color w:val="auto"/>
        </w:rPr>
        <w:t>Notwithstanding the foregoing, a non-Israeli resident who derives capital gains from the sale of our ordinary shares that were purchased after the shares were listed for trading on the Nasdaq is generally exempt from Israeli tax on such capital gains so long as, among other things, the shares were not attributable to a permanent establishment that the non-resident maintains in Israel. However, a “Body of Persons” (as defined in the Ordinance, which includes corporations, partnerships and other entities) will not be entitled to the foregoing exemption if persons who are Israeli residents either: (i) have a controlling interest (directly or indirectly, alone or together with another (as defined in the Ordinance), or together with another Israeli resident) of more than 25% in one or more of the means of control in such Body of Persons, or (ii) are the beneficiaries of, or are entitled to, 25% or more of the revenues or profits of such Body of Persons, whether directly or indirectly. Such an exemption is also not applicable to a person whose gains from selling or otherwise disposing of our ordinary shares are deemed to be business income under Israeli law. However, withholding tax rates may be higher than the above tax rates, and therefore in order to be eligible for the capital gains rates mentioned (including an exemption), the shareholder will need to perform certain administrative procedures with the Israel Tax Authority and obtain a tax certificate from the Israel Tax Authority in advance.</w:t>
      </w:r>
    </w:p>
    <w:p>
      <w:pPr>
        <w:spacing w:after="0" w:line="177"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Individual and corporate shareholders dealing in securities in Israel are taxed at the tax rates applicable to business income (a corporate tax rate for a corporation (23% as of the date hereof) and a marginal tax rate of up to 47% plus 3% Surtax, when applicable for an individual as of the date hereof), unless contrary provisions in a relevant tax treaty apply.</w:t>
      </w:r>
    </w:p>
    <w:p>
      <w:pPr>
        <w:spacing w:after="0" w:line="169" w:lineRule="exact"/>
        <w:rPr>
          <w:sz w:val="20"/>
          <w:szCs w:val="20"/>
          <w:color w:val="auto"/>
        </w:rPr>
      </w:pPr>
    </w:p>
    <w:p>
      <w:pPr>
        <w:ind w:left="120" w:right="200" w:firstLine="440"/>
        <w:spacing w:after="0" w:line="253" w:lineRule="auto"/>
        <w:rPr>
          <w:sz w:val="20"/>
          <w:szCs w:val="20"/>
          <w:color w:val="auto"/>
        </w:rPr>
      </w:pPr>
      <w:r>
        <w:rPr>
          <w:rFonts w:ascii="Arial" w:cs="Arial" w:eastAsia="Arial" w:hAnsi="Arial"/>
          <w:sz w:val="18"/>
          <w:szCs w:val="18"/>
          <w:color w:val="auto"/>
        </w:rPr>
        <w:t>Additionally, a sale of shares by a non-Israeli resident may be exempt from Israeli capital gains tax under the provisions of an applicable tax treaty. For example, under the Convention Between the Government of the United States of America and the Government of the State of Israel with respect to</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Taxes on Income, as amended (the “United States-Israel Tax Treaty”), the sale, exchange or other disposition of shares by a shareholder who is a United States resident (for purposes of the treaty) holding the shares as a capital asset and entitled to claim the benefits afforded to such a resident by the United States-Israel Tax Treaty (a “Treaty U.S. Resident”), is generally exempt from Israeli capital gains tax unless: (i) the capital gain arising from such sale, exchange or other disposition is attributed to real estate located in Israel; (ii) the capital gain arising from such sale, exchange or other disposition is attributed to royalties; (iii) the capital gain arising from the such sale, exchange or other disposition is attributed to a permanent establishment in Israel, under certain terms; (iv) such Treaty U.S. Resident holds, directly or indirectly, shares representing 10% or more of the voting capital during any part of the 12-month period preceding the disposition, subject to certain conditions; or (v) such Treaty U.S. Resident is an individual and was present in Israel for 183 days or more during the relevant taxable year. In any such case, the sale, exchange or other disposition of such shares would be subject to Israeli tax, to the extent applicable.</w:t>
      </w:r>
    </w:p>
    <w:p>
      <w:pPr>
        <w:spacing w:after="0" w:line="180"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Regardless of whether shareholders may be liable for Israeli tax on the sale of our ordinary shares, the payment of the consideration may be subject to withholding of Israeli tax at source. Shareholders may be required to demonstrate that they are exempt from tax on their capital gains in order to avoid withholding of tax at source at the time of sale (i.e., provide certificate of residency and other relevant documentation to the Israel Tax Authority). Specifically, in transactions involving a sale of all of the shares of an Israeli resident company, such as a merger or other transaction, the Israel Tax Authority may, among other things, require from shareholders who are not liable for Israeli tax to execute a declaration in the form specified by that authority or, provide documents (including, for example, a certificate of residency), or to obtain a specific exemption from the Israel Tax Authority to confirm their status as non-Israeli residents, and, in the absence of such declaration or exemption, may require the purchaser of the shares to withhold taxes at the source.</w:t>
      </w:r>
    </w:p>
    <w:p>
      <w:pPr>
        <w:spacing w:after="0" w:line="180" w:lineRule="exact"/>
        <w:rPr>
          <w:sz w:val="20"/>
          <w:szCs w:val="20"/>
          <w:color w:val="auto"/>
        </w:rPr>
      </w:pPr>
    </w:p>
    <w:p>
      <w:pPr>
        <w:ind w:left="120" w:firstLine="440"/>
        <w:spacing w:after="0" w:line="259" w:lineRule="auto"/>
        <w:rPr>
          <w:sz w:val="20"/>
          <w:szCs w:val="20"/>
          <w:color w:val="auto"/>
        </w:rPr>
      </w:pPr>
      <w:r>
        <w:rPr>
          <w:rFonts w:ascii="Arial" w:cs="Arial" w:eastAsia="Arial" w:hAnsi="Arial"/>
          <w:sz w:val="17"/>
          <w:szCs w:val="17"/>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65"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On the sale of securities traded on a stock exchange, a detailed return, including a computation of the tax due, must be filed and an advanced payment must be paid on January 31 and July 31 of every tax year in respect of sales of securities made within the previous six months. However, if all tax due was withheld at source according to applicable provisions of the Ordinance and regulations promulgated thereunder, the aforementioned periodic tax return may not need to be filed, provided that, among other things, such income was not generated from business conducted in Israel by the taxpayer. Capital gain is also reportable on the annual income tax return.</w:t>
      </w:r>
    </w:p>
    <w:p>
      <w:pPr>
        <w:spacing w:after="0" w:line="176"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i w:val="1"/>
          <w:iCs w:val="1"/>
          <w:color w:val="auto"/>
        </w:rPr>
        <w:t xml:space="preserve">Taxation of non-Israeli shareholders on receipt of dividends. </w:t>
      </w:r>
      <w:r>
        <w:rPr>
          <w:rFonts w:ascii="Arial" w:cs="Arial" w:eastAsia="Arial" w:hAnsi="Arial"/>
          <w:sz w:val="18"/>
          <w:szCs w:val="18"/>
          <w:color w:val="auto"/>
        </w:rPr>
        <w:t>Non-Israeli residents (either individuals or corporations)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Israeli income tax on the receipt of dividends paid on our ordinary shares at the rate of 25%, which tax will be withheld at source, unless relief is provided in a treaty between Israel and the shareholder’s country of residence (subject to the receipt in advance of a valid certificate from the Israel Tax Authority allowing for such relief). With respect to a person who is a “Substantial Shareholder” at the time of receiving the dividend or on any time during the preceding twelve months, the applicable tax rate is 30%. Dividends paid on publicly traded shares, like our ordinary shares, are generally subject to Israeli withholding tax at a rate of 25% if the shares are registered with a nominee company (whether or not the recipient is a “Substantial Shareholder”),</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unless a reduced rate is provided under an applicable tax treaty (subject to the receipt in advance of a valid certificate from the Israel Tax Authority allowing for a reduced withholding tax rate).</w:t>
      </w:r>
    </w:p>
    <w:p>
      <w:pPr>
        <w:spacing w:after="0" w:line="15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For example, generally under the United States-Israel Tax Treaty, the maximum rate of tax that may be withheld at source in Israel on dividends paid to a holder of our ordinary shares who is a Treaty U.S. Resident is 25%. However, the maximum rate of withholding tax on dividends, not generated by a “Preferred Enterprise”, “Approved Enterprise” or “Beneficial Enterprise”, that are paid to a United States corporation (which is a Treaty U.S Resident) holding 10% or more of the outstanding voting capital throughout the tax year in which the dividend is distributed as well as during the previous tax year, is 12.5%, provided that not more than 25% of our gross income for such preceding year consists of certain types of dividends and interest. Application for the reduced tax rate requires appropriate documentation to be presented and specific instruction received from the Israel Tax Authority to be followed. To the extent tax is withheld at source at the maximum rates (see above), a qualified tax treaty recipient will be required to comply with certain administrative procedures with the Israel Tax Authority in order to receive a refund of the excess tax withheld.</w:t>
      </w:r>
    </w:p>
    <w:p>
      <w:pPr>
        <w:spacing w:after="0" w:line="183" w:lineRule="exact"/>
        <w:rPr>
          <w:sz w:val="20"/>
          <w:szCs w:val="20"/>
          <w:color w:val="auto"/>
        </w:rPr>
      </w:pPr>
    </w:p>
    <w:p>
      <w:pPr>
        <w:ind w:left="120" w:right="480" w:firstLine="440"/>
        <w:spacing w:after="0" w:line="271" w:lineRule="auto"/>
        <w:rPr>
          <w:sz w:val="20"/>
          <w:szCs w:val="20"/>
          <w:color w:val="auto"/>
        </w:rPr>
      </w:pPr>
      <w:r>
        <w:rPr>
          <w:rFonts w:ascii="Arial" w:cs="Arial" w:eastAsia="Arial" w:hAnsi="Arial"/>
          <w:sz w:val="18"/>
          <w:szCs w:val="18"/>
          <w:color w:val="auto"/>
        </w:rPr>
        <w:t>The aforementioned rates under the United States-Israel Tax Treaty will not apply if the dividend income was derived through a permanent establishment of the Treaty U.S. Resident in Israel.</w:t>
      </w:r>
    </w:p>
    <w:p>
      <w:pPr>
        <w:spacing w:after="0" w:line="154" w:lineRule="exact"/>
        <w:rPr>
          <w:sz w:val="20"/>
          <w:szCs w:val="20"/>
          <w:color w:val="auto"/>
        </w:rPr>
      </w:pPr>
    </w:p>
    <w:p>
      <w:pPr>
        <w:jc w:val="both"/>
        <w:ind w:left="120" w:right="260" w:firstLine="440"/>
        <w:spacing w:after="0" w:line="247" w:lineRule="auto"/>
        <w:rPr>
          <w:sz w:val="20"/>
          <w:szCs w:val="20"/>
          <w:color w:val="auto"/>
        </w:rPr>
      </w:pPr>
      <w:r>
        <w:rPr>
          <w:rFonts w:ascii="Arial" w:cs="Arial" w:eastAsia="Arial" w:hAnsi="Arial"/>
          <w:sz w:val="18"/>
          <w:szCs w:val="18"/>
          <w:color w:val="auto"/>
        </w:rPr>
        <w:t>A non-Israeli resident who receives dividends from which tax was duly withheld is generally exempt from the obligation to file tax returns in Israel with respect to such income, provided that (i) such income was not generated from business conducted in Israel by the taxpayer; (ii) the taxpayer has no other taxable sources of income in Israel with respect to which a tax return is required to be filed; and (iii) the taxpayer is not subject to Surtax (as explained below).</w:t>
      </w:r>
    </w:p>
    <w:p>
      <w:pPr>
        <w:spacing w:after="0" w:line="174"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i w:val="1"/>
          <w:iCs w:val="1"/>
          <w:color w:val="auto"/>
        </w:rPr>
        <w:t>Capital gains taxes applicable to Israeli resident shareholders</w:t>
      </w:r>
      <w:r>
        <w:rPr>
          <w:rFonts w:ascii="Arial" w:cs="Arial" w:eastAsia="Arial" w:hAnsi="Arial"/>
          <w:sz w:val="18"/>
          <w:szCs w:val="18"/>
          <w:color w:val="auto"/>
        </w:rPr>
        <w:t>. Generally, an Israeli resident corporation that derives capital gains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sale of shares in an Israeli resident company that were purchased after the company was listed for trading on a stock exchange outside of Israel will generally be subject to tax on the real capital gains generated on such sale at the corporate tax rate (23% as of the date hereof). An Israeli resident individual that derives capital gains from the sale of our shares that were purchased after the shares were listed for trading on the Nasdaq will generally be subject to tax on the real capital gains generated on such sale at the rate of 25% plus 3% Surtax, when applicable. However, if the individual shareholder claims deduction of interest expenditures or is a Substantial Shareholder at the time of the sale or at any time during the preceding twelve months period, such gain will be taxed at the rate of 30% plus 3% Surtax, when applicable. Individual holders dealing in securities in Israel for whom the income from the sale of securities is considered “business income” as defined under section 2(1) of the Ordinance are taxed at the marginal tax rates applicable to business income (up to 47% as of the date hereof plus 3% Surtax, when applicable).</w:t>
      </w:r>
    </w:p>
    <w:p>
      <w:pPr>
        <w:spacing w:after="0" w:line="180"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i w:val="1"/>
          <w:iCs w:val="1"/>
          <w:color w:val="auto"/>
        </w:rPr>
        <w:t xml:space="preserve">Taxation of Israeli shareholders on receipt of dividends. </w:t>
      </w:r>
      <w:r>
        <w:rPr>
          <w:rFonts w:ascii="Arial" w:cs="Arial" w:eastAsia="Arial" w:hAnsi="Arial"/>
          <w:sz w:val="18"/>
          <w:szCs w:val="18"/>
          <w:color w:val="auto"/>
        </w:rPr>
        <w:t>An Israeli resident individual is generally subject to Israeli income tax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dividends paid on our ordinary shares at the rate of 25%, plus 3% Surtax, when applicable. With respect to a person who is a “Substantial Shareholder” at the time of receiving the dividend or on any time during the preceding twelve months, the applicable tax rate is 30%, plus 3% Surtax, when applicable. Such dividends are generally subject to Israeli withholding tax at a rate of 25% if the shares are registered with a nominee company. If the recipient of the dividend is an Israeli resident corporation such dividend income will be exempt from tax provided the income from which such dividend is distributed was derived or accrued within Israel and was received directly or indirectly from another corporation that is subject to Israeli corporate tax.</w:t>
      </w:r>
    </w:p>
    <w:p>
      <w:pPr>
        <w:spacing w:after="0" w:line="185" w:lineRule="exact"/>
        <w:rPr>
          <w:sz w:val="20"/>
          <w:szCs w:val="20"/>
          <w:color w:val="auto"/>
        </w:rPr>
      </w:pPr>
    </w:p>
    <w:p>
      <w:pPr>
        <w:jc w:val="both"/>
        <w:ind w:left="120" w:firstLine="440"/>
        <w:spacing w:after="0" w:line="247" w:lineRule="auto"/>
        <w:rPr>
          <w:sz w:val="20"/>
          <w:szCs w:val="20"/>
          <w:color w:val="auto"/>
        </w:rPr>
      </w:pPr>
      <w:r>
        <w:rPr>
          <w:rFonts w:ascii="Arial" w:cs="Arial" w:eastAsia="Arial" w:hAnsi="Arial"/>
          <w:sz w:val="18"/>
          <w:szCs w:val="18"/>
          <w:i w:val="1"/>
          <w:iCs w:val="1"/>
          <w:color w:val="auto"/>
        </w:rPr>
        <w:t xml:space="preserve">Excess Tax (Surtax). </w:t>
      </w:r>
      <w:r>
        <w:rPr>
          <w:rFonts w:ascii="Arial" w:cs="Arial" w:eastAsia="Arial" w:hAnsi="Arial"/>
          <w:sz w:val="18"/>
          <w:szCs w:val="18"/>
          <w:color w:val="auto"/>
        </w:rPr>
        <w:t>Individuals who are subject to tax in Israel, whether an Israeli resident or a non-Israeli resident, are also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an additional tax on annual income exceeding a certain threshold (NIS 721,560 in 2024, which amount is linked to the annual change in the Israeli consumer price index), at a rate of 3%, including, but not limited to, dividends, interest and capital gain, subject to the provisions of an applicable tax treaty.</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Estate and Gift Tax. </w:t>
      </w:r>
      <w:r>
        <w:rPr>
          <w:rFonts w:ascii="Arial" w:cs="Arial" w:eastAsia="Arial" w:hAnsi="Arial"/>
          <w:sz w:val="18"/>
          <w:szCs w:val="18"/>
          <w:color w:val="auto"/>
        </w:rPr>
        <w:t>Israeli law presently does not impose estate or gift taxes.</w:t>
      </w:r>
    </w:p>
    <w:p>
      <w:pPr>
        <w:spacing w:after="0" w:line="212" w:lineRule="exact"/>
        <w:rPr>
          <w:sz w:val="20"/>
          <w:szCs w:val="20"/>
          <w:color w:val="auto"/>
        </w:rPr>
      </w:pPr>
    </w:p>
    <w:p>
      <w:pPr>
        <w:ind w:left="120" w:right="20"/>
        <w:spacing w:after="0" w:line="264" w:lineRule="auto"/>
        <w:rPr>
          <w:sz w:val="20"/>
          <w:szCs w:val="20"/>
          <w:color w:val="auto"/>
        </w:rPr>
      </w:pPr>
      <w:r>
        <w:rPr>
          <w:rFonts w:ascii="Arial" w:cs="Arial" w:eastAsia="Arial" w:hAnsi="Arial"/>
          <w:sz w:val="17"/>
          <w:szCs w:val="17"/>
          <w:b w:val="1"/>
          <w:bCs w:val="1"/>
          <w:color w:val="auto"/>
        </w:rPr>
        <w:t>THE BRIEF ISRAELI TAX DISCUSSION SET FORTH ABOVE IS INCLUDED FOR GENERAL INFORMATION ONLY AND MAY NOT BE APPLICABLE TO YOU DEPENDING UPON YOUR PARTICULAR SITUATION. YOU ARE URGED TO CONSULT YOUR OWN TAX ADVISOR WITH RESPECT TO THE TAX CONSEQUENCES TO YOU OF THE OWNERSHIP AND DISPOSITION OF OUR ORDINARY SHARES OR OUR PRE-FUNDED WARRANTS, INCLUDING THE TAX CONSEQUENCES UNDER ISRAELI TAX LAW AND OTHER NON-ISRAELI TAX LAWS AND TAX TREATIES AND THE POSSIBLE EFFECTS OF CHANGES IN ISRAELI OR OTHER TAX LAWS.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2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following discussion describes the material U.S. federal income tax consequences to U.S. Holders (as defined below) under present law of an investment in our ordinary shares and pre-funded warrants sold pursuant to this offering. This discussion does not address the special tax accounting rules under Section 451(b) of the Code, any alternative minimum tax, Medicare contribution tax, state or local tax, or other U.S. federal tax laws such as estate and gift tax laws. This summary applies only to investors who hold the ordinary shares or pre-funded warrants as capital assets (generally, property held for investment) and who have the U.S. dollar as their functional currency. This discussion is based on the Internal Revenue Code of 1986, as amended, or the Code, U.S. Treasury regulations promulgated thereunder, judicial decisions, published rulings and administrative pronouncements of the U.S. Internal Revenue Service, or the IRS, and the U.S.-Israel Tax Treaty, all as in effect as of the date of this offering. All of the foregoing authorities are subject to change, which change could apply retroactively and could affect the tax consequences described below. There can be no assurances that the IRS will not take a different position concerning the tax consequences of an investment in our ordinary shares or pre-funded warrants or that such a position would not be sustained by a court. We have not obtained, nor do we intend to obtain, a ruling with respect to the U.S. federal income tax considerations of an investment in our ordinary shares or pre-funded warrants.</w:t>
      </w:r>
    </w:p>
    <w:p>
      <w:pPr>
        <w:spacing w:after="0" w:line="183"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following discussion does not address all U.S. federal income tax consequences relevant to a holder’s particular circumstances or to holders subject to particular rules, including:</w:t>
      </w:r>
    </w:p>
    <w:p>
      <w:pPr>
        <w:ind w:left="980" w:hanging="432"/>
        <w:spacing w:after="0" w:line="231"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U.S. expatriates and certain former citizens or long-term residents of the United States;</w:t>
      </w:r>
    </w:p>
    <w:p>
      <w:pPr>
        <w:spacing w:after="0" w:line="23" w:lineRule="exact"/>
        <w:rPr>
          <w:rFonts w:ascii="MS PGothic" w:cs="MS PGothic" w:eastAsia="MS PGothic" w:hAnsi="MS PGothic"/>
          <w:sz w:val="25"/>
          <w:szCs w:val="25"/>
          <w:color w:val="auto"/>
          <w:vertAlign w:val="superscript"/>
        </w:rPr>
      </w:pPr>
    </w:p>
    <w:p>
      <w:pPr>
        <w:ind w:left="980" w:right="140" w:hanging="432"/>
        <w:spacing w:after="0" w:line="22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ordinary shares or pre-funded warrants as part of a hedge, straddle or other risk reduction strategy or as part of a conversion transaction or other integrated investment for U.S. federal income tax purposes;</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real estate investment trusts and regulated investment companies;</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dealers, and traders in securities, commodities or currencies;</w:t>
      </w:r>
    </w:p>
    <w:p>
      <w:pPr>
        <w:spacing w:after="0" w:line="22" w:lineRule="exact"/>
        <w:rPr>
          <w:rFonts w:ascii="MS PGothic" w:cs="MS PGothic" w:eastAsia="MS PGothic" w:hAnsi="MS PGothic"/>
          <w:sz w:val="25"/>
          <w:szCs w:val="25"/>
          <w:color w:val="auto"/>
          <w:vertAlign w:val="superscript"/>
        </w:rPr>
      </w:pPr>
    </w:p>
    <w:p>
      <w:pPr>
        <w:ind w:left="980" w:right="120" w:hanging="432"/>
        <w:spacing w:after="0" w:line="22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partnerships, S corporations, and other entities or arrangements treated as partnerships for U.S. federal income tax purposes (and investors therein);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organizations and governmental organizations;</w:t>
      </w:r>
    </w:p>
    <w:p>
      <w:pPr>
        <w:spacing w:after="0" w:line="22" w:lineRule="exact"/>
        <w:rPr>
          <w:rFonts w:ascii="MS PGothic" w:cs="MS PGothic" w:eastAsia="MS PGothic" w:hAnsi="MS PGothic"/>
          <w:sz w:val="25"/>
          <w:szCs w:val="25"/>
          <w:color w:val="auto"/>
          <w:vertAlign w:val="superscript"/>
        </w:rPr>
      </w:pPr>
    </w:p>
    <w:p>
      <w:pPr>
        <w:ind w:left="980" w:right="260" w:hanging="432"/>
        <w:spacing w:after="0" w:line="22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acquired our ordinary shares or pre-funded warrants pursuant to the exercise of any employee share option or otherwise as compensation;</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directly, indirectly or constructively 10% or more of our stock (by voting power or value);</w:t>
      </w:r>
    </w:p>
    <w:p>
      <w:pPr>
        <w:spacing w:after="0" w:line="22" w:lineRule="exact"/>
        <w:rPr>
          <w:rFonts w:ascii="MS PGothic" w:cs="MS PGothic" w:eastAsia="MS PGothic" w:hAnsi="MS PGothic"/>
          <w:sz w:val="25"/>
          <w:szCs w:val="25"/>
          <w:color w:val="auto"/>
          <w:vertAlign w:val="superscript"/>
        </w:rPr>
      </w:pPr>
    </w:p>
    <w:p>
      <w:pPr>
        <w:ind w:left="980" w:right="240" w:hanging="432"/>
        <w:spacing w:after="0" w:line="22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hold their ordinary shares or pre-funded warrants through a permanent establishment or fixed base outside the United States; and</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deemed to sell our ordinary shares or pre-funded warrants under the constructive sale provisions of the Code.</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060"/>
          </w:cols>
          <w:pgMar w:left="320" w:top="455"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0" w:lineRule="auto"/>
        <w:rPr>
          <w:sz w:val="20"/>
          <w:szCs w:val="20"/>
          <w:color w:val="auto"/>
        </w:rPr>
      </w:pPr>
      <w:r>
        <w:rPr>
          <w:rFonts w:ascii="Arial" w:cs="Arial" w:eastAsia="Arial" w:hAnsi="Arial"/>
          <w:sz w:val="18"/>
          <w:szCs w:val="18"/>
          <w:b w:val="1"/>
          <w:bCs w:val="1"/>
          <w:color w:val="auto"/>
        </w:rPr>
        <w:t>U.S. HOLDERS ARE URGED TO CONSULT THEIR TAX ADVISORS REGARDING THE APPLICATION OF THE U.S. FEDERAL TAX RULES TO THEIR PARTICULAR CIRCUMSTANCES AS WELL AS THE U.S. STATE AND LOCAL AND NON-U.S. TAX CONSEQUENCES TO THEM OF THE PURCHASE, OWNERSHIP AND DISPOSITION OF THE ORDINARY SHARES OR PRE-FUNDED WARRANTS.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this discussion, a “U.S. Holder” is a beneficial owner of our ordinary shares or pre-funded warrants that, for U.S.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purposes, is or is treated as any of the following:</w:t>
      </w:r>
    </w:p>
    <w:p>
      <w:pPr>
        <w:spacing w:after="0" w:line="4"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individual who is a citizen or resident of the United States;</w:t>
      </w:r>
    </w:p>
    <w:p>
      <w:pPr>
        <w:spacing w:after="0" w:line="22" w:lineRule="exact"/>
        <w:rPr>
          <w:rFonts w:ascii="MS PGothic" w:cs="MS PGothic" w:eastAsia="MS PGothic" w:hAnsi="MS PGothic"/>
          <w:sz w:val="25"/>
          <w:szCs w:val="25"/>
          <w:color w:val="auto"/>
          <w:vertAlign w:val="superscript"/>
        </w:rPr>
      </w:pPr>
    </w:p>
    <w:p>
      <w:pPr>
        <w:ind w:left="980" w:right="220" w:hanging="432"/>
        <w:spacing w:after="0" w:line="220"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1" w:lineRule="exact"/>
        <w:rPr>
          <w:rFonts w:ascii="MS PGothic" w:cs="MS PGothic" w:eastAsia="MS PGothic" w:hAnsi="MS PGothic"/>
          <w:sz w:val="25"/>
          <w:szCs w:val="25"/>
          <w:color w:val="auto"/>
          <w:vertAlign w:val="superscript"/>
        </w:rPr>
      </w:pPr>
    </w:p>
    <w:p>
      <w:pPr>
        <w:ind w:left="980" w:hanging="432"/>
        <w:spacing w:after="0" w:line="230"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 regardless of its source; or</w:t>
      </w:r>
    </w:p>
    <w:p>
      <w:pPr>
        <w:spacing w:after="0" w:line="22" w:lineRule="exact"/>
        <w:rPr>
          <w:rFonts w:ascii="MS PGothic" w:cs="MS PGothic" w:eastAsia="MS PGothic" w:hAnsi="MS PGothic"/>
          <w:sz w:val="25"/>
          <w:szCs w:val="25"/>
          <w:color w:val="auto"/>
          <w:vertAlign w:val="superscript"/>
        </w:rPr>
      </w:pPr>
    </w:p>
    <w:p>
      <w:pPr>
        <w:jc w:val="both"/>
        <w:ind w:left="980" w:right="240" w:hanging="432"/>
        <w:spacing w:after="0" w:line="225" w:lineRule="auto"/>
        <w:tabs>
          <w:tab w:leader="none" w:pos="98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(1) is subject to the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80" w:lineRule="exact"/>
        <w:rPr>
          <w:sz w:val="20"/>
          <w:szCs w:val="20"/>
          <w:color w:val="auto"/>
        </w:rPr>
      </w:pPr>
    </w:p>
    <w:p>
      <w:pPr>
        <w:ind w:left="120" w:right="40" w:firstLine="440"/>
        <w:spacing w:after="0" w:line="247" w:lineRule="auto"/>
        <w:rPr>
          <w:sz w:val="20"/>
          <w:szCs w:val="20"/>
          <w:color w:val="auto"/>
        </w:rPr>
      </w:pPr>
      <w:r>
        <w:rPr>
          <w:rFonts w:ascii="Arial" w:cs="Arial" w:eastAsia="Arial" w:hAnsi="Arial"/>
          <w:sz w:val="18"/>
          <w:szCs w:val="18"/>
          <w:color w:val="auto"/>
        </w:rPr>
        <w:t>The tax treatment of a partner in a partnership (or other entity or arrangement taxable as a partnership for U.S. federal income tax purposes) that holds our ordinary shares or pre-funded warrants generally will depend on the status of the partner and the activities of the partnership. Partnerships holding our ordinary shares or pre-funded warrants and the partners in such partnerships should consult their tax advisors regarding the U.S. federal income tax consequences applicable to them.</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Characterization of the Pre-Funded Warrants for U.S. Federal Income Tax Purposes</w:t>
      </w:r>
    </w:p>
    <w:p>
      <w:pPr>
        <w:spacing w:after="0" w:line="75"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Although the characterization of our pre-funded warrants for U.S. federal income tax purposes is not entirely clear, because the exercise price of the pre-funded warrants is a nominal amount, we expect to treat the pre-funded warrants as our ordinary shares for U.S. federal income tax purposes. Except where specifically noted below, the following discussion assumes our pre-funded warrants are treated as our ordinary shares. However, some portions of the below discussion refer to potential consequences associated with the purchase, ownership and disposition of the pre-funded warrants independent of their potential characterization as ordinary shares.</w:t>
      </w:r>
    </w:p>
    <w:p>
      <w:pPr>
        <w:spacing w:after="0" w:line="176" w:lineRule="exact"/>
        <w:rPr>
          <w:sz w:val="20"/>
          <w:szCs w:val="20"/>
          <w:color w:val="auto"/>
        </w:rPr>
      </w:pPr>
    </w:p>
    <w:p>
      <w:pPr>
        <w:ind w:left="120" w:right="140" w:firstLine="440"/>
        <w:spacing w:after="0" w:line="244" w:lineRule="auto"/>
        <w:rPr>
          <w:sz w:val="20"/>
          <w:szCs w:val="20"/>
          <w:color w:val="auto"/>
        </w:rPr>
      </w:pPr>
      <w:r>
        <w:rPr>
          <w:rFonts w:ascii="Arial" w:cs="Arial" w:eastAsia="Arial" w:hAnsi="Arial"/>
          <w:sz w:val="18"/>
          <w:szCs w:val="18"/>
          <w:color w:val="auto"/>
        </w:rPr>
        <w:t>Our position with respect to the characterization of pre-funded warrants is not binding on the IRS and the IRS may treat the pre-funded warrants as warrants to acquire our ordinary shares and, if so, the amount and character of a U.S. Holder’s gain with respect to an investment in our pre-funded warrants could change. You should consult your tax advisor regarding the characterization of pre-funded warrants for U.S. federal income tax purposes, and the consequences to you of an investment in the pre-funded warrants based on your own particular facts and circumstances.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 and Other Distributions on our Ordinary Shares or Pre-Funded Warrants</w:t>
      </w:r>
    </w:p>
    <w:p>
      <w:pPr>
        <w:spacing w:after="0" w:line="61"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Subject to the discussion under “—Passive Foreign Investment Company Considerations,” below, a U.S. Holder will include the gross amount of any distribution with respect to our ordinary shares or pre-funded warrants in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such U.S. Holder’s tax basis in our ordinary shares or pre-funded warrants, and to the extent the amount of the distribution exceeds such U.S. Holder’s tax basis, the excess will be taxed as capital gain. While we currently calculate our earnings and profits under U.S. federal income tax principles, we cannot give any assurances that we will continue to do so in the future. Therefore, a U.S. Holder should expect that the entire amount of any distribution will generally be reported as dividend income. Any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dividends will not be eligible for the dividends-received deduction allowed to corporations in respect of dividends received from other U.S. corporations. The amount of any dividend income paid in foreign currency will be the U.S. dollar amount calculated by reference to the spot rate of exchange in effect on the date of actual or constructive receipt, regardless of whether the payment is in fact converted into U.S. dollars. If the dividend is converted into U.S. dollars on the date of receipt, a U.S. Holder generally should not be required to recognize foreign currency gain or loss in respect of the dividend income. Any further gain or loss on a subsequent conversion or other disposition of the currency for a different U.S. dollar amount will be U.S. source ordinary income or loss.</w:t>
      </w:r>
    </w:p>
    <w:p>
      <w:pPr>
        <w:spacing w:after="0" w:line="17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If we are not a passive foreign investment company (“PFIC”), for a given year in which a dividend is paid and the taxable year preceding the dividend, non-corporate U.S. Holders may qualify for the preferential rates of taxation with respect to dividends on ordinary shares or pre-funded warrants applicable to long-term capital gains (i.e., gains from the sale of capital assets held for more than one year) applicable to qualified dividend income (as discussed below). We believe that we qualify as a resident of Israel for purposes of, and are eligible for the benefits of, the U.S.-Israel Tax Treaty, although there can be no assurance in this regard. Further, the IRS has determined that the U.S.-Israel Tax Treaty is satisfactory for purposes of the qualified dividend rules and that it includes an exchange-of-information program. Therefore, subject to the discussion under “—Passive Foreign Investment Company Considerations” below, if the U.S.-Israel Tax Treaty is applicable, such dividends will generally be “qualified dividend income” in the hands of individual U.S. Holders, provided that certain conditions are met, including holding period and the absence of certain risk reduction transaction requirements. The dividends will not be eligible for the dividends received deduction generally allowed to corporate U.S. Holders. As discussed in “Taxation—Israeli Tax Considerations and Government Programs,” payments of dividends by us may be subject to Israeli withholding tax. For U.S. federal income tax purposes, U.S. Holders will be treated as having received the amount of Israeli taxes withheld by us, and as then having paid over the withheld taxes to the Israeli taxing authorities. As a result of this rule, the amount of dividend income included in gross income for U.S. federal income tax purposes by a U.S. Holder with respect to a payment of dividends may be greater than the amount of cash actually received (or receivable) by the U.S. Holder from us with respect to the payment. Dividends will generally constitute foreign-source income for foreign tax credit limitation purposes. Any tax withheld with respect to distributions on our ordinary shares or pre-funded warrants at the rate applicable to a U.S. Holder may, subject to a number of complex limitations, be claimed as a foreign tax credit against such U.S. Holder’s U.S. federal income tax liability or may be claimed as a deduction for U.S. federal income tax purposes. The limitation on foreign taxes eligible for credit is calculated separately with respect to specific classes of income. For this purpose, dividends distributed by us with respect to our ordinary shares or pre-funded warrants generally will constitute “passive category income” or “general category income.” The rules with respect to the foreign tax credit are complex and involve the application of rules that depend upon a U.S. Holder’s particular circumstances. You are urged to consult your tax advisor regarding the availability of the foreign tax credit under your particular circumstances.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Disposition of the Ordinary Shares or Pre-Funded Warrants</w:t>
      </w:r>
    </w:p>
    <w:p>
      <w:pPr>
        <w:spacing w:after="0" w:line="7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Subject to the discussion below under “—Passive Foreign Investment Company Considerations,” a U.S. Holder will recognize gain or loss on any sale, exchange or other taxable disposition of an ordinary share or pre-funded warrant equal to the difference between the amount realized on the disposition of such ordinary share or pre-funded warrant and such U.S. Holder’s adjusted tax basis in such ordinary share or pre-funded warrant. The tax basis in an ordinary share or pre-funded warrant generally will be the cost of such ordinary share or pre-funded warrant. Any such gain or loss will be capital gain or loss, and will be long-term capital gain or loss if the U.S. Holder has held the ordinary share or pre-funded warrant for more than one year at the time of sale, exchange or other taxable disposition. Otherwise, such gain or loss will be short-term capital gain or loss. Long-term capital gains recognized by certain non-corporate U.S. Holders, including individuals, generally will be taxable at a</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color w:val="auto"/>
        </w:rPr>
        <w:t>reduced rate. The deductibility of capital losses is subject to limitations. Any such gain or loss generally will be treated as U.S. source income or loss for foreign tax credit limitation purposes.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75"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If we are classified as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69"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Based on the nature and composition of our income, assets, and activities and our market capitalization for our taxable year ended December 31, 2023, and certain assumptions with respect to the characterization of our income and assets as active or passive, we do not believe that we were a PFIC for our taxable year ended December 31, 2023. However, because the determination of whether or not we are a PFIC is a fact-intensive determination made on an annual basis, and because the applicable law is subject to varying interpretation, we cannot provide any assurances regarding our PFIC status for any past, the current or any future taxable years. As a result, our PFIC status may change from year to year and we have not yet made any determination as to our expected PFIC status for the current year. Our U.S. tax counsel has not provided any opinion regarding our PFIC status in any taxable year.</w:t>
      </w:r>
    </w:p>
    <w:p>
      <w:pPr>
        <w:spacing w:after="0" w:line="185"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A non-U.S. corporation is classified as a PFIC for U.S. federal income tax purposes in any taxable year in which, after applying certain look-through rules with respect to the income and assets of subsidiaries, either (i) at least 75% of its gross income is “passive income” or (ii) at least 50% of the average quarterly value of its total gross assets (which, assuming we are not a CFC for the year being tested, would be measured by fair market value of the assets, and for which purpose the total value of our assets may be determined in part by the market value of our ordinary shares and pre-funded warrants, which is subject to change) is attributable to assets that produce “passive income” or are held for the production of passive income.</w:t>
      </w:r>
    </w:p>
    <w:p>
      <w:pPr>
        <w:spacing w:after="0" w:line="179"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generally includes amounts derived by reason of the temporary investment of funds raised in offerings of our ordinary shares and pre-funded warrants. However, rents and royalties received from unrelated parties in connection with the active conduct of a trade or business are not considered passive income for purposes of the PFIC test. Assets that produce or are held for the production of passive income generally, include cash, cash equivalents, and marketable securities. If a non-U.S. corporation owns directly or indirectly at least 25% by value of the stock of another entity treated as a corporation or partnership for U.S. federal income tax purposes (or, in the case of a partnership, the non-U.S. corporation satisfies active partner tests with respect to the partnership), the non-U.S. corporation is treated for purposes of the PFIC tests as owning its proportionate share of the assets of such entity and as receiving directly its proportionate share of such entity’s income.</w:t>
      </w:r>
    </w:p>
    <w:p>
      <w:pPr>
        <w:spacing w:after="0" w:line="180"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If we are a PFIC, a special tax regime will apply to both (a) any “excess distribution” by us to a U.S. Holder (generally, such U.S. Holder’s ratable portion of aggregate distributions in any year which are greater than 125% of the average annual distribution received by such U.S. Holder in the shorter of the three preceding years or such U.S. Holder’s holding period for our ordinary shares or pre-funded warrants) and (b) any gain realized by a U.S. Holder on the sale or other disposition of the ordinary shares or pre-funded warrants. Under this regime, any excess distribution and realized gain will be treated as ordinary income and will be subject to tax as if (a) the excess distribution or gain had been realized ratably over such U.S. Holder’s holding period, (b) the amount deemed realized in each year had been subject to tax in each year of that holding period at the highest marginal rate for such year (other than income allocated to the current period or any taxable period before we became a PFIC,</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In addition, dividend distributions made to a U.S. Holder will not qualify for the lower rates of taxation applicable to long-term capital gains discussed under “Taxation of Dividends and Other Distributions on our Ordinary Shares or Pre-Funded Warrants.” The tax liability for amounts allocated to years before the year of disposition or excess distribution cannot be offset by any net operating losses for such years, and gains (but not losses) realized on the sale of our ordinary shares or pre-funded warrants cannot be treated as capital, even if the U.S. Holder holds the ordinary shares or pre-funded warrants as capital assets.</w:t>
      </w:r>
    </w:p>
    <w:p>
      <w:pPr>
        <w:spacing w:after="0" w:line="185"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A U.S. Holder that (i) owns our ordinary shares or pre-funded warrants at any point during a year in which we are characterized as a PFIC and (ii) does not timely make a qualified electing fund election (“QEF election”) (as discussed in further detail below) will treat such ordinary shares or pre-funded warrants as stock in a PFIC for all subsequent tax years, even if we no longer qualify as a PFIC under the relevant tests in such subsequent tax years. A U.S. Holder may be able to elect out of such treatment if we are no longer characterized as a PFIC by making a “purging election.”</w:t>
      </w:r>
    </w:p>
    <w:p>
      <w:pPr>
        <w:spacing w:after="0" w:line="176" w:lineRule="exact"/>
        <w:rPr>
          <w:sz w:val="20"/>
          <w:szCs w:val="20"/>
          <w:color w:val="auto"/>
        </w:rPr>
      </w:pPr>
    </w:p>
    <w:p>
      <w:pPr>
        <w:jc w:val="both"/>
        <w:ind w:left="120" w:right="240" w:firstLine="440"/>
        <w:spacing w:after="0" w:line="253" w:lineRule="auto"/>
        <w:rPr>
          <w:sz w:val="20"/>
          <w:szCs w:val="20"/>
          <w:color w:val="auto"/>
        </w:rPr>
      </w:pPr>
      <w:r>
        <w:rPr>
          <w:rFonts w:ascii="Arial" w:cs="Arial" w:eastAsia="Arial" w:hAnsi="Arial"/>
          <w:sz w:val="18"/>
          <w:szCs w:val="18"/>
          <w:color w:val="auto"/>
        </w:rPr>
        <w:t>If we are a PFIC (and if a QEF election discussed below is not made), the general tax treatment for U.S. Holders described in this section will apply to indirect distributions and gains deemed to be realized by U.S. Holders in respect of any of our subsidiaries that also may be PFICs. A mark-to-market election discussed below cannot be made with respect to the stock of any of our subsidiaries.</w:t>
      </w:r>
    </w:p>
    <w:p>
      <w:pPr>
        <w:spacing w:after="0" w:line="16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Certain elections exist that may alleviate some of the adverse consequences of PFIC status and would result in an alternative treatment of our ordinary shares or, except as described herein, our pre-funded warrants. If a U.S. Holder makes a mark-to-market election with respect to our ordinary shares, then in lieu of being subject to the tax and interest charge rules described above, the U.S. Holder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mark-to-market election). The mark-to-market election is available only if we are a PFIC and our ordinary shares are “regularly traded” on a “qualified exchange.”</w:t>
      </w:r>
    </w:p>
    <w:p>
      <w:pPr>
        <w:spacing w:after="0" w:line="186"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 xml:space="preserve">Our ordinary shares will be treated as “regularly traded” in any calendar year in which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quantity of the ordinary shares are traded on a qualified exchange on at least 15 days during each calendar quarter (subject to the rule that trades that have as one of their principal purposes the meeting of the trading requirement are disregarded). The NASDAQ Global Market is a qualified exchange for this purpose and, consequently, if the ordinary shares are regularly traded, the mark-to-market election will be available to a U.S. Holder. Our pre-funded warrants, however, are not expected to be treated as “regularly traded”; accordingly, the mark-to-market election is not expected to be available with respect to the pre-funded warrants.</w:t>
      </w:r>
    </w:p>
    <w:p>
      <w:pPr>
        <w:spacing w:after="0" w:line="17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we determine we are a PFIC for our taxable year ending December 31, 2024, or any subsequent taxable years, we expect to provide U.S. holders, upon request, with a “PFIC Annual Information Statement” which contains the information required to allow investors to make a qualified electing fund election, or a “QEF Election,” for United States federal income tax purposes. A U.S. Holder can make a</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55" w:lineRule="auto"/>
        <w:rPr>
          <w:sz w:val="20"/>
          <w:szCs w:val="20"/>
          <w:color w:val="auto"/>
        </w:rPr>
      </w:pPr>
      <w:r>
        <w:rPr>
          <w:rFonts w:ascii="Arial" w:cs="Arial" w:eastAsia="Arial" w:hAnsi="Arial"/>
          <w:sz w:val="17"/>
          <w:szCs w:val="17"/>
          <w:color w:val="auto"/>
        </w:rPr>
        <w:t>QEF election, if we provide the necessary information, to treat us and each lower-tier PFIC as a qualified electing fund in the first taxable year we (and our relevant subsidiaries) are treated as a PFIC with respect to the U.S. Holder. If such election is made or remains in place while we and any lower-tier PFIC subsidiaries are PFICs, we and our subsidiaries will not be treated as PFICs with respect to such U.S.</w:t>
      </w:r>
    </w:p>
    <w:p>
      <w:pPr>
        <w:spacing w:after="0" w:line="2" w:lineRule="exact"/>
        <w:rPr>
          <w:sz w:val="20"/>
          <w:szCs w:val="20"/>
          <w:color w:val="auto"/>
        </w:rPr>
      </w:pPr>
    </w:p>
    <w:p>
      <w:pPr>
        <w:jc w:val="both"/>
        <w:ind w:left="120" w:right="580"/>
        <w:spacing w:after="0" w:line="242" w:lineRule="auto"/>
        <w:rPr>
          <w:sz w:val="20"/>
          <w:szCs w:val="20"/>
          <w:color w:val="auto"/>
        </w:rPr>
      </w:pPr>
      <w:r>
        <w:rPr>
          <w:rFonts w:ascii="Arial" w:cs="Arial" w:eastAsia="Arial" w:hAnsi="Arial"/>
          <w:sz w:val="18"/>
          <w:szCs w:val="18"/>
          <w:color w:val="auto"/>
        </w:rPr>
        <w:t>Holder. In order to make a QEF election for us and for each of our subsidiaries that is a PFIC, a U.S. Holder must attach a separate properly completed IRS Form 8621 for each such PFIC to the U.S. Holder’s timely filed U.S. federal income tax return. It is unclear whether a QEF election can be made with respect to the pre-funded warrants.</w:t>
      </w:r>
    </w:p>
    <w:p>
      <w:pPr>
        <w:spacing w:after="0" w:line="17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If a U.S. Holder makes a QEF election with respect to a PFIC, in lieu of the tax consequences described above, the U.S. Holder will be subject to current taxation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U.S. Holder’s income under the QEF election would not be taxable to the holder. A U.S. Holder will increase its tax basis in its ordinary shares or pre-funded warrants by an amount equal to any income included under the QEF election with respect to such ordinary shares or pre-funded warrants, as applicable, and will decrease its tax basis by any amount distributed on such ordinary shares or pre-funded warrants that is not included in the holder’s income. In addition, a U.S. Holder will recognize capital gain or loss on the disposition of ordinary shares or pre-funded warrants in an amount equal to the difference between the amount realized and the holder’s adjusted tax basis in such ordinary shares or pre-funded warrants. U.S. Holders should note that if they make QEF elections with respect to us and lower-tier PFICs, they may be required to pay U.S. federal income tax with respect to their ordinary shares or pre-funded warrants for any taxable year significantly in excess of any cash distributions (which are expected to be zero) received on the ordinary shares or pre-funded warrants for such taxable year. If a U.S. Holder does not make and maintain a QEF election for the U.S. Holder’s entire holding period for our ordinary shares or pre-funded warrants by making the election for the first year in which the U.S. Holder owns our ordinary shares or pre-funded warrants pursuant to this offering, the U.S. Holder will be subject to the adverse PFIC rules discussed above unless the U.S. Holder can properly make a “purging election” with respect to our ordinary shares or pre-funded warrants in connection with the U.S. Holder’s QEF election. A purging election may require the U.S. Holder to recognize taxable gain on the U.S. Holder’s ordinary shares or pre-funded warrants. No purging election is necessary for a U.S. Holder that timely makes a QEF election for the first year in which the U.S. Holder acquired our ordinary shares or pre-funded warrants. U.S. Holders should consult their tax advisors regarding making QEF elections in their particular circumstances.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 should consult with their tax advisors regarding the availability and consequences of any PFIC elections.</w:t>
      </w:r>
    </w:p>
    <w:p>
      <w:pPr>
        <w:spacing w:after="0" w:line="75" w:lineRule="exact"/>
        <w:rPr>
          <w:sz w:val="20"/>
          <w:szCs w:val="20"/>
          <w:color w:val="auto"/>
        </w:rPr>
      </w:pPr>
    </w:p>
    <w:p>
      <w:pPr>
        <w:ind w:left="120" w:right="180" w:firstLine="440"/>
        <w:spacing w:after="0" w:line="244" w:lineRule="auto"/>
        <w:rPr>
          <w:sz w:val="20"/>
          <w:szCs w:val="20"/>
          <w:color w:val="auto"/>
        </w:rPr>
      </w:pPr>
      <w:r>
        <w:rPr>
          <w:rFonts w:ascii="Arial" w:cs="Arial" w:eastAsia="Arial" w:hAnsi="Arial"/>
          <w:sz w:val="18"/>
          <w:szCs w:val="18"/>
          <w:color w:val="auto"/>
        </w:rPr>
        <w:t>Each U.S. Holder that is an investor of a PFIC is generally required to file an annual information return on IRS Form 8621 (Information Return by a Shareholder of a Passive Foreign Investment Company or Qualified Electing Fund) containing such information as the U.S. Treasury Department may require. The failure to file IRS Form 8621 could result in the imposition of penalties and the extension of the statute of limitations with respect to U.S. federal income tax. U.S. Holders should consult their tax advisors regarding whether we are a PFIC and the potential application of the PFIC rules.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Exercise of Pre-Funded Warrants</w:t>
      </w:r>
    </w:p>
    <w:p>
      <w:pPr>
        <w:spacing w:after="0" w:line="61" w:lineRule="exact"/>
        <w:rPr>
          <w:sz w:val="20"/>
          <w:szCs w:val="20"/>
          <w:color w:val="auto"/>
        </w:rPr>
      </w:pPr>
    </w:p>
    <w:p>
      <w:pPr>
        <w:ind w:left="120" w:right="220" w:firstLine="440"/>
        <w:spacing w:after="0" w:line="247" w:lineRule="auto"/>
        <w:rPr>
          <w:sz w:val="20"/>
          <w:szCs w:val="20"/>
          <w:color w:val="auto"/>
        </w:rPr>
      </w:pPr>
      <w:r>
        <w:rPr>
          <w:rFonts w:ascii="Arial" w:cs="Arial" w:eastAsia="Arial" w:hAnsi="Arial"/>
          <w:sz w:val="18"/>
          <w:szCs w:val="18"/>
          <w:color w:val="auto"/>
        </w:rPr>
        <w:t>A U.S. Holder generally will not recognize gain or loss (other than with respect to cash paid in lieu of a fractional share) upon the exercise of a pre-funded warrant. Upon exercise, the holding period of a pre-funded warrant should carry over to the ordinary share received. Similarly, the tax basis of the pre-funded warrant should carry over to the ordinary share received upon exercise, increased by the exercise price.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44" w:lineRule="auto"/>
        <w:rPr>
          <w:sz w:val="20"/>
          <w:szCs w:val="20"/>
          <w:color w:val="auto"/>
        </w:rPr>
      </w:pPr>
      <w:r>
        <w:rPr>
          <w:rFonts w:ascii="Arial" w:cs="Arial" w:eastAsia="Arial" w:hAnsi="Arial"/>
          <w:sz w:val="18"/>
          <w:szCs w:val="18"/>
          <w:color w:val="auto"/>
        </w:rPr>
        <w:t>In certain circumstances, the pre-funded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pre-funded warrant on a cashless basis, including with respect to their holding period and tax basis in the ordinary shares received upon exercise.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Constructive Dividends on Pre-Funded Warrants</w:t>
      </w:r>
    </w:p>
    <w:p>
      <w:pPr>
        <w:spacing w:after="0" w:line="75" w:lineRule="exact"/>
        <w:rPr>
          <w:sz w:val="20"/>
          <w:szCs w:val="20"/>
          <w:color w:val="auto"/>
        </w:rPr>
      </w:pPr>
    </w:p>
    <w:p>
      <w:pPr>
        <w:ind w:left="120" w:right="160" w:firstLine="440"/>
        <w:spacing w:after="0" w:line="247" w:lineRule="auto"/>
        <w:rPr>
          <w:sz w:val="20"/>
          <w:szCs w:val="20"/>
          <w:color w:val="auto"/>
        </w:rPr>
      </w:pPr>
      <w:r>
        <w:rPr>
          <w:rFonts w:ascii="Arial" w:cs="Arial" w:eastAsia="Arial" w:hAnsi="Arial"/>
          <w:sz w:val="18"/>
          <w:szCs w:val="18"/>
          <w:color w:val="auto"/>
        </w:rPr>
        <w:t>A holder of a pre-funded warrant may, in some circumstances, be deemed to have received a distribution subject to U.S. federal income tax as a result of an adjustment or the non -occurrence of an adjustment to the exercise price or to the number of ordinary shares issuable upon exercise of the pre-funded warrant. U.S. Holders should consult their tax advisors regarding the proper treatment of any adjustments (or the non-occurrence of any adjustments) to the pre-funded warrants.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61"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U.S. backup withholding tax and information reporting requirements may apply to certain payments to certain holders of our ordinary shares or pre-funded warrants. Information reporting will generally apply to payments of dividends on, and to proceeds from the sale or redemption of, our ordinary shares or pre-funded warrants made within the United States, or by a U.S. payer or U.S. middleman, to a holder of our ordinary shares or pre-funded warrants, other than an exempt recipient (including a payee that is not a U.S. person that provides an appropriate certification and certain other persons). Certain U.S. Holders are exempt from backup withholding, including corporations and certain tax-exempt organizations. A U.S. Holder will be subject to backup withholding if such holder is not otherwise exempt and such holder:</w:t>
      </w:r>
    </w:p>
    <w:p>
      <w:pPr>
        <w:spacing w:after="0" w:line="197" w:lineRule="exact"/>
        <w:rPr>
          <w:sz w:val="20"/>
          <w:szCs w:val="20"/>
          <w:color w:val="auto"/>
        </w:rPr>
      </w:pPr>
    </w:p>
    <w:p>
      <w:pPr>
        <w:ind w:left="980" w:hanging="432"/>
        <w:spacing w:after="0"/>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fails to furnish the holder’s taxpayer identification number, which for an individual is ordinarily his or her social security number;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furnishes an incorrect taxpayer identification number;</w:t>
      </w:r>
    </w:p>
    <w:p>
      <w:pPr>
        <w:spacing w:after="0" w:line="22" w:lineRule="exact"/>
        <w:rPr>
          <w:rFonts w:ascii="MS PGothic" w:cs="MS PGothic" w:eastAsia="MS PGothic" w:hAnsi="MS PGothic"/>
          <w:sz w:val="25"/>
          <w:szCs w:val="25"/>
          <w:color w:val="auto"/>
          <w:vertAlign w:val="superscript"/>
        </w:rPr>
      </w:pPr>
    </w:p>
    <w:p>
      <w:pPr>
        <w:ind w:left="980" w:hanging="432"/>
        <w:spacing w:after="0" w:line="209"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is notified by the IRS that the holder previously failed to properly report payments of interest or dividends; or</w:t>
      </w:r>
    </w:p>
    <w:p>
      <w:pPr>
        <w:spacing w:after="0" w:line="22" w:lineRule="exact"/>
        <w:rPr>
          <w:rFonts w:ascii="MS PGothic" w:cs="MS PGothic" w:eastAsia="MS PGothic" w:hAnsi="MS PGothic"/>
          <w:sz w:val="25"/>
          <w:szCs w:val="25"/>
          <w:color w:val="auto"/>
          <w:vertAlign w:val="superscript"/>
        </w:rPr>
      </w:pPr>
    </w:p>
    <w:p>
      <w:pPr>
        <w:ind w:left="980" w:right="120" w:hanging="432"/>
        <w:spacing w:after="0" w:line="220" w:lineRule="auto"/>
        <w:tabs>
          <w:tab w:leader="none" w:pos="9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fails to certify under penalties of perjury that the holder has furnished a correct taxpayer identification number and that the IRS has not notified the holder that the holder is subject to backup withholding.</w:t>
      </w:r>
    </w:p>
    <w:p>
      <w:pPr>
        <w:spacing w:after="0" w:line="181" w:lineRule="exact"/>
        <w:rPr>
          <w:sz w:val="20"/>
          <w:szCs w:val="20"/>
          <w:color w:val="auto"/>
        </w:rPr>
      </w:pPr>
    </w:p>
    <w:p>
      <w:pPr>
        <w:ind w:left="120" w:right="20" w:firstLine="440"/>
        <w:spacing w:after="0" w:line="24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61"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Certain U.S. Holders who are individuals are required to report information relating to an interest in our ordinary shares or pre-funded warrants for any taxable year during which the U.S. Holder’s aggregate value of our ordinary shares or pre-funded warrants and certain other “specified foreign financial assets” exceed a threshold amount that varies with the filing status of the individual, subject to certain exceptions (including an exception for ordinary shares or pre-funded warrants held in accounts maintained by financial institutions) by filing IRS Form 8938 (Statement of Specified Foreign Financial Assets) with their federal income tax return. This reporting obligation also applies to domestic entities formed or availed of to hold, directly or indirectly, specified foreign financial assets, including our ordinary shares or pre-funded warrants. Significant penalties can apply if U.S. Holders are required to make this disclosure and fail to do so. U.S. Holders should consult their tax advisors regarding the possible implications of these tax return disclosure obligations.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320" w:lineRule="exact"/>
        <w:rPr>
          <w:sz w:val="20"/>
          <w:szCs w:val="20"/>
          <w:color w:val="auto"/>
        </w:rPr>
      </w:pPr>
    </w:p>
    <w:p>
      <w:pPr>
        <w:ind w:left="120" w:right="220" w:firstLine="440"/>
        <w:spacing w:after="0" w:line="247" w:lineRule="auto"/>
        <w:rPr>
          <w:sz w:val="20"/>
          <w:szCs w:val="20"/>
          <w:color w:val="auto"/>
        </w:rPr>
      </w:pPr>
      <w:r>
        <w:rPr>
          <w:rFonts w:ascii="Arial" w:cs="Arial" w:eastAsia="Arial" w:hAnsi="Arial"/>
          <w:sz w:val="18"/>
          <w:szCs w:val="18"/>
          <w:color w:val="auto"/>
        </w:rPr>
        <w:t>We and the underwriters for the offering named below have entered into an underwriting agreement with respect to the ordinary shares and pre-funded warrants being offered. Subject to the terms and conditions of the underwriting agreement, each underwriter has severally agreed to purchase from us the number of ordinary shares and pre-funded warrants set forth opposite its name below. TD Securities (USA) LLC and Guggenheim Securities, LLC are the representatives of the underwriters.</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Pre-Funded</w:t>
            </w:r>
          </w:p>
        </w:tc>
        <w:tc>
          <w:tcPr>
            <w:tcW w:w="0" w:type="dxa"/>
            <w:vAlign w:val="bottom"/>
          </w:tcPr>
          <w:p>
            <w:pPr>
              <w:spacing w:after="0"/>
              <w:rPr>
                <w:sz w:val="1"/>
                <w:szCs w:val="1"/>
                <w:color w:val="auto"/>
              </w:rPr>
            </w:pPr>
          </w:p>
        </w:tc>
      </w:tr>
      <w:tr>
        <w:trPr>
          <w:trHeight w:val="158"/>
        </w:trPr>
        <w:tc>
          <w:tcPr>
            <w:tcW w:w="6840" w:type="dxa"/>
            <w:vAlign w:val="bottom"/>
            <w:gridSpan w:val="3"/>
            <w:vMerge w:val="continue"/>
          </w:tcPr>
          <w:p>
            <w:pPr>
              <w:spacing w:after="0"/>
              <w:rPr>
                <w:sz w:val="13"/>
                <w:szCs w:val="13"/>
                <w:color w:val="auto"/>
              </w:rPr>
            </w:pP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16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TD Securities (USA) LLC</w:t>
            </w:r>
          </w:p>
        </w:tc>
        <w:tc>
          <w:tcPr>
            <w:tcW w:w="1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Guggenheim Securities, LLC</w:t>
            </w: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Oppenheimer &amp; Co. Inc.</w:t>
            </w: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Ladenburg Thalmann &amp; Co. Inc.</w:t>
            </w:r>
          </w:p>
        </w:tc>
        <w:tc>
          <w:tcPr>
            <w:tcW w:w="1700" w:type="dxa"/>
            <w:vAlign w:val="bottom"/>
          </w:tcPr>
          <w:p>
            <w:pPr>
              <w:ind w:left="420"/>
              <w:spacing w:after="0" w:line="202" w:lineRule="exact"/>
              <w:rPr>
                <w:sz w:val="20"/>
                <w:szCs w:val="20"/>
                <w:color w:val="auto"/>
              </w:rPr>
            </w:pPr>
            <w:r>
              <w:rPr>
                <w:rFonts w:ascii="Arial" w:cs="Arial" w:eastAsia="Arial" w:hAnsi="Arial"/>
                <w:sz w:val="18"/>
                <w:szCs w:val="18"/>
                <w:color w:val="auto"/>
              </w:rPr>
              <w:t xml:space="preserve">             </w:t>
            </w:r>
          </w:p>
        </w:tc>
        <w:tc>
          <w:tcPr>
            <w:tcW w:w="160" w:type="dxa"/>
            <w:vAlign w:val="bottom"/>
          </w:tcPr>
          <w:p>
            <w:pPr>
              <w:spacing w:after="0"/>
              <w:rPr>
                <w:sz w:val="18"/>
                <w:szCs w:val="18"/>
                <w:color w:val="auto"/>
              </w:rPr>
            </w:pPr>
          </w:p>
        </w:tc>
        <w:tc>
          <w:tcPr>
            <w:tcW w:w="166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The underwriting agreement provides that the obligations of the underwriters are subject to certain conditions precedent and that the underwriters have agreed, severally and not jointly, to purchase all of the ordinary shares and pre-funded warrants sold under the underwriting agreement if any of these ordinary shares are purchased, other than those ordinary shares covered by the option to purchase additional ordinary shares described below.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660" w:firstLine="440"/>
        <w:spacing w:after="0" w:line="271"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5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color w:val="auto"/>
        </w:rPr>
        <w:t>H.C. Wainwright &amp; Co. is acting as our financial advisor in connection with this offering and will be paid a fee. H.C. Wainwright &amp; Co. is not acting as an underwriter and will not sell or offer to sell any securities and will not identify, solicit or engage directly with potential investors. In addition, H.C. Wainwright &amp; Co. will not underwrite or purchase any of the offered securities or otherwise participate in any such undertaking.</w:t>
      </w:r>
    </w:p>
    <w:p>
      <w:pPr>
        <w:spacing w:after="0" w:line="174"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The underwriters are offering the ordinary shares and pre -funded warrants,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69"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We are offering to those purchasers whose purchase of ordinary shares in this offering would result in the purchaser, together with its affiliates and certain related parties, beneficially owning more than 9.99% of our outstanding ordinary shares following the consummation of this offering, the opportunity to purchase, in lieu of the ordinary shares that would result in ownership in excess of 9.99%, pre-funded warrants to purchase such excess ordinary shares. Each pre-funded warrant has an exercise price of $0.001. The purchase price for each such pre-funded warrant equals the per share public offering price for the ordinary shares in this offering less the $0.001 per share exercise price of each such pre-funded warrant.</w:t>
      </w:r>
    </w:p>
    <w:p>
      <w:pPr>
        <w:spacing w:after="0" w:line="179" w:lineRule="exact"/>
        <w:rPr>
          <w:sz w:val="20"/>
          <w:szCs w:val="20"/>
          <w:color w:val="auto"/>
        </w:rPr>
      </w:pPr>
    </w:p>
    <w:p>
      <w:pPr>
        <w:ind w:left="120" w:right="460" w:firstLine="440"/>
        <w:spacing w:after="0" w:line="271" w:lineRule="auto"/>
        <w:rPr>
          <w:sz w:val="20"/>
          <w:szCs w:val="20"/>
          <w:color w:val="auto"/>
        </w:rPr>
      </w:pPr>
      <w:r>
        <w:rPr>
          <w:rFonts w:ascii="Arial" w:cs="Arial" w:eastAsia="Arial" w:hAnsi="Arial"/>
          <w:sz w:val="18"/>
          <w:szCs w:val="18"/>
          <w:b w:val="1"/>
          <w:bCs w:val="1"/>
          <w:color w:val="auto"/>
        </w:rPr>
        <w:t>Option to Purchase Additional Shares</w:t>
      </w:r>
      <w:r>
        <w:rPr>
          <w:rFonts w:ascii="Arial" w:cs="Arial" w:eastAsia="Arial" w:hAnsi="Arial"/>
          <w:sz w:val="18"/>
          <w:szCs w:val="18"/>
          <w:i w:val="1"/>
          <w:iCs w:val="1"/>
          <w:color w:val="auto"/>
        </w:rPr>
        <w:t>. </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granted to the underwriters an option to purchase up to 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shares at the public offering price, less the underwriting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discounts and commissions. This option is exercisable for a period of 30 days. To the extent that the underwriters exercise this option, the underwriters will purchase additional shares from us in approximately the same proportion as shown in the table above.</w:t>
      </w:r>
    </w:p>
    <w:p>
      <w:pPr>
        <w:spacing w:after="0" w:line="154" w:lineRule="exact"/>
        <w:rPr>
          <w:sz w:val="20"/>
          <w:szCs w:val="20"/>
          <w:color w:val="auto"/>
        </w:rPr>
      </w:pPr>
    </w:p>
    <w:p>
      <w:pPr>
        <w:jc w:val="both"/>
        <w:ind w:left="120" w:right="220" w:firstLine="440"/>
        <w:spacing w:after="0" w:line="253" w:lineRule="auto"/>
        <w:rPr>
          <w:sz w:val="20"/>
          <w:szCs w:val="20"/>
          <w:color w:val="auto"/>
        </w:rPr>
      </w:pPr>
      <w:r>
        <w:rPr>
          <w:rFonts w:ascii="Arial" w:cs="Arial" w:eastAsia="Arial" w:hAnsi="Arial"/>
          <w:sz w:val="18"/>
          <w:szCs w:val="18"/>
          <w:b w:val="1"/>
          <w:bCs w:val="1"/>
          <w:color w:val="auto"/>
        </w:rPr>
        <w:t>Discounts and Commissions</w:t>
      </w:r>
      <w:r>
        <w:rPr>
          <w:rFonts w:ascii="Arial" w:cs="Arial" w:eastAsia="Arial" w:hAnsi="Arial"/>
          <w:sz w:val="18"/>
          <w:szCs w:val="18"/>
          <w:i w:val="1"/>
          <w:iCs w:val="1"/>
          <w:color w:val="auto"/>
        </w:rPr>
        <w:t>. </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table shows the public offering price, underwriting discounts and commissions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proceeds, before expenses to us. These amounts are shown assuming both no exercise and full exercise of the underwriters’ option to purchase additional ordinary shares.</w:t>
      </w:r>
    </w:p>
    <w:p>
      <w:pPr>
        <w:spacing w:after="0" w:line="169" w:lineRule="exact"/>
        <w:rPr>
          <w:sz w:val="20"/>
          <w:szCs w:val="20"/>
          <w:color w:val="auto"/>
        </w:rPr>
      </w:pPr>
    </w:p>
    <w:p>
      <w:pPr>
        <w:jc w:val="both"/>
        <w:ind w:left="120" w:right="640" w:firstLine="440"/>
        <w:spacing w:after="0" w:line="253" w:lineRule="auto"/>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        and are payable by us. We have agreed to reimburse the underwriters for up to $15,000 for their FINRA counsel fee. In accordance with FINRA Rule 5110, this reimbursed fee is deemed underwriting compensation for this offering.</w:t>
      </w:r>
    </w:p>
    <w:p>
      <w:pPr>
        <w:spacing w:after="0" w:line="206"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ind w:left="180"/>
              <w:spacing w:after="0" w:line="147" w:lineRule="exact"/>
              <w:rPr>
                <w:sz w:val="20"/>
                <w:szCs w:val="20"/>
                <w:color w:val="auto"/>
              </w:rPr>
            </w:pPr>
            <w:r>
              <w:rPr>
                <w:rFonts w:ascii="Arial" w:cs="Arial" w:eastAsia="Arial" w:hAnsi="Arial"/>
                <w:sz w:val="14"/>
                <w:szCs w:val="14"/>
                <w:b w:val="1"/>
                <w:bCs w:val="1"/>
                <w:color w:val="auto"/>
              </w:rPr>
              <w:t>Per Pre-</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Funded</w:t>
            </w:r>
          </w:p>
        </w:tc>
        <w:tc>
          <w:tcPr>
            <w:tcW w:w="26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Without</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 Share</w:t>
            </w:r>
          </w:p>
        </w:tc>
        <w:tc>
          <w:tcPr>
            <w:tcW w:w="940" w:type="dxa"/>
            <w:vAlign w:val="bottom"/>
          </w:tcPr>
          <w:p>
            <w:pPr>
              <w:ind w:left="180"/>
              <w:spacing w:after="0"/>
              <w:rPr>
                <w:sz w:val="20"/>
                <w:szCs w:val="20"/>
                <w:color w:val="auto"/>
              </w:rPr>
            </w:pPr>
            <w:r>
              <w:rPr>
                <w:rFonts w:ascii="Arial" w:cs="Arial" w:eastAsia="Arial" w:hAnsi="Arial"/>
                <w:sz w:val="14"/>
                <w:szCs w:val="14"/>
                <w:b w:val="1"/>
                <w:bCs w:val="1"/>
                <w:color w:val="auto"/>
              </w:rPr>
              <w:t>Warrant</w:t>
            </w:r>
          </w:p>
        </w:tc>
        <w:tc>
          <w:tcPr>
            <w:tcW w:w="26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With Option</w:t>
            </w:r>
          </w:p>
        </w:tc>
      </w:tr>
      <w:tr>
        <w:trPr>
          <w:trHeight w:val="196"/>
        </w:trPr>
        <w:tc>
          <w:tcPr>
            <w:tcW w:w="20" w:type="dxa"/>
            <w:vAlign w:val="bottom"/>
          </w:tcPr>
          <w:p>
            <w:pPr>
              <w:spacing w:after="0"/>
              <w:rPr>
                <w:sz w:val="17"/>
                <w:szCs w:val="17"/>
                <w:color w:val="auto"/>
              </w:rPr>
            </w:pPr>
          </w:p>
        </w:tc>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960" w:type="dxa"/>
            <w:vAlign w:val="bottom"/>
            <w:tcBorders>
              <w:top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rPr>
              <w:t xml:space="preserve">       </w:t>
            </w: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 xml:space="preserve">       </w:t>
            </w: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        </w:t>
            </w:r>
          </w:p>
        </w:tc>
        <w:tc>
          <w:tcPr>
            <w:tcW w:w="2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 xml:space="preserve">       </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UroGen, before expenses</w:t>
            </w: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bl>
    <w:p>
      <w:pPr>
        <w:spacing w:after="0" w:line="197" w:lineRule="exact"/>
        <w:rPr>
          <w:sz w:val="20"/>
          <w:szCs w:val="20"/>
          <w:color w:val="auto"/>
        </w:rPr>
      </w:pPr>
    </w:p>
    <w:p>
      <w:pPr>
        <w:jc w:val="both"/>
        <w:ind w:left="120" w:right="60" w:firstLine="440"/>
        <w:spacing w:after="0" w:line="244" w:lineRule="auto"/>
        <w:rPr>
          <w:sz w:val="20"/>
          <w:szCs w:val="20"/>
          <w:color w:val="auto"/>
        </w:rPr>
      </w:pPr>
      <w:r>
        <w:rPr>
          <w:rFonts w:ascii="Arial" w:cs="Arial" w:eastAsia="Arial" w:hAnsi="Arial"/>
          <w:sz w:val="18"/>
          <w:szCs w:val="18"/>
          <w:color w:val="auto"/>
        </w:rPr>
        <w:t>The underwriters propose to offer the ordinary shares and pre-funded warrants to the public at the public offering price set forth on the cover of this prospectus supplement. The underwriters may offer the ordinary shares and pre-funded warrants to securities dealers at the public offering price less a concession not in excess of $        per share and $        per pre-funded warrant. If all of the ordinary shares and pre-funded warrants are not sold at the public offering price, the underwriters may change the offering price and other selling terms. Sales of any ordinary shares and pre-funded warrants may be made by affiliates of the underwriters.</w:t>
      </w:r>
    </w:p>
    <w:p>
      <w:pPr>
        <w:spacing w:after="0" w:line="176"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8"/>
          <w:szCs w:val="18"/>
          <w:b w:val="1"/>
          <w:bCs w:val="1"/>
          <w:color w:val="auto"/>
        </w:rPr>
        <w:t>Discretionary Accounts</w:t>
      </w:r>
      <w:r>
        <w:rPr>
          <w:rFonts w:ascii="Arial" w:cs="Arial" w:eastAsia="Arial" w:hAnsi="Arial"/>
          <w:sz w:val="18"/>
          <w:szCs w:val="18"/>
          <w:i w:val="1"/>
          <w:iCs w:val="1"/>
          <w:color w:val="auto"/>
        </w:rPr>
        <w:t>. </w:t>
      </w:r>
      <w:r>
        <w:rPr>
          <w:rFonts w:ascii="Arial" w:cs="Arial" w:eastAsia="Arial" w:hAnsi="Arial"/>
          <w:sz w:val="18"/>
          <w:szCs w:val="18"/>
          <w:b w:val="1"/>
          <w:bCs w:val="1"/>
          <w:color w:val="auto"/>
        </w:rPr>
        <w:t xml:space="preserve"> </w:t>
      </w:r>
      <w:r>
        <w:rPr>
          <w:rFonts w:ascii="Arial" w:cs="Arial" w:eastAsia="Arial" w:hAnsi="Arial"/>
          <w:sz w:val="18"/>
          <w:szCs w:val="18"/>
          <w:color w:val="auto"/>
        </w:rPr>
        <w:t>The underwriters do not intend to confirm sales of the ordinary shares to any accounts over which they</w:t>
      </w:r>
      <w:r>
        <w:rPr>
          <w:rFonts w:ascii="Arial" w:cs="Arial" w:eastAsia="Arial" w:hAnsi="Arial"/>
          <w:sz w:val="18"/>
          <w:szCs w:val="18"/>
          <w:b w:val="1"/>
          <w:bCs w:val="1"/>
          <w:color w:val="auto"/>
        </w:rPr>
        <w:t xml:space="preserve"> </w:t>
      </w:r>
      <w:r>
        <w:rPr>
          <w:rFonts w:ascii="Arial" w:cs="Arial" w:eastAsia="Arial" w:hAnsi="Arial"/>
          <w:sz w:val="18"/>
          <w:szCs w:val="18"/>
          <w:color w:val="auto"/>
        </w:rPr>
        <w:t>have discretionary authority.</w:t>
      </w:r>
    </w:p>
    <w:p>
      <w:pPr>
        <w:spacing w:after="0" w:line="154" w:lineRule="exact"/>
        <w:rPr>
          <w:sz w:val="20"/>
          <w:szCs w:val="20"/>
          <w:color w:val="auto"/>
        </w:rPr>
      </w:pPr>
    </w:p>
    <w:p>
      <w:pPr>
        <w:ind w:left="120" w:right="480" w:firstLine="440"/>
        <w:spacing w:after="0" w:line="247" w:lineRule="auto"/>
        <w:rPr>
          <w:sz w:val="20"/>
          <w:szCs w:val="20"/>
          <w:color w:val="auto"/>
        </w:rPr>
      </w:pPr>
      <w:r>
        <w:rPr>
          <w:rFonts w:ascii="Arial" w:cs="Arial" w:eastAsia="Arial" w:hAnsi="Arial"/>
          <w:sz w:val="18"/>
          <w:szCs w:val="18"/>
          <w:b w:val="1"/>
          <w:bCs w:val="1"/>
          <w:color w:val="auto"/>
        </w:rPr>
        <w:t>Market Information</w:t>
      </w:r>
      <w:r>
        <w:rPr>
          <w:rFonts w:ascii="Arial" w:cs="Arial" w:eastAsia="Arial" w:hAnsi="Arial"/>
          <w:sz w:val="18"/>
          <w:szCs w:val="18"/>
          <w:color w:val="auto"/>
        </w:rPr>
        <w:t>.  Our ordinary shares are listed on the Nasdaq Global Market under the symbol “URGN”. There is no</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public trading market for the pre-funded warrants, and we do not expect a market to develop. We do not intend to list the pre-funded warrants on the Nasdaq Global Market, any other national securities exchange or any other nationally recognized trading system.</w:t>
      </w:r>
    </w:p>
    <w:p>
      <w:pPr>
        <w:spacing w:after="0" w:line="174" w:lineRule="exact"/>
        <w:rPr>
          <w:sz w:val="20"/>
          <w:szCs w:val="20"/>
          <w:color w:val="auto"/>
        </w:rPr>
      </w:pPr>
    </w:p>
    <w:p>
      <w:pPr>
        <w:jc w:val="both"/>
        <w:ind w:left="120" w:right="700" w:firstLine="440"/>
        <w:spacing w:after="0" w:line="301" w:lineRule="auto"/>
        <w:rPr>
          <w:sz w:val="20"/>
          <w:szCs w:val="20"/>
          <w:color w:val="auto"/>
        </w:rPr>
      </w:pPr>
      <w:r>
        <w:rPr>
          <w:rFonts w:ascii="Arial" w:cs="Arial" w:eastAsia="Arial" w:hAnsi="Arial"/>
          <w:sz w:val="17"/>
          <w:szCs w:val="17"/>
          <w:b w:val="1"/>
          <w:bCs w:val="1"/>
          <w:color w:val="auto"/>
        </w:rPr>
        <w:t>Stabilization</w:t>
      </w:r>
      <w:r>
        <w:rPr>
          <w:rFonts w:ascii="Arial" w:cs="Arial" w:eastAsia="Arial" w:hAnsi="Arial"/>
          <w:sz w:val="17"/>
          <w:szCs w:val="17"/>
          <w:i w:val="1"/>
          <w:iCs w:val="1"/>
          <w:color w:val="auto"/>
        </w:rPr>
        <w:t>. </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this offering, the underwriters (and their affiliates) may engage in stabilizing 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overallotment transactions, syndicate covering transactions, penalty bids and purchases to cover positions created by short sales.</w:t>
      </w:r>
    </w:p>
    <w:p>
      <w:pPr>
        <w:spacing w:after="0" w:line="158" w:lineRule="exact"/>
        <w:rPr>
          <w:sz w:val="20"/>
          <w:szCs w:val="20"/>
          <w:color w:val="auto"/>
        </w:rPr>
      </w:pPr>
    </w:p>
    <w:p>
      <w:pPr>
        <w:ind w:left="980" w:right="300" w:hanging="432"/>
        <w:spacing w:after="0" w:line="231" w:lineRule="auto"/>
        <w:tabs>
          <w:tab w:leader="none" w:pos="9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Stabilizing transactions permit bids to purchase ordinary shares so long as the stabilizing bids do not exceed a specified maximum, and are engaged in for the purpose of preventing or retarding a decline in the market price of the ordinary shares while the offering is in progress.</w:t>
      </w:r>
    </w:p>
    <w:p>
      <w:pPr>
        <w:spacing w:after="0" w:line="6" w:lineRule="exact"/>
        <w:rPr>
          <w:rFonts w:ascii="MS PGothic" w:cs="MS PGothic" w:eastAsia="MS PGothic" w:hAnsi="MS PGothic"/>
          <w:sz w:val="25"/>
          <w:szCs w:val="25"/>
          <w:color w:val="auto"/>
          <w:vertAlign w:val="superscript"/>
        </w:rPr>
      </w:pPr>
    </w:p>
    <w:p>
      <w:pPr>
        <w:ind w:left="980" w:hanging="432"/>
        <w:spacing w:after="0" w:line="247" w:lineRule="auto"/>
        <w:tabs>
          <w:tab w:leader="none" w:pos="980" w:val="left"/>
        </w:tabs>
        <w:numPr>
          <w:ilvl w:val="0"/>
          <w:numId w:val="16"/>
        </w:numPr>
        <w:rPr>
          <w:rFonts w:ascii="MS PGothic" w:cs="MS PGothic" w:eastAsia="MS PGothic" w:hAnsi="MS PGothic"/>
          <w:sz w:val="24"/>
          <w:szCs w:val="24"/>
          <w:color w:val="auto"/>
          <w:vertAlign w:val="superscript"/>
        </w:rPr>
      </w:pPr>
      <w:r>
        <w:rPr>
          <w:rFonts w:ascii="Arial" w:cs="Arial" w:eastAsia="Arial" w:hAnsi="Arial"/>
          <w:sz w:val="17"/>
          <w:szCs w:val="17"/>
          <w:color w:val="auto"/>
        </w:rPr>
        <w:t>Overallotment transactions involve sales by the underwriters of ordinary shares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option to purchase additional shares. In a naked short position, the number of shares involved is greater than the number of shares in the option to purchase additional shares. The underwriters may close out any short position by exercising their option to purchase additional shares and/or purchasing shares in the open market.</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980" w:right="100" w:hanging="432"/>
        <w:spacing w:after="0" w:line="233"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Syndicate covering transactions involve purchases of ordinary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option to purchase additional shares. If the underwriters sell more shares than could be covered by exercise of the option to purchase additional shares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8" w:lineRule="exact"/>
        <w:rPr>
          <w:rFonts w:ascii="MS PGothic" w:cs="MS PGothic" w:eastAsia="MS PGothic" w:hAnsi="MS PGothic"/>
          <w:sz w:val="25"/>
          <w:szCs w:val="25"/>
          <w:color w:val="auto"/>
          <w:vertAlign w:val="superscript"/>
        </w:rPr>
      </w:pPr>
    </w:p>
    <w:p>
      <w:pPr>
        <w:ind w:left="980" w:hanging="432"/>
        <w:spacing w:after="0" w:line="231" w:lineRule="auto"/>
        <w:tabs>
          <w:tab w:leader="none" w:pos="9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Penalty bids permit the representatives to reclaim a selling concession from a syndicate member when the ordinary shares originally sold by that syndicate member are purchased in stabilizing or syndicate covering transactions to cover syndicate short positions.</w:t>
      </w:r>
    </w:p>
    <w:p>
      <w:pPr>
        <w:spacing w:after="0" w:line="182"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 the price of our ordinary shares. These transactions may be effected on the Nasdaq Global Market, in the over-the-counter market or otherwise and, if commenced, may be discontinued at any time.</w:t>
      </w:r>
    </w:p>
    <w:p>
      <w:pPr>
        <w:spacing w:after="0" w:line="179"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b w:val="1"/>
          <w:bCs w:val="1"/>
          <w:color w:val="auto"/>
        </w:rPr>
        <w:t>Passive Market Making.</w:t>
      </w:r>
      <w:r>
        <w:rPr>
          <w:rFonts w:ascii="Arial" w:cs="Arial" w:eastAsia="Arial" w:hAnsi="Arial"/>
          <w:sz w:val="18"/>
          <w:szCs w:val="18"/>
          <w:color w:val="auto"/>
        </w:rPr>
        <w:t xml:space="preserve">  In connection with this offering, underwriters (and their affiliates) and selling group members may engage</w:t>
      </w:r>
      <w:r>
        <w:rPr>
          <w:rFonts w:ascii="Arial" w:cs="Arial" w:eastAsia="Arial" w:hAnsi="Arial"/>
          <w:sz w:val="18"/>
          <w:szCs w:val="18"/>
          <w:b w:val="1"/>
          <w:bCs w:val="1"/>
          <w:color w:val="auto"/>
        </w:rPr>
        <w:t xml:space="preserve"> </w:t>
      </w:r>
      <w:r>
        <w:rPr>
          <w:rFonts w:ascii="Arial" w:cs="Arial" w:eastAsia="Arial" w:hAnsi="Arial"/>
          <w:sz w:val="18"/>
          <w:szCs w:val="18"/>
          <w:color w:val="auto"/>
        </w:rPr>
        <w:t>in passive market making transactions in our ordinary shares on the Nasdaq Global Market in accordance with Rule 103 of Regulation M under the Securities Exchange Act of 1934, as amended (the “Exchange Act”), during a period before the commencement of offers or sales of ordinary shares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79" w:lineRule="exact"/>
        <w:rPr>
          <w:sz w:val="20"/>
          <w:szCs w:val="20"/>
          <w:color w:val="auto"/>
        </w:rPr>
      </w:pPr>
    </w:p>
    <w:p>
      <w:pPr>
        <w:ind w:left="120" w:right="160" w:firstLine="440"/>
        <w:spacing w:after="0" w:line="239" w:lineRule="auto"/>
        <w:rPr>
          <w:sz w:val="20"/>
          <w:szCs w:val="20"/>
          <w:color w:val="auto"/>
        </w:rPr>
      </w:pPr>
      <w:r>
        <w:rPr>
          <w:rFonts w:ascii="Arial" w:cs="Arial" w:eastAsia="Arial" w:hAnsi="Arial"/>
          <w:sz w:val="18"/>
          <w:szCs w:val="18"/>
          <w:b w:val="1"/>
          <w:bCs w:val="1"/>
          <w:color w:val="auto"/>
        </w:rPr>
        <w:t xml:space="preserve">Lock-Up Agreements.  </w:t>
      </w:r>
      <w:r>
        <w:rPr>
          <w:rFonts w:ascii="Arial" w:cs="Arial" w:eastAsia="Arial" w:hAnsi="Arial"/>
          <w:sz w:val="18"/>
          <w:szCs w:val="18"/>
          <w:color w:val="auto"/>
        </w:rPr>
        <w:t>Pursuant to certain “lock-up” agreements, we and our executive officers and directors and their affiliated</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have agreed, subject to certain exceptions, not to (i) sell or offer to sell any ordinary shares or related securities currently or hereafter owned either of record or beneficially (as defined in Rule 13d-3 under the Exchange Act) by the party or such party’s family member, (ii) enter into any swap, (iii) make any demand for, or exercise any right with respect to, the registration under the Securities Act of the offer and sale of any ordinary shares or related securities, or cause to be filed a registration statement (other than a registration statement on Form S-8 or any successor thereto), prospectus or prospectus supplement (or an amendment or supplement thereto) with respect to any such registration, or (iv) publicly announce any intention to do any of the foregoing, in each case without the prior written consent of the representatives for a period of 90 days, in the case of the Company and our executive officers, or 45 days, in the case of our directors and their affiliated entities, after the date of this prospectus supplement.</w:t>
      </w:r>
    </w:p>
    <w:p>
      <w:pPr>
        <w:spacing w:after="0" w:line="183"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color w:val="auto"/>
        </w:rPr>
        <w:t>This lock-up provision applies to ordinary shares and to securities convertible into or exchangeable or exercisable for ordinary shares. It also applies to ordinary shares owned now or acquired later by the person executing the agreement or for which the person executing the agreement later acquires the power of disposition. The exceptions permit us, among other things and subject to restrictions, to: (a) issue ordinary shares or options or issue ordinary shares upon exercise of warrants, options, vesting of restricted stock, pursuant to any share option, share bonus or other equity incentive or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employee share purchase plan or arrangement, (b) file a registration statement on Form S-8 or (c) issue a limited number of ordinary shares in connection with acquisitions, strategic partnering transactions, or similar transactions. The exceptions permit parties to the “lock-up” agreements, among other things and subject to restrictions, to: (a) make certain gifts, (b) transfer ordinary shares to a trust whose beneficiaries consist solely of the party and any of his or her family members or to a corporation, partnership, limited liability company or other entity, in each case for which all of the outstanding equity interests are held by the party and any of his or her family members, (c) distribute ordinary shares to partners, members, stockholders or trust beneficiaries of the party, (d) transfer ordinary shares to us pursuant to any contractual arrangement in effect as of such lock-up agreement that provides for the repurchase of the party’s ordinary shares or other securities by us or in connection with the termination of the party’s employment with or service to us or (e) if the party is a corporation, partnership, limited liability company, trust or other business entity, transfer of ordinary shares to another corporation, partnership, limited liability company, trust or other business entity that is a direct or indirect affiliate (as defined in Rule 405 promulgated under the Securities Act), or one or more limited partners, general partners, limited liability company members or stockholders of the party.</w:t>
      </w:r>
    </w:p>
    <w:p>
      <w:pPr>
        <w:spacing w:after="0" w:line="183" w:lineRule="exact"/>
        <w:rPr>
          <w:sz w:val="20"/>
          <w:szCs w:val="20"/>
          <w:color w:val="auto"/>
        </w:rPr>
      </w:pPr>
    </w:p>
    <w:p>
      <w:pPr>
        <w:jc w:val="both"/>
        <w:ind w:left="120" w:right="40" w:firstLine="440"/>
        <w:spacing w:after="0" w:line="247" w:lineRule="auto"/>
        <w:rPr>
          <w:sz w:val="20"/>
          <w:szCs w:val="20"/>
          <w:color w:val="auto"/>
        </w:rPr>
      </w:pPr>
      <w:r>
        <w:rPr>
          <w:rFonts w:ascii="Arial" w:cs="Arial" w:eastAsia="Arial" w:hAnsi="Arial"/>
          <w:sz w:val="18"/>
          <w:szCs w:val="18"/>
          <w:color w:val="auto"/>
        </w:rPr>
        <w:t>The representatives, in their sole discretion, may release our ordinary shares and other securities subject to the lock-up agreements described above in whole or in part at any time. When determining whether or not to release our ordinary shares and other securities from lock-up agreements, the representatives will consider, among other factors, the holder’s reasons for requesting the release, the number of shares for which the release is being requested and market conditions at the time of the request.</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77" w:lineRule="exact"/>
        <w:rPr>
          <w:sz w:val="20"/>
          <w:szCs w:val="20"/>
          <w:color w:val="auto"/>
        </w:rPr>
      </w:pPr>
    </w:p>
    <w:p>
      <w:pPr>
        <w:ind w:left="120" w:right="140" w:firstLine="440"/>
        <w:spacing w:after="0" w:line="244" w:lineRule="auto"/>
        <w:rPr>
          <w:sz w:val="20"/>
          <w:szCs w:val="20"/>
          <w:color w:val="auto"/>
        </w:rPr>
      </w:pPr>
      <w:r>
        <w:rPr>
          <w:rFonts w:ascii="Arial" w:cs="Arial" w:eastAsia="Arial" w:hAnsi="Arial"/>
          <w:sz w:val="18"/>
          <w:szCs w:val="18"/>
          <w:b w:val="1"/>
          <w:bCs w:val="1"/>
          <w:color w:val="auto"/>
        </w:rPr>
        <w:t>Canada</w:t>
      </w:r>
      <w:r>
        <w:rPr>
          <w:rFonts w:ascii="Arial" w:cs="Arial" w:eastAsia="Arial" w:hAnsi="Arial"/>
          <w:sz w:val="18"/>
          <w:szCs w:val="18"/>
          <w:color w:val="auto"/>
        </w:rPr>
        <w:t>.  The securities may be sold only to purchasers purchasing, or deemed to be purchasing, as principal that are accredited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securities must be made in accordance with an exemption from, or in a transaction not subject to, the prospectus requirements of applicable securities laws.</w:t>
      </w:r>
    </w:p>
    <w:p>
      <w:pPr>
        <w:spacing w:after="0" w:line="176"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ind w:left="120" w:right="520" w:firstLine="440"/>
        <w:spacing w:after="0" w:line="271"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54" w:lineRule="exact"/>
        <w:rPr>
          <w:sz w:val="20"/>
          <w:szCs w:val="20"/>
          <w:color w:val="auto"/>
        </w:rPr>
      </w:pPr>
    </w:p>
    <w:p>
      <w:pPr>
        <w:jc w:val="both"/>
        <w:ind w:left="120" w:right="180" w:firstLine="440"/>
        <w:spacing w:after="0" w:line="253" w:lineRule="auto"/>
        <w:rPr>
          <w:sz w:val="20"/>
          <w:szCs w:val="20"/>
          <w:color w:val="auto"/>
        </w:rPr>
      </w:pPr>
      <w:r>
        <w:rPr>
          <w:rFonts w:ascii="Arial" w:cs="Arial" w:eastAsia="Arial" w:hAnsi="Arial"/>
          <w:sz w:val="18"/>
          <w:szCs w:val="18"/>
          <w:b w:val="1"/>
          <w:bCs w:val="1"/>
          <w:color w:val="auto"/>
        </w:rPr>
        <w:t xml:space="preserve">Switzerland.  </w:t>
      </w:r>
      <w:r>
        <w:rPr>
          <w:rFonts w:ascii="Arial" w:cs="Arial" w:eastAsia="Arial" w:hAnsi="Arial"/>
          <w:sz w:val="18"/>
          <w:szCs w:val="18"/>
          <w:color w:val="auto"/>
        </w:rPr>
        <w:t>The securities will not be offered, directly or indirectly, to the public in Switzerland and this prospectus supplement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constitute a public offering prospectus as that term is understood pursuant to article 652a or 1156 of the Swiss Federal Code of Obligations.</w:t>
      </w:r>
    </w:p>
    <w:p>
      <w:pPr>
        <w:spacing w:after="0" w:line="169" w:lineRule="exact"/>
        <w:rPr>
          <w:sz w:val="20"/>
          <w:szCs w:val="20"/>
          <w:color w:val="auto"/>
        </w:rPr>
      </w:pPr>
    </w:p>
    <w:p>
      <w:pPr>
        <w:ind w:left="120" w:right="140" w:firstLine="440"/>
        <w:spacing w:after="0" w:line="247" w:lineRule="auto"/>
        <w:rPr>
          <w:sz w:val="20"/>
          <w:szCs w:val="20"/>
          <w:color w:val="auto"/>
        </w:rPr>
      </w:pPr>
      <w:r>
        <w:rPr>
          <w:rFonts w:ascii="Arial" w:cs="Arial" w:eastAsia="Arial" w:hAnsi="Arial"/>
          <w:sz w:val="18"/>
          <w:szCs w:val="18"/>
          <w:b w:val="1"/>
          <w:bCs w:val="1"/>
          <w:color w:val="auto"/>
        </w:rPr>
        <w:t xml:space="preserve">European Economic Area.  </w:t>
      </w:r>
      <w:r>
        <w:rPr>
          <w:rFonts w:ascii="Arial" w:cs="Arial" w:eastAsia="Arial" w:hAnsi="Arial"/>
          <w:sz w:val="18"/>
          <w:szCs w:val="18"/>
          <w:color w:val="auto"/>
        </w:rPr>
        <w:t>In relation to each Member State of the European Economic Area (each, a “Relevant State”), no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accordance with the Prospectus Regulation, except that securities may be offered to the public in that Relevant State at any time:</w:t>
      </w:r>
    </w:p>
    <w:p>
      <w:pPr>
        <w:spacing w:after="0" w:line="239"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the Prospectus Regulation;</w:t>
      </w:r>
    </w:p>
    <w:p>
      <w:pPr>
        <w:spacing w:after="0" w:line="36" w:lineRule="exact"/>
        <w:rPr>
          <w:rFonts w:ascii="Arial" w:cs="Arial" w:eastAsia="Arial" w:hAnsi="Arial"/>
          <w:sz w:val="18"/>
          <w:szCs w:val="18"/>
          <w:color w:val="auto"/>
        </w:rPr>
      </w:pPr>
    </w:p>
    <w:p>
      <w:pPr>
        <w:ind w:left="540" w:right="480" w:hanging="424"/>
        <w:spacing w:after="0" w:line="25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the Prospectus Regulation), subject to obtaining the prior consent of the representatives for any such offer; or</w:t>
      </w: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provided that no such offer of the securities shall require us or any of the representatives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each of the underwriters and the Company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underwriters have been obtained to each such proposed offer or resale.</w:t>
      </w:r>
    </w:p>
    <w:p>
      <w:pPr>
        <w:spacing w:after="0" w:line="180" w:lineRule="exact"/>
        <w:rPr>
          <w:sz w:val="20"/>
          <w:szCs w:val="20"/>
          <w:color w:val="auto"/>
        </w:rPr>
      </w:pPr>
    </w:p>
    <w:p>
      <w:pPr>
        <w:jc w:val="both"/>
        <w:ind w:left="120" w:right="220" w:firstLine="44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74" w:lineRule="exact"/>
        <w:rPr>
          <w:sz w:val="20"/>
          <w:szCs w:val="20"/>
          <w:color w:val="auto"/>
        </w:rPr>
      </w:pPr>
    </w:p>
    <w:p>
      <w:pPr>
        <w:ind w:left="120" w:right="260" w:firstLine="440"/>
        <w:spacing w:after="0" w:line="266" w:lineRule="auto"/>
        <w:rPr>
          <w:sz w:val="20"/>
          <w:szCs w:val="20"/>
          <w:color w:val="auto"/>
        </w:rPr>
      </w:pPr>
      <w:r>
        <w:rPr>
          <w:rFonts w:ascii="Arial" w:cs="Arial" w:eastAsia="Arial" w:hAnsi="Arial"/>
          <w:sz w:val="17"/>
          <w:szCs w:val="17"/>
          <w:b w:val="1"/>
          <w:bCs w:val="1"/>
          <w:color w:val="auto"/>
        </w:rPr>
        <w:t xml:space="preserve">United Kingdom.  </w:t>
      </w:r>
      <w:r>
        <w:rPr>
          <w:rFonts w:ascii="Arial" w:cs="Arial" w:eastAsia="Arial" w:hAnsi="Arial"/>
          <w:sz w:val="17"/>
          <w:szCs w:val="17"/>
          <w:color w:val="auto"/>
        </w:rPr>
        <w:t>No securities have been offered or will be offered pursuant to the offering to the public in the United Kingdom</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publication of a prospectus in relation to the securities which is to be treated as if it had been approved by the Financial Conduct Authority in accordance with the transitional provisions in Article 74 (transitional provisions) of the Prospectus Amendment etc. (EU Exit) Regulations 2019/1234, except that the securities may be offered to the public in the United Kingdom at any time:</w:t>
      </w:r>
    </w:p>
    <w:p>
      <w:pPr>
        <w:spacing w:after="0" w:line="186"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36" w:lineRule="exact"/>
        <w:rPr>
          <w:rFonts w:ascii="Arial" w:cs="Arial" w:eastAsia="Arial" w:hAnsi="Arial"/>
          <w:sz w:val="18"/>
          <w:szCs w:val="18"/>
          <w:color w:val="auto"/>
        </w:rPr>
      </w:pPr>
    </w:p>
    <w:p>
      <w:pPr>
        <w:ind w:left="540" w:right="1000" w:hanging="424"/>
        <w:spacing w:after="0" w:line="25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underwriters for any such offer; or</w:t>
      </w: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(the “FSMA”), provided that no such offer of the securities shall require the Company or any underwriter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8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69"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b w:val="1"/>
          <w:bCs w:val="1"/>
          <w:color w:val="auto"/>
        </w:rPr>
        <w:t>Hong Kong.</w:t>
      </w:r>
      <w:r>
        <w:rPr>
          <w:rFonts w:ascii="Arial" w:cs="Arial" w:eastAsia="Arial" w:hAnsi="Arial"/>
          <w:sz w:val="18"/>
          <w:szCs w:val="18"/>
          <w:color w:val="auto"/>
        </w:rPr>
        <w:t xml:space="preserve">  The securities have not been offered or sold and will not be offered or sold in Hong Kong, by means of any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w:t>
      </w:r>
    </w:p>
    <w:p>
      <w:pPr>
        <w:spacing w:after="0" w:line="183"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b w:val="1"/>
          <w:bCs w:val="1"/>
          <w:color w:val="auto"/>
        </w:rPr>
        <w:t>Singapore.</w:t>
      </w:r>
      <w:r>
        <w:rPr>
          <w:rFonts w:ascii="Arial" w:cs="Arial" w:eastAsia="Arial" w:hAnsi="Arial"/>
          <w:sz w:val="18"/>
          <w:szCs w:val="18"/>
          <w:color w:val="auto"/>
        </w:rPr>
        <w:t xml:space="preserve">  Each underwriter has acknowledged that this prospectus supplement has not been registered as a prospectus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Monetary Authority of Singapore. Accordingly, each underwriter has represented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w:t>
      </w:r>
    </w:p>
    <w:p>
      <w:pPr>
        <w:spacing w:after="0" w:line="206" w:lineRule="exact"/>
        <w:rPr>
          <w:sz w:val="20"/>
          <w:szCs w:val="20"/>
          <w:color w:val="auto"/>
        </w:rPr>
      </w:pPr>
    </w:p>
    <w:p>
      <w:pPr>
        <w:ind w:left="540" w:right="360" w:hanging="424"/>
        <w:spacing w:after="0" w:line="25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ind w:left="540" w:right="440" w:hanging="424"/>
        <w:spacing w:after="0" w:line="25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ind w:left="560" w:right="1760" w:hanging="444"/>
        <w:spacing w:after="0" w:line="530" w:lineRule="auto"/>
        <w:tabs>
          <w:tab w:leader="none" w:pos="552"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otherwise pursuant to, and in accordance with the conditions of, any other applicable provision of the SFA. Where the securities are subscribed or purchased under Section 275 of the SFA by a relevant person which is:</w:t>
      </w:r>
    </w:p>
    <w:p>
      <w:pPr>
        <w:spacing w:after="0" w:line="1" w:lineRule="exact"/>
        <w:rPr>
          <w:sz w:val="20"/>
          <w:szCs w:val="20"/>
          <w:color w:val="auto"/>
        </w:rPr>
      </w:pPr>
    </w:p>
    <w:p>
      <w:pPr>
        <w:ind w:left="540" w:right="280" w:hanging="424"/>
        <w:spacing w:after="0" w:line="271"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71"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54"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securities pursuant to an offer made under Section 275 of the SFA except:</w:t>
      </w:r>
    </w:p>
    <w:p>
      <w:pPr>
        <w:spacing w:after="0" w:line="196" w:lineRule="exact"/>
        <w:rPr>
          <w:sz w:val="20"/>
          <w:szCs w:val="20"/>
          <w:color w:val="auto"/>
        </w:rPr>
      </w:pPr>
    </w:p>
    <w:p>
      <w:pPr>
        <w:ind w:left="540" w:right="1020" w:hanging="424"/>
        <w:spacing w:after="0" w:line="25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6"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36" w:lineRule="exact"/>
        <w:rPr>
          <w:rFonts w:ascii="Arial" w:cs="Arial" w:eastAsia="Arial" w:hAnsi="Arial"/>
          <w:sz w:val="18"/>
          <w:szCs w:val="18"/>
          <w:color w:val="auto"/>
        </w:rPr>
      </w:pPr>
    </w:p>
    <w:p>
      <w:pPr>
        <w:ind w:left="540" w:right="340" w:hanging="424"/>
        <w:spacing w:after="0" w:line="271"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54" w:lineRule="exact"/>
        <w:rPr>
          <w:sz w:val="20"/>
          <w:szCs w:val="20"/>
          <w:color w:val="auto"/>
        </w:rPr>
      </w:pPr>
    </w:p>
    <w:p>
      <w:pPr>
        <w:ind w:left="120" w:right="680" w:firstLine="440"/>
        <w:spacing w:after="0" w:line="245" w:lineRule="auto"/>
        <w:rPr>
          <w:sz w:val="20"/>
          <w:szCs w:val="20"/>
          <w:color w:val="auto"/>
        </w:rPr>
      </w:pPr>
      <w:r>
        <w:rPr>
          <w:rFonts w:ascii="Arial" w:cs="Arial" w:eastAsia="Arial" w:hAnsi="Arial"/>
          <w:sz w:val="18"/>
          <w:szCs w:val="18"/>
          <w:color w:val="auto"/>
        </w:rPr>
        <w:t>Singapore SFA Product Classification — In connection with Section 309B of the SFA and the CMP Regulations 2018, unless otherwise specified before an offer of securities, we have determined, and hereby notify all relevant persons (as defined in</w:t>
      </w:r>
    </w:p>
    <w:p>
      <w:pPr>
        <w:ind w:left="120" w:right="200"/>
        <w:spacing w:after="0" w:line="242" w:lineRule="auto"/>
        <w:rPr>
          <w:sz w:val="20"/>
          <w:szCs w:val="20"/>
          <w:color w:val="auto"/>
        </w:rPr>
      </w:pPr>
      <w:r>
        <w:rPr>
          <w:rFonts w:ascii="Arial" w:cs="Arial" w:eastAsia="Arial" w:hAnsi="Arial"/>
          <w:sz w:val="18"/>
          <w:szCs w:val="18"/>
          <w:color w:val="auto"/>
        </w:rPr>
        <w:t>Section 309A(1) of the SFA),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b w:val="1"/>
          <w:bCs w:val="1"/>
          <w:color w:val="auto"/>
        </w:rPr>
        <w:t>Israel.</w:t>
      </w:r>
      <w:r>
        <w:rPr>
          <w:rFonts w:ascii="Arial" w:cs="Arial" w:eastAsia="Arial" w:hAnsi="Arial"/>
          <w:sz w:val="18"/>
          <w:szCs w:val="18"/>
          <w:color w:val="auto"/>
        </w:rPr>
        <w:t xml:space="preserve">  The securities offered hereunder may not be offered or sold to the public in Israel absent the publication of a prospectus that</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approved by the Israel Securities Authority (the “ISA”). This document does not constitute a prospectus under the Israeli Securities Law, 5728-1968 (the “Israeli Securities Law”), and has not been filed with or approved by the ISA. In Israel, this document is being distributed only to, and is directed only at, and any offer of the securities hereunder is directed only at (i) a limited number of persons in accordance with the Israeli Securities Law, and (ii) investors listed in the first addendum to the Israeli Securities Law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7"/>
          <w:szCs w:val="17"/>
          <w:color w:val="auto"/>
        </w:rPr>
        <w:t>Qualified investors may have to submit evidence that they meet the qualifications set forth in the Addendum. In particular, qualified investors may be requested, as a condition to be offered securities, to each represent, warrant and certify to us and/or to the underwriters:</w:t>
      </w:r>
    </w:p>
    <w:p>
      <w:pPr>
        <w:spacing w:after="0" w:line="1" w:lineRule="exact"/>
        <w:rPr>
          <w:sz w:val="20"/>
          <w:szCs w:val="20"/>
          <w:color w:val="auto"/>
        </w:rPr>
      </w:pPr>
    </w:p>
    <w:p>
      <w:pPr>
        <w:ind w:left="120" w:right="360" w:hanging="4"/>
        <w:spacing w:after="0" w:line="238" w:lineRule="auto"/>
        <w:tabs>
          <w:tab w:leader="none" w:pos="3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it is an investor falling within one of the categories listed in the Addendum; (ii) which of the categories listed in the Addendum is applicable to it; (iii) that it will abide by all provisions set forth in the Israeli Securities Law in connection with the offer to be issued securities; (iv) that the securities that it will be issued are being purchased, subject to exemptions available under the Israeli Securities Law: (a) for its own account; (b) for investment purposes only; and (c) not with a view for resale within the State of Israel, other than in accordance with the provisions of the Israeli Securities Law; and (v) that it is willing to provide further evidence of its qualified investor status.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47" w:lineRule="auto"/>
        <w:rPr>
          <w:sz w:val="20"/>
          <w:szCs w:val="20"/>
          <w:color w:val="auto"/>
        </w:rPr>
      </w:pPr>
      <w:r>
        <w:rPr>
          <w:rFonts w:ascii="Arial" w:cs="Arial" w:eastAsia="Arial" w:hAnsi="Arial"/>
          <w:sz w:val="18"/>
          <w:szCs w:val="18"/>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securities, other than the underwriters, is authorized to make any further offer of securities on our behalf or on behalf of the underwriters.</w:t>
      </w:r>
    </w:p>
    <w:p>
      <w:pPr>
        <w:spacing w:after="0" w:line="174" w:lineRule="exact"/>
        <w:rPr>
          <w:sz w:val="20"/>
          <w:szCs w:val="20"/>
          <w:color w:val="auto"/>
        </w:rPr>
      </w:pPr>
    </w:p>
    <w:p>
      <w:pPr>
        <w:ind w:left="120" w:firstLine="440"/>
        <w:spacing w:after="0"/>
        <w:rPr>
          <w:sz w:val="20"/>
          <w:szCs w:val="20"/>
          <w:color w:val="auto"/>
        </w:rPr>
      </w:pPr>
      <w:r>
        <w:rPr>
          <w:rFonts w:ascii="Arial" w:cs="Arial" w:eastAsia="Arial" w:hAnsi="Arial"/>
          <w:sz w:val="18"/>
          <w:szCs w:val="18"/>
          <w:b w:val="1"/>
          <w:bCs w:val="1"/>
          <w:color w:val="auto"/>
        </w:rPr>
        <w:t>Electronic Offer, Sale and Distribution of Securities.</w:t>
      </w:r>
      <w:r>
        <w:rPr>
          <w:rFonts w:ascii="Arial" w:cs="Arial" w:eastAsia="Arial" w:hAnsi="Arial"/>
          <w:sz w:val="18"/>
          <w:szCs w:val="18"/>
          <w:color w:val="auto"/>
        </w:rPr>
        <w:t xml:space="preserve">  A prospectus in electronic format may be made available on the websites</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maintained by one or more of the underwriters or selling group members, if any, participating in this offering and one or more of the underwriters participating in this offering may distribute prospectuses electronically. The representatives may agree to allocate a number of ordinary shares and pre-funded warrants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0"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b w:val="1"/>
          <w:bCs w:val="1"/>
          <w:color w:val="auto"/>
        </w:rPr>
        <w:t>Other Relationships.</w:t>
      </w:r>
      <w:r>
        <w:rPr>
          <w:rFonts w:ascii="Arial" w:cs="Arial" w:eastAsia="Arial" w:hAnsi="Arial"/>
          <w:sz w:val="18"/>
          <w:szCs w:val="18"/>
          <w:color w:val="auto"/>
        </w:rPr>
        <w:t xml:space="preserve">  Certain of the underwriters and their affiliates have provided, and may in the future provide,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banking, commercial banking and other financial services for us and our affiliates for which they have received, and may in the future receive, customary fees. For example, Cowen and Company, LLC, an affiliate of TD Cowen, is the sales agent under our Sales Agreement, dated December 20, 2019, as amended, pursuant to which we may offer and sell up to approximately $83.4 million of our ordinary shares through Cowen and Company, LLC as sales agent in an “at the market offering” as defined in Rule 405 promulgated under the Securities Act.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320" w:lineRule="exact"/>
        <w:rPr>
          <w:sz w:val="20"/>
          <w:szCs w:val="20"/>
          <w:color w:val="auto"/>
        </w:rPr>
      </w:pPr>
    </w:p>
    <w:p>
      <w:pPr>
        <w:ind w:left="120" w:right="20" w:firstLine="440"/>
        <w:spacing w:after="0" w:line="242" w:lineRule="auto"/>
        <w:rPr>
          <w:sz w:val="20"/>
          <w:szCs w:val="20"/>
          <w:color w:val="auto"/>
        </w:rPr>
      </w:pPr>
      <w:r>
        <w:rPr>
          <w:rFonts w:ascii="Arial" w:cs="Arial" w:eastAsia="Arial" w:hAnsi="Arial"/>
          <w:sz w:val="18"/>
          <w:szCs w:val="18"/>
          <w:color w:val="auto"/>
        </w:rPr>
        <w:t>Certain legal matters with respect to the validity of the issuance of the ordinary shares offered by this prospectus supplement and certain other matters of Israeli law will be passed upon for us by Erdinast, Ben Nathan, Toledano &amp; Co., Tel Aviv, Israel. Certain legal matters with respect to the validity of the issuance of the pre-funded warrants offered by this prospectus supplement and certain matters of U.S. law will be passed upon for us by Cooley LLP, San Diego, CA. Covington &amp; Burling LLP, New York, NY, is acting as counsel for the underwriters in connection with this offering with respect to U.S. law and Gornitzky &amp; Co., Tel Aviv, Israel, is acting as counsel for the underwriters in connection with this offering with respect to Israeli law.</w:t>
      </w: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320" w:lineRule="exact"/>
        <w:rPr>
          <w:sz w:val="20"/>
          <w:szCs w:val="20"/>
          <w:color w:val="auto"/>
        </w:rPr>
      </w:pPr>
    </w:p>
    <w:p>
      <w:pPr>
        <w:jc w:val="both"/>
        <w:ind w:left="120" w:right="160" w:firstLine="440"/>
        <w:spacing w:after="0" w:line="247" w:lineRule="auto"/>
        <w:rPr>
          <w:sz w:val="20"/>
          <w:szCs w:val="20"/>
          <w:color w:val="auto"/>
        </w:rPr>
      </w:pPr>
      <w:r>
        <w:rPr>
          <w:rFonts w:ascii="Arial" w:cs="Arial" w:eastAsia="Arial" w:hAnsi="Arial"/>
          <w:sz w:val="18"/>
          <w:szCs w:val="18"/>
          <w:color w:val="auto"/>
        </w:rPr>
        <w:t>The financial statements incorporated in this prospectus supplement by reference to the Annual Report on Form 10-K for the year ended December 31, 2023 have been so incorporated in reliance on the report (which contains an explanatory paragraph relating to the Company’s ability to continue as a going concern as described in Note 2 to the financial statements) of PricewaterhouseCoopers LLP, an independent registered public accounting firm, given on the authority of said firm as experts in auditing and accounting.</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20"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7"/>
          <w:szCs w:val="17"/>
          <w:color w:val="auto"/>
        </w:rPr>
        <w:t>This prospectus supplement and the accompanying prospectus form part of a registration statement on Form S-3 that was declared effective by the SEC on November 29, 2022 and do not contain all of the information set forth in that registration statement and the exhibits to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 this prospectus supplement and the accompanying prospectus for a copy of such contract, agreement or other document. Because we are currently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20" w:lineRule="exact"/>
        <w:rPr>
          <w:sz w:val="20"/>
          <w:szCs w:val="20"/>
          <w:color w:val="auto"/>
        </w:rPr>
      </w:pPr>
    </w:p>
    <w:p>
      <w:pPr>
        <w:jc w:val="both"/>
        <w:ind w:left="120" w:right="240" w:firstLine="440"/>
        <w:spacing w:after="0" w:line="253" w:lineRule="auto"/>
        <w:rPr>
          <w:sz w:val="20"/>
          <w:szCs w:val="20"/>
          <w:color w:val="auto"/>
        </w:rPr>
      </w:pPr>
      <w:r>
        <w:rPr>
          <w:rFonts w:ascii="Arial" w:cs="Arial" w:eastAsia="Arial" w:hAnsi="Arial"/>
          <w:sz w:val="18"/>
          <w:szCs w:val="18"/>
          <w:color w:val="auto"/>
        </w:rPr>
        <w:t>The SEC allows us to “incorporate by reference” the information we file with the SEC, which means that we can disclose important information to you by referring you to those documents. Information incorporated by reference is part of this prospectus supplement and the accompanying prospectus. Later information filed with the SEC will update and supersede this information.</w:t>
      </w:r>
    </w:p>
    <w:p>
      <w:pPr>
        <w:spacing w:after="0" w:line="16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We incorporate by reference the documents listed below and any future filings made with the SEC under Sections 13(a), 13(c), 14 or 15(d) of the Exchange Act after the date of this prospectus supplement until the termination of the offering of ordinary shares covered by this prospectus supplement (other than portions of any such reports, including related exhibits, that are furnished and not filed):</w:t>
      </w:r>
    </w:p>
    <w:p>
      <w:pPr>
        <w:spacing w:after="0" w:line="74" w:lineRule="exact"/>
        <w:rPr>
          <w:sz w:val="20"/>
          <w:szCs w:val="20"/>
          <w:color w:val="auto"/>
        </w:rPr>
      </w:pPr>
    </w:p>
    <w:p>
      <w:pPr>
        <w:ind w:left="980" w:hanging="432"/>
        <w:spacing w:after="0" w:line="230"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2023, filed with the SEC on </w:t>
      </w:r>
      <w:hyperlink r:id="rId64">
        <w:r>
          <w:rPr>
            <w:rFonts w:ascii="Arial" w:cs="Arial" w:eastAsia="Arial" w:hAnsi="Arial"/>
            <w:sz w:val="18"/>
            <w:szCs w:val="18"/>
            <w:u w:val="single" w:color="auto"/>
            <w:color w:val="0000EE"/>
          </w:rPr>
          <w:t>March 14, 2024</w:t>
        </w:r>
      </w:hyperlink>
      <w:r>
        <w:rPr>
          <w:rFonts w:ascii="Arial" w:cs="Arial" w:eastAsia="Arial" w:hAnsi="Arial"/>
          <w:sz w:val="18"/>
          <w:szCs w:val="18"/>
          <w:color w:val="auto"/>
        </w:rPr>
        <w:t xml:space="preserve">, as amended by Amendment No. 1 to our Annual Report on Form 10-K/A, filed with the SEC on </w:t>
      </w:r>
      <w:hyperlink r:id="rId65">
        <w:r>
          <w:rPr>
            <w:rFonts w:ascii="Arial" w:cs="Arial" w:eastAsia="Arial" w:hAnsi="Arial"/>
            <w:sz w:val="18"/>
            <w:szCs w:val="18"/>
            <w:u w:val="single" w:color="auto"/>
            <w:color w:val="0000EE"/>
          </w:rPr>
          <w:t>April 29, 2024</w:t>
        </w:r>
      </w:hyperlink>
      <w:r>
        <w:rPr>
          <w:rFonts w:ascii="Arial" w:cs="Arial" w:eastAsia="Arial" w:hAnsi="Arial"/>
          <w:sz w:val="18"/>
          <w:szCs w:val="18"/>
          <w:color w:val="auto"/>
        </w:rPr>
        <w:t>;</w:t>
      </w:r>
    </w:p>
    <w:p>
      <w:pPr>
        <w:spacing w:after="0" w:line="113" w:lineRule="exact"/>
        <w:rPr>
          <w:rFonts w:ascii="MS PGothic" w:cs="MS PGothic" w:eastAsia="MS PGothic" w:hAnsi="MS PGothic"/>
          <w:sz w:val="25"/>
          <w:szCs w:val="25"/>
          <w:color w:val="auto"/>
          <w:vertAlign w:val="superscript"/>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5" w:lineRule="exact"/>
        <w:rPr>
          <w:sz w:val="20"/>
          <w:szCs w:val="20"/>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2024, filed with the SEC on </w:t>
      </w:r>
      <w:hyperlink r:id="rId67">
        <w:r>
          <w:rPr>
            <w:rFonts w:ascii="Arial" w:cs="Arial" w:eastAsia="Arial" w:hAnsi="Arial"/>
            <w:sz w:val="18"/>
            <w:szCs w:val="18"/>
            <w:u w:val="single" w:color="auto"/>
            <w:color w:val="0000EE"/>
          </w:rPr>
          <w:t>May 13, 2024</w:t>
        </w:r>
      </w:hyperlink>
      <w:r>
        <w:rPr>
          <w:rFonts w:ascii="Arial" w:cs="Arial" w:eastAsia="Arial" w:hAnsi="Arial"/>
          <w:sz w:val="18"/>
          <w:szCs w:val="18"/>
          <w:color w:val="auto"/>
        </w:rPr>
        <w:t>;</w:t>
      </w:r>
    </w:p>
    <w:p>
      <w:pPr>
        <w:spacing w:after="0" w:line="22" w:lineRule="exact"/>
        <w:rPr>
          <w:rFonts w:ascii="Arial" w:cs="Arial" w:eastAsia="Arial" w:hAnsi="Arial"/>
          <w:sz w:val="18"/>
          <w:szCs w:val="18"/>
          <w:color w:val="auto"/>
        </w:rPr>
      </w:pPr>
    </w:p>
    <w:p>
      <w:pPr>
        <w:ind w:left="980" w:hanging="432"/>
        <w:spacing w:after="0" w:line="20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68">
        <w:r>
          <w:rPr>
            <w:rFonts w:ascii="Arial" w:cs="Arial" w:eastAsia="Arial" w:hAnsi="Arial"/>
            <w:sz w:val="18"/>
            <w:szCs w:val="18"/>
            <w:u w:val="single" w:color="auto"/>
            <w:color w:val="0000EE"/>
          </w:rPr>
          <w:t>January 2, 2024</w:t>
        </w:r>
      </w:hyperlink>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EE"/>
          </w:rPr>
          <w:t>January 17, 2024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0">
        <w:r>
          <w:rPr>
            <w:rFonts w:ascii="Arial" w:cs="Arial" w:eastAsia="Arial" w:hAnsi="Arial"/>
            <w:sz w:val="18"/>
            <w:szCs w:val="18"/>
            <w:u w:val="single" w:color="auto"/>
            <w:color w:val="0000EE"/>
          </w:rPr>
          <w:t>June 13, 2024</w:t>
        </w:r>
      </w:hyperlink>
      <w:r>
        <w:rPr>
          <w:rFonts w:ascii="Arial" w:cs="Arial" w:eastAsia="Arial" w:hAnsi="Arial"/>
          <w:sz w:val="18"/>
          <w:szCs w:val="18"/>
          <w:color w:val="auto"/>
        </w:rPr>
        <w:t>; and</w:t>
      </w:r>
    </w:p>
    <w:p>
      <w:pPr>
        <w:spacing w:after="0" w:line="22" w:lineRule="exact"/>
        <w:rPr>
          <w:rFonts w:ascii="Arial" w:cs="Arial" w:eastAsia="Arial" w:hAnsi="Arial"/>
          <w:sz w:val="18"/>
          <w:szCs w:val="18"/>
          <w:color w:val="auto"/>
        </w:rPr>
      </w:pPr>
    </w:p>
    <w:p>
      <w:pPr>
        <w:ind w:left="980" w:hanging="432"/>
        <w:spacing w:after="0" w:line="22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description of our ordinary shares, which is registered under Section 12 of the Exchange Act, described in </w:t>
      </w:r>
      <w:hyperlink r:id="rId71">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Annual Report on Form 10-K for the year ended December 31, 2019, filed with the SEC on </w:t>
      </w:r>
      <w:hyperlink r:id="rId72">
        <w:r>
          <w:rPr>
            <w:rFonts w:ascii="Arial" w:cs="Arial" w:eastAsia="Arial" w:hAnsi="Arial"/>
            <w:sz w:val="18"/>
            <w:szCs w:val="18"/>
            <w:u w:val="single" w:color="auto"/>
            <w:color w:val="0000EE"/>
          </w:rPr>
          <w:t>March 2, 2020</w:t>
        </w:r>
      </w:hyperlink>
      <w:r>
        <w:rPr>
          <w:rFonts w:ascii="Arial" w:cs="Arial" w:eastAsia="Arial" w:hAnsi="Arial"/>
          <w:sz w:val="18"/>
          <w:szCs w:val="18"/>
          <w:color w:val="auto"/>
        </w:rPr>
        <w:t>, including all amendments or reports filed for the purpose of updating such description (and see also the updated description contained herein under the section titled “Description of Share Capital”).</w:t>
      </w:r>
    </w:p>
    <w:p>
      <w:pPr>
        <w:spacing w:after="0" w:line="181" w:lineRule="exact"/>
        <w:rPr>
          <w:rFonts w:ascii="MS PGothic" w:cs="MS PGothic" w:eastAsia="MS PGothic" w:hAnsi="MS PGothic"/>
          <w:sz w:val="25"/>
          <w:szCs w:val="25"/>
          <w:color w:val="auto"/>
          <w:vertAlign w:val="superscript"/>
        </w:rPr>
      </w:pPr>
    </w:p>
    <w:p>
      <w:pPr>
        <w:ind w:left="560"/>
        <w:spacing w:after="0"/>
        <w:rPr>
          <w:sz w:val="20"/>
          <w:szCs w:val="20"/>
          <w:color w:val="auto"/>
        </w:rPr>
      </w:pPr>
      <w:r>
        <w:rPr>
          <w:rFonts w:ascii="Arial" w:cs="Arial" w:eastAsia="Arial" w:hAnsi="Arial"/>
          <w:sz w:val="18"/>
          <w:szCs w:val="18"/>
          <w:color w:val="auto"/>
        </w:rPr>
        <w:t>You may request a copy of these filings (other than exhibits, unless they are specifically incorporated by reference in the documents)</w:t>
      </w:r>
    </w:p>
    <w:p>
      <w:pPr>
        <w:spacing w:after="0" w:line="14" w:lineRule="exact"/>
        <w:rPr>
          <w:rFonts w:ascii="MS PGothic" w:cs="MS PGothic" w:eastAsia="MS PGothic" w:hAnsi="MS PGothic"/>
          <w:sz w:val="25"/>
          <w:szCs w:val="25"/>
          <w:color w:val="auto"/>
          <w:vertAlign w:val="superscript"/>
        </w:rPr>
      </w:pPr>
    </w:p>
    <w:p>
      <w:pPr>
        <w:ind w:left="120"/>
        <w:spacing w:after="0"/>
        <w:rPr>
          <w:sz w:val="20"/>
          <w:szCs w:val="20"/>
          <w:color w:val="auto"/>
        </w:rPr>
      </w:pPr>
      <w:r>
        <w:rPr>
          <w:rFonts w:ascii="Arial" w:cs="Arial" w:eastAsia="Arial" w:hAnsi="Arial"/>
          <w:sz w:val="18"/>
          <w:szCs w:val="18"/>
          <w:color w:val="auto"/>
        </w:rPr>
        <w:t>at no cost, by contacting us at the following address or telephone number:</w:t>
      </w:r>
    </w:p>
    <w:p>
      <w:pPr>
        <w:spacing w:after="0" w:line="194" w:lineRule="exact"/>
        <w:rPr>
          <w:rFonts w:ascii="MS PGothic" w:cs="MS PGothic" w:eastAsia="MS PGothic" w:hAnsi="MS PGothic"/>
          <w:sz w:val="25"/>
          <w:szCs w:val="25"/>
          <w:color w:val="auto"/>
          <w:vertAlign w:val="superscript"/>
        </w:rPr>
      </w:pPr>
    </w:p>
    <w:p>
      <w:pPr>
        <w:jc w:val="center"/>
        <w:ind w:right="-119"/>
        <w:spacing w:after="0"/>
        <w:rPr>
          <w:sz w:val="20"/>
          <w:szCs w:val="20"/>
          <w:color w:val="auto"/>
        </w:rPr>
      </w:pPr>
      <w:r>
        <w:rPr>
          <w:rFonts w:ascii="Arial" w:cs="Arial" w:eastAsia="Arial" w:hAnsi="Arial"/>
          <w:sz w:val="18"/>
          <w:szCs w:val="18"/>
          <w:color w:val="auto"/>
        </w:rPr>
        <w:t>UroGen Pharma Ltd.</w:t>
      </w:r>
    </w:p>
    <w:p>
      <w:pPr>
        <w:spacing w:after="0" w:line="9" w:lineRule="exact"/>
        <w:rPr>
          <w:rFonts w:ascii="MS PGothic" w:cs="MS PGothic" w:eastAsia="MS PGothic" w:hAnsi="MS PGothic"/>
          <w:sz w:val="25"/>
          <w:szCs w:val="25"/>
          <w:color w:val="auto"/>
          <w:vertAlign w:val="superscript"/>
        </w:rPr>
      </w:pPr>
    </w:p>
    <w:p>
      <w:pPr>
        <w:jc w:val="center"/>
        <w:ind w:right="-119"/>
        <w:spacing w:after="0"/>
        <w:rPr>
          <w:sz w:val="20"/>
          <w:szCs w:val="20"/>
          <w:color w:val="auto"/>
        </w:rPr>
      </w:pPr>
      <w:r>
        <w:rPr>
          <w:rFonts w:ascii="Arial" w:cs="Arial" w:eastAsia="Arial" w:hAnsi="Arial"/>
          <w:sz w:val="18"/>
          <w:szCs w:val="18"/>
          <w:color w:val="auto"/>
        </w:rPr>
        <w:t>Attn: Chief Financial Officer</w:t>
      </w:r>
    </w:p>
    <w:p>
      <w:pPr>
        <w:jc w:val="center"/>
        <w:ind w:right="-119"/>
        <w:spacing w:after="0" w:line="183" w:lineRule="auto"/>
        <w:rPr>
          <w:sz w:val="20"/>
          <w:szCs w:val="20"/>
          <w:color w:val="auto"/>
        </w:rPr>
      </w:pPr>
      <w:r>
        <w:rPr>
          <w:rFonts w:ascii="Arial" w:cs="Arial" w:eastAsia="Arial" w:hAnsi="Arial"/>
          <w:sz w:val="16"/>
          <w:szCs w:val="16"/>
          <w:color w:val="auto"/>
        </w:rPr>
        <w:t>400 Alexander Park Drive, 4</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w:t>
      </w:r>
    </w:p>
    <w:p>
      <w:pPr>
        <w:jc w:val="center"/>
        <w:ind w:right="-119"/>
        <w:spacing w:after="0" w:line="235" w:lineRule="auto"/>
        <w:rPr>
          <w:sz w:val="20"/>
          <w:szCs w:val="20"/>
          <w:color w:val="auto"/>
        </w:rPr>
      </w:pPr>
      <w:r>
        <w:rPr>
          <w:rFonts w:ascii="Arial" w:cs="Arial" w:eastAsia="Arial" w:hAnsi="Arial"/>
          <w:sz w:val="18"/>
          <w:szCs w:val="18"/>
          <w:color w:val="auto"/>
        </w:rPr>
        <w:t>Princeton, NJ 08540</w:t>
      </w:r>
    </w:p>
    <w:p>
      <w:pPr>
        <w:spacing w:after="0" w:line="1" w:lineRule="exact"/>
        <w:rPr>
          <w:rFonts w:ascii="MS PGothic" w:cs="MS PGothic" w:eastAsia="MS PGothic" w:hAnsi="MS PGothic"/>
          <w:sz w:val="25"/>
          <w:szCs w:val="25"/>
          <w:color w:val="auto"/>
          <w:vertAlign w:val="superscript"/>
        </w:rPr>
      </w:pPr>
    </w:p>
    <w:p>
      <w:pPr>
        <w:jc w:val="center"/>
        <w:ind w:right="-119"/>
        <w:spacing w:after="0"/>
        <w:rPr>
          <w:sz w:val="20"/>
          <w:szCs w:val="20"/>
          <w:color w:val="auto"/>
        </w:rPr>
      </w:pPr>
      <w:r>
        <w:rPr>
          <w:rFonts w:ascii="Arial" w:cs="Arial" w:eastAsia="Arial" w:hAnsi="Arial"/>
          <w:sz w:val="18"/>
          <w:szCs w:val="18"/>
          <w:color w:val="auto"/>
        </w:rPr>
        <w:t>(646) 768-9780</w:t>
      </w:r>
    </w:p>
    <w:p>
      <w:pPr>
        <w:spacing w:after="0" w:line="194" w:lineRule="exact"/>
        <w:rPr>
          <w:rFonts w:ascii="MS PGothic" w:cs="MS PGothic" w:eastAsia="MS PGothic" w:hAnsi="MS PGothic"/>
          <w:sz w:val="25"/>
          <w:szCs w:val="25"/>
          <w:color w:val="auto"/>
          <w:vertAlign w:val="superscript"/>
        </w:rPr>
      </w:pPr>
    </w:p>
    <w:p>
      <w:pPr>
        <w:ind w:left="120" w:right="80" w:firstLine="440"/>
        <w:spacing w:after="0" w:line="253" w:lineRule="auto"/>
        <w:rPr>
          <w:sz w:val="20"/>
          <w:szCs w:val="20"/>
          <w:color w:val="auto"/>
        </w:rPr>
      </w:pPr>
      <w:r>
        <w:rPr>
          <w:rFonts w:ascii="Arial" w:cs="Arial" w:eastAsia="Arial" w:hAnsi="Arial"/>
          <w:sz w:val="18"/>
          <w:szCs w:val="18"/>
          <w:color w:val="auto"/>
        </w:rPr>
        <w:t>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01" w:lineRule="exact"/>
        <w:rPr>
          <w:rFonts w:ascii="MS PGothic" w:cs="MS PGothic" w:eastAsia="MS PGothic" w:hAnsi="MS PGothic"/>
          <w:sz w:val="25"/>
          <w:szCs w:val="25"/>
          <w:color w:val="auto"/>
          <w:vertAlign w:val="superscript"/>
        </w:rPr>
      </w:pPr>
    </w:p>
    <w:p>
      <w:pPr>
        <w:jc w:val="center"/>
        <w:ind w:right="-1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173990</wp:posOffset>
            </wp:positionV>
            <wp:extent cx="2743200" cy="7797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274320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$250,000,000</w:t>
      </w:r>
    </w:p>
    <w:p>
      <w:pPr>
        <w:spacing w:after="0" w:line="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From time to time, we may offer up to $250,000,000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We will specify in an accompanying prospectus supplement the terms of any offering.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or Nasdaq, under the symbol “URGN.” On November 11, 2022, the last reported sale price of our ordinary shares was $8.91 per share. The applicable prospectus supplement will contain information, where applicable, as to any other listing on Nasdaq or any securities market or other exchange of the securities, if any, covered by the prospectus supplement.</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3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contained in the applicable prospectus supplement and any related free writing prospectus, and under similar headings in the other documents that are incorporated by reference into this prospectus.</w:t>
      </w:r>
    </w:p>
    <w:p>
      <w:pPr>
        <w:spacing w:after="0" w:line="18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29, 2022.</w:t>
      </w:r>
    </w:p>
    <w:p>
      <w:pPr>
        <w:sectPr>
          <w:pgSz w:w="11900" w:h="16838" w:orient="portrait"/>
          <w:cols w:equalWidth="0" w:num="1">
            <w:col w:w="11120"/>
          </w:cols>
          <w:pgMar w:left="320" w:top="455" w:right="4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43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7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8"/>
        </w:trPr>
        <w:tc>
          <w:tcPr>
            <w:tcW w:w="120" w:type="dxa"/>
            <w:vAlign w:val="bottom"/>
          </w:tcPr>
          <w:p>
            <w:pPr>
              <w:spacing w:after="0"/>
              <w:rPr>
                <w:sz w:val="24"/>
                <w:szCs w:val="24"/>
                <w:color w:val="auto"/>
              </w:rPr>
            </w:pPr>
          </w:p>
        </w:tc>
        <w:tc>
          <w:tcPr>
            <w:tcW w:w="1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560" w:type="dxa"/>
            <w:vAlign w:val="bottom"/>
            <w:gridSpan w:val="8"/>
          </w:tcPr>
          <w:p>
            <w:pPr>
              <w:spacing w:after="0"/>
              <w:rPr>
                <w:sz w:val="24"/>
                <w:szCs w:val="24"/>
                <w:color w:val="auto"/>
              </w:rPr>
            </w:pP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680" w:type="dxa"/>
            <w:vAlign w:val="bottom"/>
            <w:gridSpan w:val="9"/>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320" w:type="dxa"/>
            <w:vAlign w:val="bottom"/>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020" w:type="dxa"/>
            <w:vAlign w:val="bottom"/>
            <w:gridSpan w:val="5"/>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Legal Ownership of Securities</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21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20" w:type="dxa"/>
            <w:vAlign w:val="bottom"/>
            <w:gridSpan w:val="5"/>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Enforcement of Civil Liabilities</w:t>
            </w:r>
          </w:p>
        </w:tc>
        <w:tc>
          <w:tcPr>
            <w:tcW w:w="1900" w:type="dxa"/>
            <w:vAlign w:val="bottom"/>
            <w:gridSpan w:val="4"/>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0" w:type="dxa"/>
            <w:vAlign w:val="bottom"/>
            <w:gridSpan w:val="13"/>
          </w:tcPr>
          <w:p>
            <w:pPr>
              <w:spacing w:after="0"/>
              <w:rPr>
                <w:sz w:val="17"/>
                <w:szCs w:val="17"/>
                <w:color w:val="auto"/>
              </w:rPr>
            </w:pP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2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20" w:type="dxa"/>
            <w:vAlign w:val="bottom"/>
          </w:tcPr>
          <w:p>
            <w:pPr>
              <w:spacing w:after="0" w:line="20" w:lineRule="exact"/>
              <w:rPr>
                <w:sz w:val="1"/>
                <w:szCs w:val="1"/>
                <w:color w:val="auto"/>
              </w:rPr>
            </w:pPr>
          </w:p>
        </w:tc>
        <w:tc>
          <w:tcPr>
            <w:tcW w:w="2860" w:type="dxa"/>
            <w:vAlign w:val="bottom"/>
            <w:gridSpan w:val="1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This prospectus is a part of a registration statement on Form S-3 that we filed with the Securities and Exchange Commission, or SEC, utilizing a “shelf” registration process. Under this shelf registration process, we may sell any combination of the securities described in this prospectus in one or more offerings up to a total aggregate offering price of $250,000,000. This prospectus provides you with a general description of the securities we may offer.</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83" w:lineRule="exact"/>
        <w:rPr>
          <w:sz w:val="20"/>
          <w:szCs w:val="20"/>
          <w:color w:val="auto"/>
        </w:rPr>
      </w:pPr>
    </w:p>
    <w:p>
      <w:pPr>
        <w:ind w:left="120" w:right="74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80"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1" w:lineRule="exact"/>
        <w:rPr>
          <w:sz w:val="20"/>
          <w:szCs w:val="20"/>
          <w:color w:val="auto"/>
        </w:rPr>
      </w:pPr>
    </w:p>
    <w:p>
      <w:pPr>
        <w:ind w:left="120" w:right="120"/>
        <w:spacing w:after="0" w:line="230" w:lineRule="auto"/>
        <w:rPr>
          <w:sz w:val="20"/>
          <w:szCs w:val="20"/>
          <w:color w:val="auto"/>
        </w:rPr>
      </w:pPr>
      <w:r>
        <w:rPr>
          <w:rFonts w:ascii="Times New Roman" w:cs="Times New Roman" w:eastAsia="Times New Roman" w:hAnsi="Times New Roman"/>
          <w:sz w:val="18"/>
          <w:szCs w:val="18"/>
          <w:color w:val="auto"/>
        </w:rPr>
        <w:t xml:space="preserve">UroGen, RTGel and </w:t>
      </w:r>
      <w:r>
        <w:rPr>
          <w:rFonts w:ascii="Times New Roman" w:cs="Times New Roman" w:eastAsia="Times New Roman" w:hAnsi="Times New Roman"/>
          <w:sz w:val="18"/>
          <w:szCs w:val="18"/>
          <w:i w:val="1"/>
          <w:iCs w:val="1"/>
          <w:color w:val="auto"/>
        </w:rPr>
        <w:t>Jelmyto</w:t>
      </w:r>
      <w:r>
        <w:rPr>
          <w:rFonts w:ascii="Times New Roman" w:cs="Times New Roman" w:eastAsia="Times New Roman" w:hAnsi="Times New Roman"/>
          <w:sz w:val="18"/>
          <w:szCs w:val="18"/>
          <w:color w:val="auto"/>
        </w:rPr>
        <w:t xml:space="preserve"> are trademarks of ours that we use in this prospectus. This prospectus also includes trademarks, tradenames and service marks that are the property of other organizations. Solely for convenience, our trademarks and tradenames referred to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the right of the applicable licensor to our trademark and tradenames.</w:t>
      </w:r>
    </w:p>
    <w:p>
      <w:pPr>
        <w:spacing w:after="0" w:line="20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The terms “shekel,” “Israeli shekel” and “NIS” refer to New Israeli Shekels, the lawful currency of the State of Israel, and the terms “dollar,” “U.S. dollar” or “$” refer to United States dollars, the lawful currency of the United States. All references to “shares” in this prospectus refer to ordinary shares of UroGen Pharma Ltd., par value NIS 0.01 per share.</w:t>
      </w:r>
    </w:p>
    <w:p>
      <w:pPr>
        <w:spacing w:after="0" w:line="176"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Unless otherwise indicated, “UroGen Pharma,” “the Company,” “our company,” “we,” “us” and “our” refer to UroGen Pharma Ltd. and its wholly owned subsidiary, Urogen Pharma, Inc.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0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4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The following summary highlights information contained elsewhere in this prospectus. This summary is not complete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consolidated financial statements, and the exhibits to the registration statement of which this prospectus is a part.</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spacing w:after="0" w:line="239" w:lineRule="auto"/>
        <w:rPr>
          <w:sz w:val="20"/>
          <w:szCs w:val="20"/>
          <w:color w:val="auto"/>
        </w:rPr>
      </w:pPr>
      <w:r>
        <w:rPr>
          <w:rFonts w:ascii="Times New Roman" w:cs="Times New Roman" w:eastAsia="Times New Roman" w:hAnsi="Times New Roman"/>
          <w:sz w:val="17"/>
          <w:szCs w:val="17"/>
          <w:color w:val="auto"/>
        </w:rPr>
        <w:t xml:space="preserve">We are a biotechnology company dedicated to developing and commercializing innovative solutions that treat urothelial and specialty cancers. We have developed </w:t>
      </w:r>
      <w:r>
        <w:rPr>
          <w:rFonts w:ascii="Times New Roman" w:cs="Times New Roman" w:eastAsia="Times New Roman" w:hAnsi="Times New Roman"/>
          <w:sz w:val="17"/>
          <w:szCs w:val="17"/>
          <w:i w:val="1"/>
          <w:iCs w:val="1"/>
          <w:color w:val="auto"/>
        </w:rPr>
        <w:t>RTGel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reverse-thermal hydrogel, a proprietary sustained release, hydrogel-based technology that has the potential to improve therapeutic profiles of existing drugs. Our technology is designed to enable longer exposure of the urinary tract tissue to medications, making local therapy a potentially more effective treatment option. Our approved product Jelmyto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(mitomycin) for pyelocalyceal solution, and our investigational candidate, UGN-102 (mitomycin) for intravesical solution, are designed to ablate tumors by non-surgical means and to treat several forms of non-muscle invasive urothelial cancer, including low-grade upper tract urothelial cancer, or low-grade UTUC and low-grade intermediate risk non-muscle invasive bladder cancer, or low-grade intermediate risk NMIBC, respectively. In addition, our immuno-uro-oncology pipeline includes UGN-301 (zalifrelimab), an anti-CTLA-4 antibody, which we intend to study as a combination therapy with multiple potential agents.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00"/>
        <w:spacing w:after="0" w:line="281" w:lineRule="auto"/>
        <w:rPr>
          <w:sz w:val="20"/>
          <w:szCs w:val="20"/>
          <w:color w:val="auto"/>
        </w:rPr>
      </w:pPr>
      <w:r>
        <w:rPr>
          <w:rFonts w:ascii="Times New Roman" w:cs="Times New Roman" w:eastAsia="Times New Roman" w:hAnsi="Times New Roman"/>
          <w:sz w:val="17"/>
          <w:szCs w:val="17"/>
          <w:color w:val="auto"/>
        </w:rPr>
        <w:t>We were incorporated under the laws of the State of Israel in April 2004 under the name TheraCoat Ltd. In September 2015, we changed our name to UroGen Pharma Ltd. Our principal executive offices are located at 400 Alexander Park Drive, 4th Floor, Princeton, NJ 08540 and our telephone number is +1 (646) 768-9780. Our website address is http://www.urogen.com. The information contained on, or that can be accessed through, our website is not incorporated by reference into this prospectus. We have included our website address as an inactive textual reference only.</w:t>
      </w:r>
    </w:p>
    <w:p>
      <w:pPr>
        <w:spacing w:after="0" w:line="164" w:lineRule="exact"/>
        <w:rPr>
          <w:sz w:val="20"/>
          <w:szCs w:val="20"/>
          <w:color w:val="auto"/>
        </w:rPr>
      </w:pPr>
    </w:p>
    <w:p>
      <w:pPr>
        <w:ind w:left="300" w:right="140"/>
        <w:spacing w:after="0" w:line="282" w:lineRule="auto"/>
        <w:rPr>
          <w:sz w:val="20"/>
          <w:szCs w:val="20"/>
          <w:color w:val="auto"/>
        </w:rPr>
      </w:pPr>
      <w:r>
        <w:rPr>
          <w:rFonts w:ascii="Times New Roman" w:cs="Times New Roman" w:eastAsia="Times New Roman" w:hAnsi="Times New Roman"/>
          <w:sz w:val="18"/>
          <w:szCs w:val="18"/>
          <w:color w:val="auto"/>
        </w:rPr>
        <w:t>Urogen Pharma, Inc., our wholly owned subsidiary, was incorporated under the laws of the State of Delaware in October 2015 and is qualified to do business in New York and California.</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We may offer shares of our ordinary shares, various series of debt securities and warrants to purchase any of such securities, up to a total aggregate offering price of $250,000,000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93" w:lineRule="exact"/>
        <w:rPr>
          <w:sz w:val="20"/>
          <w:szCs w:val="20"/>
          <w:color w:val="auto"/>
        </w:rPr>
      </w:pPr>
    </w:p>
    <w:p>
      <w:pPr>
        <w:ind w:left="1240" w:hanging="415"/>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3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0"/>
          </w:cols>
          <w:pgMar w:left="320" w:top="455" w:right="6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443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998970" cy="44443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or sinking fund terms;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and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80" w:lineRule="exact"/>
        <w:rPr>
          <w:sz w:val="20"/>
          <w:szCs w:val="20"/>
          <w:color w:val="auto"/>
        </w:rPr>
      </w:pPr>
    </w:p>
    <w:p>
      <w:pPr>
        <w:jc w:val="both"/>
        <w:ind w:left="300" w:right="120"/>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or agents;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33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320" w:top="455" w:right="6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risks. Prior to making a decision about investing in our securities, you should carefully consider the specific risks discussed under “Risk Factors” in any applicable prospectus supplement and in our filings with the SEC incorporated by reference in this prospectus, together with all of the other information contained in this prospectus and any applicable prospectus supplement or incorporated by reference in this prospectus. The risks and uncertainties described in any applicable prospectus supplement and in our SEC filings are not the only ones facing us. Additional risks and uncertainties not presently known to us, or that we currently see as immaterial, may also harm our business. If any of the risks or uncertainties described in any applicable prospectus supplement or our SEC filings or any such additional risks and uncertainties actually occur, our business, results of operations and financial condition could be materially and adversely affected. In that case, the market value and/or trading price, as applicable, of our securities could decline, and you might lose all or part of your investment.</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 incorporated by reference from our most recent Annual Report on Form 10-K and our most recent Quarterly Report on Form 10-Q, as well as any amendments thereto, filed with the SEC.</w:t>
      </w:r>
    </w:p>
    <w:p>
      <w:pPr>
        <w:spacing w:after="0" w:line="18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“anticipate,” “believe,” “could,” “estimate,” “expects,” “intend,” “may,” “plan,” “potential,” “predict,” “project,” “should,” “will,” “would” or the negative or plural of those terms, and similar expressions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 These statements reflect our views as of the date on which they were made with respect to future events and are based on assumptions and subject to risks and uncertainties. The underlying information and expectations are likely to change over time.</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Any statements in this prospectus, or incorporated herein by reference, about our expectations, beliefs, plans, objectives, assumptions or future events or performance are not historical facts and are forward-looking statements. Within the meaning of Section 27A of the Securities Act and Section 21E of the Exchange Act these forward-looking statements include statements regarding:</w:t>
      </w:r>
    </w:p>
    <w:p>
      <w:pPr>
        <w:spacing w:after="0" w:line="81" w:lineRule="exact"/>
        <w:rPr>
          <w:sz w:val="20"/>
          <w:szCs w:val="20"/>
          <w:color w:val="auto"/>
        </w:rPr>
      </w:pPr>
    </w:p>
    <w:p>
      <w:pPr>
        <w:ind w:left="1080" w:right="4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clinical trials of UGN-102 and our other product candidates, including statements regarding the timing, progress and results of current and future nonclinical studies and clinical trials, and our research and development programs;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utility, potential advantages and timing or likelihood of regulatory filings and approvals of UGN-102 and our other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timing for application for and receipt of regulatory approval for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planned discovery and development of our product candidates, including UGN-201 and UGN-301;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growth, including our ability to develop, and obtain regulatory approval for, new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adequate intellectual property rights and adequately protect and enforce such rights;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collaborations and licensing arrangements and enter into and maintain other collaborations, licensing arrangements, or in-license or acquire rights to other products, product candidates or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in-line and investigational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commercial potential and market opportunity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the need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research and development expenses as we continue developing investigational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5291455</wp:posOffset>
            </wp:positionH>
            <wp:positionV relativeFrom="paragraph">
              <wp:posOffset>-2562225</wp:posOffset>
            </wp:positionV>
            <wp:extent cx="285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nonclinical and clinical development of licensed products, including the sequential use of UGN-201 and UGN-301, and their commercial opportunity;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level of capital expenditures and the sufficiency of our capital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 including our expected use of the net proceeds from any offering under this prospectus;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We qualify all of the forward-looking statements contained in this prospectus, in the documents incorporated by reference herein and in any prospectus supplement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herein or incorporated by reference, in addition to the other information set forth in this prospectus, any accompanying prospectus supplement or free writing prospectus and in the documents incorporated by reference.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Except as described in any prospectus supplement or in any related free writing prospectus that we may authorize to be provided to you, we currently intend to use the net proceeds from the sale of securities under this prospectus for working capital and general corporate purposes, which may include sales and marketing costs for </w:t>
      </w:r>
      <w:r>
        <w:rPr>
          <w:rFonts w:ascii="Times New Roman" w:cs="Times New Roman" w:eastAsia="Times New Roman" w:hAnsi="Times New Roman"/>
          <w:sz w:val="18"/>
          <w:szCs w:val="18"/>
          <w:i w:val="1"/>
          <w:iCs w:val="1"/>
          <w:color w:val="auto"/>
        </w:rPr>
        <w:t>Jelmyto</w:t>
      </w:r>
      <w:r>
        <w:rPr>
          <w:rFonts w:ascii="Times New Roman" w:cs="Times New Roman" w:eastAsia="Times New Roman" w:hAnsi="Times New Roman"/>
          <w:sz w:val="18"/>
          <w:szCs w:val="18"/>
          <w:color w:val="auto"/>
        </w:rPr>
        <w:t>, continued clinical development of UGN-102 and UGN-301, and research and development for product candidates in our pipeline or future product candidates, in addition to other capital expenditures and general and administrative expenses. We may also use a portion of the net proceeds to in-license, invest in or acquire businesses, assets or technologies that we believe are complementary to our own, although we have no current plans, commitments or agreements with respect to any acquisitions. As of the date of this prospectus, we cannot specify with certainty all of the particular uses of the net proceeds from the sale of securities under this prospectus. Accordingly, we will retain broad discretion over the use of such proceeds. Pending the use of the net proceeds from the sale of securities under this prospectus as described above, we intend to invest the net proceeds in investment-grade, interest-bearing instruments.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following descriptions of our share capital and provisions of our amended and restated articles of association are summaries and do not purport to be complete. Our amended and restated articles of incorporation are filed with the SEC as an exhibit to our registration statement, of which this prospectus forms a part.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authorized share capital consists of 100,000,000 ordinary shares, par value NIS 0.01 per share. Our ordinary shares are not redeemable and do not have any preemptive rights.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ordinary shares have identical voting and other rights in all respects.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Number and Purpose of the Company</w:t>
      </w:r>
    </w:p>
    <w:p>
      <w:pPr>
        <w:spacing w:after="0" w:line="121"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Our registration number with the Israeli Registrar of Companies is 513537621. Our purpose as set forth in our amended and restated articles of association is to engage in any lawful activity.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121"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Our ordinary shares do not have cumulative voting rights for the election of directors. As a result, the holders of a majority of the voting power represented at a meeting of shareholders have the power to elect all of our directors.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Under our amended and restated articles of association, our board of directors must consist of at least five and not more than nine directors. Our board of directors consists of eight directors.</w:t>
      </w:r>
    </w:p>
    <w:p>
      <w:pPr>
        <w:spacing w:after="0" w:line="16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Pursuant to our amended and restated articles of association, each of our directors is appointed by a simple majority vote of holders of our ordinary shares, participating and voting at an annual general meeting of our shareholders. Each director serves until the next annual general meeting following his or her election and his or her successor is duly elected and qualified or until his or her earlier death, resignation or removal by a vote of the majority of the aggregate voting power of the Company at a general meeting of our shareholders or until his or her office expires by operation of law. In addition, our amended and restated articles of association allow our board of directors to appoint directors to fill vacancies on the board of directors, including filling empty board seats up to the maximum number of directors permitted under our articles of association, to serve until the next annual general meeting of shareholders. Our amended and restated articles of association do not have a retirement age requirement for our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and Liquidation Rights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extraordinary meetings. Our board of directors may call extraordinary meetings whenever it sees fit, at such time and place, within or outside of Israel, as it may determine. In addition, the Israeli Companies Law provides that our board of directors is required to convene an extraordinary meeting upon the written request of (i) any two or more of our directors or one-quarter or more of the members of our board of directors, or (ii) one or more shareholders holding, in the aggregate, either (a) 5% or more of our outstanding issued shares and 1% of our outstanding voting power, or (b) 5% or more of our outstanding voting power.</w:t>
      </w:r>
    </w:p>
    <w:p>
      <w:pPr>
        <w:spacing w:after="0" w:line="18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8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our articles of association;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or termination of our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external directors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certain related party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our authorized share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and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The Israeli Companies Law requires that a notice of any annual general meeting or extraordinary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Israeli Companies Law, shareholders of a public company are not permitted to take action by way of written consent in lieu of a meeting.</w:t>
      </w:r>
    </w:p>
    <w:p>
      <w:pPr>
        <w:spacing w:after="0" w:line="225"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Under Israeli Companies Law, whenever we cannot convene or conduct a general meeting in the manner prescribed under the law or our articles of association, the court may, upon our, shareholders’ or directors’ request, order that we convene and conduct a general meeting in the manner the court deems appropriate.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p>
      <w:pPr>
        <w:spacing w:after="0" w:line="121" w:lineRule="exact"/>
        <w:rPr>
          <w:sz w:val="20"/>
          <w:szCs w:val="20"/>
          <w:color w:val="auto"/>
        </w:rPr>
      </w:pPr>
    </w:p>
    <w:p>
      <w:pPr>
        <w:ind w:left="120" w:right="100"/>
        <w:spacing w:after="0" w:line="236" w:lineRule="auto"/>
        <w:rPr>
          <w:sz w:val="20"/>
          <w:szCs w:val="20"/>
          <w:color w:val="auto"/>
        </w:rPr>
      </w:pPr>
      <w:r>
        <w:rPr>
          <w:rFonts w:ascii="Times New Roman" w:cs="Times New Roman" w:eastAsia="Times New Roman" w:hAnsi="Times New Roman"/>
          <w:sz w:val="18"/>
          <w:szCs w:val="18"/>
          <w:color w:val="auto"/>
        </w:rPr>
        <w:t>Pursuant to our amended and restated articles of association, holders of our ordinary shares have one vote for each ordinary share held on all matters submitted to a vote before the shareholders at a general meeting. Pursuant to our amended and restated articles of association, the quorum required for our general meetings of shareholders consists of at least two shareholders present in person, by proxy or by other voting instrument in accordance with the Israeli Companies Law who hold or represent between them at least 33</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total outstanding voting rights. A meeting adjourned for lack of a quorum is generally adjourned to the same day in the following week at the same time and place or to a later time or date if so specified in the notice of the meeting. At the reconvened meeting, any two or more shareholders present in person or by proxy shall constitute a lawful quorum.</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Vote Requirements</w:t>
      </w:r>
    </w:p>
    <w:p>
      <w:pPr>
        <w:spacing w:after="0" w:line="121"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association provide that all resolutions of our shareholders require a simple majority vote, unless otherwise required by the Israeli Companies Law or by our amended and restated articles of association.</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adopted an amended and restated compensation policy regarding the terms of engagement of office holders, which our shareholders approved on June 3, 2019. The compensation policy is valid for a period of five years. Renewal or amendment of the compensation policy is subject to shareholder approval. Even if our shareholders do not approve the compensation policy, our board of directors may resolve to approve the compensation policy if and to the extent the board determines, in its judgment following internal discussions, that approval of the compensation policy is in the best interests of the Company.</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Renewing or amending the compensation policy requires the recommendation to our board of directors by the compensation committee. Thereafter our board of directors, after considering the recommendations of the compensation committee, need to approve the compensation policy, and will further need to be approved by our shareholders, which we refer to as a Special Majority Approval for Compensation. A Special Majority Approval for Compensation requires shareholder approval by a majority vote of the shares present and voting at a meeting of shareholders called for such purpose, provided that either: (i) such majority includes at least a majority of the shares held by all shareholders who are not controlling shareholders and do not have a personal interest in such compensation arrangement, excluding abstentions; or (ii) the total number of shares of non-controlling shareholders and shareholders who do not have a personal interest in the compensation arrangement and who vote against the arrangement does not exceed 2% of the Company’s aggregate voting rights.</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Israeli Companies Law requires that an office holder promptly disclose to our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action or transaction of a company, including a personal interest of such person’s relative or of a corporate body in which such person or a relative of such person is a 5% or greater shareholder, director or chief executive officer or in which he or she has the right to appoint at least one director or the chief executive officer, but excluding a personal interest stemming from one’s ownership of shares in the Company.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 personal interest also includes the personal interest of a person for whom the office holder holds a voting proxy or the personal interest of the office holder with respect to his or her vote on behalf of a person for whom he or she holds a proxy even if such person has no personal interest in the matter. An office holder is not, however, required to disclose a personal interest if it derives solely from the personal interest of his or her relative in a transaction that is not considered an extraordinary transaction. Under the Israeli Companies Law, an “extraordinary transaction” is defined as any of the following:</w:t>
      </w:r>
    </w:p>
    <w:p>
      <w:pPr>
        <w:spacing w:after="0" w:line="89"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other than in the ordinary course of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is not on market terms;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that may have a material impact on a company’s profitability, assets or liabilities.</w:t>
      </w:r>
    </w:p>
    <w:p>
      <w:pPr>
        <w:spacing w:after="0" w:line="225"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Company’s interest or that is not performed by the office holder in good faith.</w:t>
      </w:r>
    </w:p>
    <w:p>
      <w:pPr>
        <w:spacing w:after="0" w:line="183" w:lineRule="exact"/>
        <w:rPr>
          <w:sz w:val="20"/>
          <w:szCs w:val="20"/>
          <w:color w:val="auto"/>
        </w:rPr>
      </w:pPr>
    </w:p>
    <w:p>
      <w:pPr>
        <w:ind w:left="120" w:right="940"/>
        <w:spacing w:after="0" w:line="282" w:lineRule="auto"/>
        <w:rPr>
          <w:sz w:val="20"/>
          <w:szCs w:val="20"/>
          <w:color w:val="auto"/>
        </w:rPr>
      </w:pPr>
      <w:r>
        <w:rPr>
          <w:rFonts w:ascii="Times New Roman" w:cs="Times New Roman" w:eastAsia="Times New Roman" w:hAnsi="Times New Roman"/>
          <w:sz w:val="18"/>
          <w:szCs w:val="18"/>
          <w:color w:val="auto"/>
        </w:rPr>
        <w:t>An extraordinary transaction in which an office holder has a personal interest requires approval first by the Company’s audit committee and subsequently by the board of directors.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compensation of, or an undertaking to indemnify or insure, an office holder who is not a director generally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Majority Approval for Compensation. If the shareholders of a company do not approve the compensation terms of office holders at a meeting of the shareholders, other than directors, the compensation committee and board of directors may override the shareholders’ decision, subject to certain conditions. Arrangements regarding the compensation, indemnification or insurance of a director require the approval of the compensation committee, board of directors and shareholders by simple majority, in that order, and under certain circumstances, a Special Majority Approval for Compensation.</w:t>
      </w:r>
    </w:p>
    <w:p>
      <w:pPr>
        <w:spacing w:after="0" w:line="19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Generally, a person who has a personal interest in a matter which is considered at a meeting of the board of directors or the audit committee may not be present at such a meeting or vote on that matter unless the chairman of the audit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 our amended and restated articles of association, (i) the removal of a director from office requires the adoption of a resolution at a general meeting of shareholders by a majority of the aggregate voting rights of the Company, and (ii)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83"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Further exceptions to the simple majority vote requirement are a resolution for the voluntary winding up, or an approval of a scheme of arrangement or reorganization, of the Company pursuant to Section 350 of the Israeli Companies Law, that governs the settlement of debts and reorganization of a company, which requires the approval of holders of 75% of the voting rights represented at the meeting and voting on the resolution.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do not have any controlling shareholder. Under the Israeli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requires the approval of the audit committee, the board of directors and the shareholders of the Company, in that order, is required for (i) extraordinary transactions with a controlling shareholder or in which a controlling shareholder has a personal interest, (ii) the engagement with a controlling shareholder or his or her relative, directly or indirectly, for the provision of services to the Company, (iii) the terms of engagement and compensation of a controlling shareholder or his or her relative who is not an office holder or (iv) the employment of a controlling shareholder or his or her relative by the Company, other than as an office holder. In addition, the shareholder approval requires one of the following, which we refer to as a Special Majority:</w:t>
      </w:r>
    </w:p>
    <w:p>
      <w:pPr>
        <w:spacing w:after="0" w:line="97" w:lineRule="exact"/>
        <w:rPr>
          <w:sz w:val="20"/>
          <w:szCs w:val="20"/>
          <w:color w:val="auto"/>
        </w:rPr>
      </w:pPr>
    </w:p>
    <w:p>
      <w:pPr>
        <w:ind w:left="1080" w:right="3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voted against the transaction by shareholders who have no personal interest in the transaction and who are present and voting at the meeting do not exceed 2% of the aggregate voting rights in the Company.</w:t>
      </w:r>
    </w:p>
    <w:p>
      <w:pPr>
        <w:spacing w:after="0" w:line="16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To the extent that any such transaction with a controlling shareholder is for a period extending beyond three years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w:t>
      </w:r>
    </w:p>
    <w:p>
      <w:pPr>
        <w:spacing w:after="0" w:line="162"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Pursuant to regulations promulgated under the Israeli Companies Law, certain transactions with a controlling shareholder or his or her relative, or with directors or other office holders, that would otherwise require approval of a company’s shareholders may be exempt from shareholder approval under certain conditions.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Access to Corporate Records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Class Rights</w:t>
      </w:r>
    </w:p>
    <w:p>
      <w:pPr>
        <w:spacing w:after="0" w:line="121"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Under the Israeli Companies Law and our amended and restated articles of association, 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Acquisitions under Israeli Law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 Tender Offer</w:t>
      </w:r>
    </w:p>
    <w:p>
      <w:pPr>
        <w:spacing w:after="0" w:line="121"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A person wishing to acquire shares of an Israeli public company and who would as a result hold over 90% of the target company’s issued and outstanding share capital is required by the Israeli Companies Law to make a tender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8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(i) the shareholders who did not respond to or accept the tender offer hold at least 5% of the issued and outstanding share capital of the Company or of the applicable class or the shareholders who accept the offer constitute less than a majority of the offerees that do not have a personal interest in the acceptance of the tender offer, or (ii) the shareholders who did not accept the tender offer hold 2% or more of the issued and outstanding share capital of the Company (or of the applicable class), the acquirer may not acquire shares from shareholders who accepted the tender offer that will increase its holdings to more than 90% of the Company’s issued and outstanding share capital or of the applicable class.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Tender Offer</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Israeli Companies Law provides that, subject to certain exceptions,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subject to certain exceptions,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 special tender offer must be extended to all shareholders of a company.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offeror, controlling shareholders, holders of 25% or more of the voting rights in the Company or any person having a personal interest in the acceptance of the tender offer or any of their relatives or any entity controlled by them).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tender offer rules under the Israeli Companies Law, will have no rights and will become dormant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Israeli Companies Law permits merger transactions if approved by each party’s board of directors and, unless certain requirements described under the Israeli Companies Law are met, by a majority vote of each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party’s shareholders. In the case of the target company, approval of the merger further requires a majority vote of each class of its shares.</w:t>
      </w:r>
    </w:p>
    <w:p>
      <w:pPr>
        <w:spacing w:after="0" w:line="22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8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80" w:lineRule="exact"/>
        <w:rPr>
          <w:sz w:val="20"/>
          <w:szCs w:val="20"/>
          <w:color w:val="auto"/>
        </w:rPr>
      </w:pPr>
    </w:p>
    <w:p>
      <w:pPr>
        <w:ind w:left="120" w:right="500"/>
        <w:spacing w:after="0" w:line="266" w:lineRule="auto"/>
        <w:rPr>
          <w:sz w:val="20"/>
          <w:szCs w:val="20"/>
          <w:color w:val="auto"/>
        </w:rPr>
      </w:pPr>
      <w:r>
        <w:rPr>
          <w:rFonts w:ascii="Times New Roman" w:cs="Times New Roman" w:eastAsia="Times New Roman" w:hAnsi="Times New Roman"/>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Measures under Israeli Law</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As of the date of this prospectus,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and voting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121"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8"/>
          <w:szCs w:val="18"/>
          <w:color w:val="auto"/>
        </w:rPr>
        <w:t>Our amended and restated articles of association enable us to increase or reduce our share capital. Any such changes are subject to the provisions of the Israeli Companies Law and must be approved by a resolution duly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ordinary shares is Computershare Trust Company, N.A. Its address is 250 Royall Street, Canton, MA 02021. Its telephone number is +1 (201) 680-4503.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ordinary shares are listed on Nasdaq under the symbol “URGN.”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16</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ordinary shares or our other securities. We will include provisions as to settlement upon conversion or exchange and whether conversion or exchange is mandatory, at the option of the holder or at our option. We may include provisions pursuant to which the number of our ordinary shares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0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320" w:top="455" w:right="5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the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0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of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60"/>
          </w:cols>
          <w:pgMar w:left="320" w:top="455"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in any related free writing prospectus that we may authorize to be distributed to you, summarizes the material terms and provisions of the warrants that we may offer under this prospectus, which may consist of warrants to purchase ordinary shares or debt securities and may be issued in one or more series. Warrants may be offered and issued independently or in combination with ordinary shares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contains the terms of the particular series of warrants we are offering, as well as any supplemental agreements, before the issuance of such warrants. The following summaries of material terms and provisions of the warrants are subject to, and qualified in their entirety by reference to, all the provisions of the form of warrant 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or the warrant agreement and warrant certificate, as applicable, and any supplemental agreements, that contain the terms of the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applicable prospectus supplement, we will describe the terms of the series of warrants being offered, including, to the extent applicable:</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or prices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ordinary shares, the number of ordinary shares purchasable upon the exercise of one warrant and the price at which, and the currency in which, these shares may be purchased 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force the exercise of the warrants;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or special Israeli and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on such exercise, including:</w:t>
      </w:r>
    </w:p>
    <w:p>
      <w:pPr>
        <w:spacing w:after="0" w:line="131" w:lineRule="exact"/>
        <w:rPr>
          <w:sz w:val="20"/>
          <w:szCs w:val="20"/>
          <w:color w:val="auto"/>
        </w:rPr>
      </w:pPr>
    </w:p>
    <w:p>
      <w:pPr>
        <w:ind w:left="1080" w:right="1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ordinary shares, the right to receive dividends, if any, or, payments upon our liquidation, dissolution or winding up or to exercise voting rights, if any;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described in the prospectus supplement relating to the warrants offered. Unless we otherwise specify in the applicable prospectus supplement, warrants may be exercised at any time up to the expiration date that we list in the applicable prospectus supplement. After the close of business on the expiration date, unexercised warrants will become void.</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if any, or any other office, including ours, indicated in the applicable prospectus supplement, we will issue and deliver the securities purchasable 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warrants and warrant agreements will be governed by and construed in accordance with the laws of the State of New York.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40"/>
          </w:cols>
          <w:pgMar w:left="320" w:top="455" w:right="5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jc w:val="both"/>
        <w:ind w:left="120" w:right="6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 global security may be terminated in certain situations as described below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DTC, New York, New York, will be the depositary for all securities issued in book-entry form.</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the global security, nor will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the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131" w:lineRule="exact"/>
        <w:rPr>
          <w:sz w:val="20"/>
          <w:szCs w:val="20"/>
          <w:color w:val="auto"/>
        </w:rPr>
      </w:pPr>
    </w:p>
    <w:p>
      <w:pPr>
        <w:ind w:left="1080" w:right="2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320" w:top="455" w:right="6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 under the Securities 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offering may be made into an existing trading market for such securities in transactions at other than a fixed price, either:</w:t>
      </w:r>
    </w:p>
    <w:p>
      <w:pPr>
        <w:spacing w:after="0" w:line="112" w:lineRule="exact"/>
        <w:rPr>
          <w:sz w:val="20"/>
          <w:szCs w:val="20"/>
          <w:color w:val="auto"/>
        </w:rPr>
      </w:pPr>
    </w:p>
    <w:p>
      <w:pPr>
        <w:ind w:left="1080" w:right="34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Nasdaq or any other securities exchange or quotation or trading service on which such securities may be listed, quoted or traded at the time of sale; and/or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on Nasdaq or such other securities exchanges or quotation or trading services.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at the market offerings, if any, may be conducted by underwriters acting as principal or agent.</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225"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81" w:lineRule="auto"/>
        <w:rPr>
          <w:sz w:val="20"/>
          <w:szCs w:val="20"/>
          <w:color w:val="auto"/>
        </w:rPr>
      </w:pPr>
      <w:r>
        <w:rPr>
          <w:rFonts w:ascii="Times New Roman" w:cs="Times New Roman" w:eastAsia="Times New Roman" w:hAnsi="Times New Roman"/>
          <w:sz w:val="17"/>
          <w:szCs w:val="17"/>
          <w:color w:val="auto"/>
        </w:rPr>
        <w:t>prospectus supplement. Unless the prospectus supplement states otherwise, our agent will act on a best-efforts basis for the period of its appointment. 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4"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76"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All securities we offer, other than ordinary shares,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8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Any underwriters who are qualified market makers on Nasdaq may engage in passive market making transactions in the securities on Nasdaq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60"/>
          </w:cols>
          <w:pgMar w:left="320" w:top="455" w:right="5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State of Israel. Service of process upon us and upon our directors and officers and the Israeli experts named in this registration statement, some of whom reside outside of the United States, may be difficult to obtain within the United States. Furthermore, because substantially all of our assets are located outside of the United States, any judgment obtained in the United States against us or any of our directors and officers may not be collectible within the United States.</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have been informed by our legal counsel in Israel, Erdinast, Ben Nathan, Toledano &amp; Co. with Hamburger Evron, that it may be difficult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 consuming and costly process. Certain matters of procedure will also be governed by Israeli law.</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have irrevocably appointed Urogen Pharma, Inc. as our agent to receive service of process in any action against us in any U.S. federal or state court arising out of the offerings under this prospectus or any purchase or sale of securities in connection with any such offerings. Subject to specified time limitations and legal procedures, Israeli courts may enforce a U.S. judgment in a civil matter which, subject to certain exceptions, is non-appealable, including a judgment based upon the civil liability provisions of the Securities Act and the Exchange Act and including a monetary or compensatory judgment in a non-civil matter, provided that among other things:</w:t>
      </w:r>
    </w:p>
    <w:p>
      <w:pPr>
        <w:spacing w:after="0" w:line="89" w:lineRule="exact"/>
        <w:rPr>
          <w:sz w:val="20"/>
          <w:szCs w:val="20"/>
          <w:color w:val="auto"/>
        </w:rPr>
      </w:pPr>
    </w:p>
    <w:p>
      <w:pPr>
        <w:ind w:left="1080" w:right="5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obtained after due process before a court of competent jurisdiction, according to the laws of the state in which the judgment was given and the rules of private international law currently prevailing in Israel;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law of the foreign state in which the judgment was rendered allows for the enforcement of judgments of Israeli courts;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service of process has been effected and the defendant has had a reasonable opportunity to be heard and to present his or her evidence;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contrary to public policy of Israel, and the enforcement of the civil liabilities set forth in the judgment is not likely to impair the security or sovereignty of Israel;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by fraud and does not conflict with any other valid judgments in the same matter between the same parties;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between the same parties in the same matter is not pending in any Israeli court at the time the lawsuit is instituted in the foreign court;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enforceable according to the laws of Israel and according to the law of the foreign state in which the relief was granted.</w:t>
      </w:r>
    </w:p>
    <w:p>
      <w:pPr>
        <w:spacing w:after="0" w:line="225"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If a foreign judgment is enforced by an Israeli court, it generally will be payable in Israeli currency, which can then be converted into non-Israeli currency and transferred out of Israel. Under existing Israeli law, a foreign judgment payable in foreign currency may be paid in Israeli currency at the rate of exchange in force on the date of the payment. Current Israeli exchange control regulations also permit a judgment debtor to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Certain legal matters with respect to the validity of the issuance of the securities offered by this prospectus and certain other matters of Israeli law will be passed upon for us by Erdinast, Ben Nathan, Toledano &amp; Co. with Hamburger Evron, Tel Aviv, Israel. As of the date of this prospectus, certain partners at Erdinast, Ben Nathan, Toledano &amp; Co. with Hamburger Evron beneficially own an aggregate of 39,011 of our ordinary shares. Certain matters of U.S. law will be passed upon for us by Cooley LLP, New York, NY.</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cover of this prospectus, regardless of the time of delivery of this prospectus or any sale of the securities offered by this prospectus.</w:t>
      </w:r>
    </w:p>
    <w:p>
      <w:pPr>
        <w:spacing w:after="0" w:line="18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reports, proxy and information statements and other information regarding issuers that file electronically with the SEC, including UroGen Pharma. The address of the SEC website is www.sec.gov.</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maintain a website at www.urogen.com. Information contained in or accessible through our website does not constitute a part of this prospectus.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information incorporated by reference is considered to be a part of this prospectus, and the information that we file later with the SEC will automatically update and, where applicable, supersede the information already incorporated by reference.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document:</w:t>
      </w:r>
    </w:p>
    <w:p>
      <w:pPr>
        <w:spacing w:after="0" w:line="131" w:lineRule="exact"/>
        <w:rPr>
          <w:sz w:val="20"/>
          <w:szCs w:val="20"/>
          <w:color w:val="auto"/>
        </w:rPr>
      </w:pPr>
    </w:p>
    <w:p>
      <w:pPr>
        <w:ind w:left="5540" w:right="1900" w:hanging="4884"/>
        <w:spacing w:after="0" w:line="454" w:lineRule="auto"/>
        <w:tabs>
          <w:tab w:leader="none" w:pos="10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21, 2022; 32</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66" w:lineRule="auto"/>
        <w:tabs>
          <w:tab w:leader="none" w:pos="1080" w:val="left"/>
        </w:tabs>
        <w:numPr>
          <w:ilvl w:val="0"/>
          <w:numId w:val="5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1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2021 from our Definitive Proxy Statement on </w:t>
      </w:r>
      <w:hyperlink r:id="rId117">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May 2, 2022 and Definitive Additional Materials on </w:t>
      </w:r>
      <w:hyperlink r:id="rId118">
        <w:r>
          <w:rPr>
            <w:rFonts w:ascii="Times New Roman" w:cs="Times New Roman" w:eastAsia="Times New Roman" w:hAnsi="Times New Roman"/>
            <w:sz w:val="18"/>
            <w:szCs w:val="18"/>
            <w:u w:val="single" w:color="auto"/>
            <w:color w:val="0000EE"/>
          </w:rPr>
          <w:t>Schedule A14A</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SEC on May 17, 2022;</w:t>
      </w:r>
    </w:p>
    <w:p>
      <w:pPr>
        <w:spacing w:after="0" w:line="81" w:lineRule="exact"/>
        <w:rPr>
          <w:rFonts w:ascii="Times New Roman" w:cs="Times New Roman" w:eastAsia="Times New Roman" w:hAnsi="Times New Roman"/>
          <w:sz w:val="18"/>
          <w:szCs w:val="18"/>
          <w:color w:val="0000EE"/>
        </w:rPr>
      </w:pPr>
    </w:p>
    <w:p>
      <w:pPr>
        <w:ind w:left="1080" w:right="1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119">
        <w:r>
          <w:rPr>
            <w:rFonts w:ascii="Times New Roman" w:cs="Times New Roman" w:eastAsia="Times New Roman" w:hAnsi="Times New Roman"/>
            <w:sz w:val="18"/>
            <w:szCs w:val="18"/>
            <w:u w:val="single" w:color="auto"/>
            <w:color w:val="0000EE"/>
          </w:rPr>
          <w:t>March 31, 2022</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EE"/>
          </w:rPr>
          <w:t>June 30,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21">
        <w:r>
          <w:rPr>
            <w:rFonts w:ascii="Times New Roman" w:cs="Times New Roman" w:eastAsia="Times New Roman" w:hAnsi="Times New Roman"/>
            <w:sz w:val="18"/>
            <w:szCs w:val="18"/>
            <w:u w:val="single" w:color="auto"/>
            <w:color w:val="0000EE"/>
          </w:rPr>
          <w:t>September 30, 2022</w:t>
        </w:r>
      </w:hyperlink>
      <w:r>
        <w:rPr>
          <w:rFonts w:ascii="Times New Roman" w:cs="Times New Roman" w:eastAsia="Times New Roman" w:hAnsi="Times New Roman"/>
          <w:sz w:val="18"/>
          <w:szCs w:val="18"/>
          <w:color w:val="auto"/>
        </w:rPr>
        <w:t>, filed with the SEC on May 10, 2022, August 11, 2022 and November 10, 2022 respectively;</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7"/>
        </w:numPr>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8,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13,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September 12,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w:t>
        </w:r>
      </w:hyperlink>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0000EE"/>
          </w:rPr>
          <w:t>21, 2022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23">
        <w:r>
          <w:rPr>
            <w:rFonts w:ascii="Times New Roman" w:cs="Times New Roman" w:eastAsia="Times New Roman" w:hAnsi="Times New Roman"/>
            <w:sz w:val="18"/>
            <w:szCs w:val="18"/>
            <w:u w:val="single" w:color="auto"/>
            <w:color w:val="0000EE"/>
          </w:rPr>
          <w:t xml:space="preserve">November 9, 2022 </w:t>
        </w:r>
      </w:hyperlink>
      <w:hyperlink r:id="rId122">
        <w:r>
          <w:rPr>
            <w:rFonts w:ascii="Times New Roman" w:cs="Times New Roman" w:eastAsia="Times New Roman" w:hAnsi="Times New Roman"/>
            <w:sz w:val="18"/>
            <w:szCs w:val="18"/>
            <w:color w:val="000000"/>
          </w:rPr>
          <w:t>to the extent the information in such reports is filed and not furnished; and</w:t>
        </w:r>
      </w:hyperlink>
    </w:p>
    <w:p>
      <w:pPr>
        <w:spacing w:after="0" w:line="67" w:lineRule="exact"/>
        <w:rPr>
          <w:rFonts w:ascii="Times New Roman" w:cs="Times New Roman" w:eastAsia="Times New Roman" w:hAnsi="Times New Roman"/>
          <w:sz w:val="18"/>
          <w:szCs w:val="18"/>
          <w:color w:val="0000EE"/>
        </w:rPr>
      </w:pPr>
    </w:p>
    <w:p>
      <w:pPr>
        <w:ind w:left="1080" w:right="8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124">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May 1, 2017, including any amendments or reports filed for the purposes of updating this description.</w:t>
      </w:r>
    </w:p>
    <w:p>
      <w:pPr>
        <w:spacing w:after="0" w:line="162" w:lineRule="exact"/>
        <w:rPr>
          <w:rFonts w:ascii="Times New Roman" w:cs="Times New Roman" w:eastAsia="Times New Roman" w:hAnsi="Times New Roman"/>
          <w:sz w:val="18"/>
          <w:szCs w:val="18"/>
          <w:color w:val="0000EE"/>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and (ii) after the date of this prospectus but prior to the termination of all offerings covered by this prospectus. These documents include periodic reports, such as Annual Reports on Form 10-K, Quarterly Reports on Form 10-Q and Current Reports on Form 8-K, as well as proxy statements.</w:t>
      </w:r>
    </w:p>
    <w:p>
      <w:pPr>
        <w:spacing w:after="0" w:line="187" w:lineRule="exact"/>
        <w:rPr>
          <w:rFonts w:ascii="Times New Roman" w:cs="Times New Roman" w:eastAsia="Times New Roman" w:hAnsi="Times New Roman"/>
          <w:sz w:val="18"/>
          <w:szCs w:val="18"/>
          <w:color w:val="0000EE"/>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62" w:lineRule="exact"/>
        <w:rPr>
          <w:rFonts w:ascii="Times New Roman" w:cs="Times New Roman" w:eastAsia="Times New Roman" w:hAnsi="Times New Roman"/>
          <w:sz w:val="18"/>
          <w:szCs w:val="18"/>
          <w:color w:val="0000EE"/>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on written or oral request, a copy of any or all of the documents incorporated by reference in this prospectus, including exhibits to these documents. You should direct any requests for documents, either in writing to UroGen Pharma Ltd., Attn: Chief Financial Officer, 400 Alexander Park Drive, 4th Floor, Princeton, NJ 08540 or by telephone at +1 (646) 768-9780.</w:t>
      </w:r>
    </w:p>
    <w:p>
      <w:pPr>
        <w:spacing w:after="0" w:line="112"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6995160" cy="342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1082675</wp:posOffset>
            </wp:positionV>
            <wp:extent cx="2743200" cy="771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27432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Ordinary Shares</w:t>
      </w:r>
    </w:p>
    <w:p>
      <w:pPr>
        <w:spacing w:after="0" w:line="36"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Pre-Funded Warrants to Purchase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802640</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580"/>
        <w:spacing w:after="0"/>
        <w:rPr>
          <w:sz w:val="20"/>
          <w:szCs w:val="20"/>
          <w:color w:val="auto"/>
        </w:rPr>
      </w:pPr>
      <w:r>
        <w:rPr>
          <w:rFonts w:ascii="Arial" w:cs="Arial" w:eastAsia="Arial" w:hAnsi="Arial"/>
          <w:sz w:val="14"/>
          <w:szCs w:val="14"/>
          <w:b w:val="1"/>
          <w:bCs w:val="1"/>
          <w:i w:val="1"/>
          <w:iCs w:val="1"/>
          <w:color w:val="auto"/>
        </w:rPr>
        <w:t>Joint Book-Running Managers</w:t>
      </w:r>
    </w:p>
    <w:p>
      <w:pPr>
        <w:sectPr>
          <w:pgSz w:w="11900" w:h="16838" w:orient="portrait"/>
          <w:cols w:equalWidth="0" w:num="1">
            <w:col w:w="10139"/>
          </w:cols>
          <w:pgMar w:left="320" w:top="455" w:right="1440" w:bottom="1440" w:gutter="0" w:footer="0" w:header="0"/>
        </w:sect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TD Cowen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Guggenheim Securities</w:t>
      </w:r>
    </w:p>
    <w:p>
      <w:pPr>
        <w:spacing w:after="0" w:line="200" w:lineRule="exact"/>
        <w:rPr>
          <w:sz w:val="20"/>
          <w:szCs w:val="20"/>
          <w:color w:val="auto"/>
        </w:rPr>
      </w:pPr>
    </w:p>
    <w:p>
      <w:pPr>
        <w:sectPr>
          <w:pgSz w:w="11900" w:h="16838" w:orient="portrait"/>
          <w:cols w:equalWidth="0" w:num="2">
            <w:col w:w="4140" w:space="720"/>
            <w:col w:w="5279"/>
          </w:cols>
          <w:pgMar w:left="320" w:top="455" w:right="1440" w:bottom="1440" w:gutter="0" w:footer="0" w:header="0"/>
          <w:type w:val="continuous"/>
        </w:sectPr>
      </w:pP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i w:val="1"/>
          <w:iCs w:val="1"/>
          <w:color w:val="auto"/>
        </w:rPr>
        <w:t>Lead Manager</w:t>
      </w:r>
    </w:p>
    <w:p>
      <w:pPr>
        <w:spacing w:after="0" w:line="196"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Oppenheimer &amp; Co.</w:t>
      </w:r>
    </w:p>
    <w:p>
      <w:pPr>
        <w:spacing w:after="0" w:line="227"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i w:val="1"/>
          <w:iCs w:val="1"/>
          <w:color w:val="auto"/>
        </w:rPr>
        <w:t>Co-Manager</w:t>
      </w:r>
    </w:p>
    <w:p>
      <w:pPr>
        <w:spacing w:after="0" w:line="196"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Ladenburg Thalmann</w:t>
      </w:r>
    </w:p>
    <w:p>
      <w:pPr>
        <w:sectPr>
          <w:pgSz w:w="11900" w:h="16838" w:orient="portrait"/>
          <w:cols w:equalWidth="0" w:num="1">
            <w:col w:w="10139"/>
          </w:cols>
          <w:pgMar w:left="320" w:top="4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June 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360680</wp:posOffset>
            </wp:positionV>
            <wp:extent cx="699516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1)"/>
      <w:numFmt w:val="lowerRoman"/>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upperLetter"/>
      <w:start w:val="1"/>
    </w:lvl>
  </w:abstractNum>
  <w:abstractNum w:abstractNumId="18">
    <w:nsid w:val="5C482A97"/>
    <w:multiLevelType w:val="hybridMultilevel"/>
    <w:lvl w:ilvl="0">
      <w:lvlJc w:val="left"/>
      <w:lvlText w:val="%1."/>
      <w:numFmt w:val="upperLetter"/>
      <w:start w:val="1"/>
    </w:lvl>
  </w:abstractNum>
  <w:abstractNum w:abstractNumId="19">
    <w:nsid w:val="2463B9EA"/>
    <w:multiLevelType w:val="hybridMultilevel"/>
    <w:lvl w:ilvl="0">
      <w:lvlJc w:val="left"/>
      <w:lvlText w:val="%1."/>
      <w:numFmt w:val="upperLetter"/>
      <w:start w:val="1"/>
    </w:lvl>
  </w:abstractNum>
  <w:abstractNum w:abstractNumId="20">
    <w:nsid w:val="5E884ADC"/>
    <w:multiLevelType w:val="hybridMultilevel"/>
    <w:lvl w:ilvl="0">
      <w:lvlJc w:val="left"/>
      <w:lvlText w:val="%1."/>
      <w:numFmt w:val="upperLetter"/>
      <w:start w:val="1"/>
    </w:lvl>
  </w:abstractNum>
  <w:abstractNum w:abstractNumId="21">
    <w:nsid w:val="51EAD36B"/>
    <w:multiLevelType w:val="hybridMultilevel"/>
    <w:lvl w:ilvl="0">
      <w:lvlJc w:val="left"/>
      <w:lvlText w:val="%1."/>
      <w:numFmt w:val="upperLetter"/>
      <w:start w:val="2"/>
    </w:lvl>
  </w:abstractNum>
  <w:abstractNum w:abstractNumId="22">
    <w:nsid w:val="2D517796"/>
    <w:multiLevelType w:val="hybridMultilevel"/>
    <w:lvl w:ilvl="0">
      <w:lvlJc w:val="left"/>
      <w:lvlText w:val="(%1)"/>
      <w:numFmt w:val="lowerRoman"/>
      <w:start w:val="1"/>
    </w:lvl>
  </w:abstractNum>
  <w:abstractNum w:abstractNumId="23">
    <w:nsid w:val="580BD78F"/>
    <w:multiLevelType w:val="hybridMultilevel"/>
    <w:lvl w:ilvl="0">
      <w:lvlJc w:val="left"/>
      <w:lvlText w:val="(%1)"/>
      <w:numFmt w:val="lowerRoman"/>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6"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jpe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6"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jpe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64" Type="http://schemas.openxmlformats.org/officeDocument/2006/relationships/hyperlink" Target="http://www.sec.gov/ix?doc=/Archives/edgar/data/1668243/000143774924007753/urgn20231231_10k.htm" TargetMode="External"/><Relationship Id="rId65" Type="http://schemas.openxmlformats.org/officeDocument/2006/relationships/hyperlink" Target="http://www.sec.gov/ix?doc=/Archives/edgar/data/1668243/000143774924013504/urgn20231231_10ka.htm" TargetMode="External"/><Relationship Id="rId67" Type="http://schemas.openxmlformats.org/officeDocument/2006/relationships/hyperlink" Target="http://www.sec.gov/ix?doc=/Archives/edgar/data/1668243/000143774924016116/urgn20240331_10q.htm" TargetMode="External"/><Relationship Id="rId68" Type="http://schemas.openxmlformats.org/officeDocument/2006/relationships/hyperlink" Target="http://www.sec.gov/ix?doc=/Archives/edgar/data/1668243/000119312524000244/d231255d8k.htm" TargetMode="External"/><Relationship Id="rId69" Type="http://schemas.openxmlformats.org/officeDocument/2006/relationships/hyperlink" Target="http://www.sec.gov/ix?doc=/Archives/edgar/data/1668243/000119312524009259/d731454d8k.htm" TargetMode="External"/><Relationship Id="rId70" Type="http://schemas.openxmlformats.org/officeDocument/2006/relationships/hyperlink" Target="http://www.sec.gov/ix?doc=/Archives/edgar/data/1668243/000119312524160413/d852084d8k.htm" TargetMode="External"/><Relationship Id="rId71" Type="http://schemas.openxmlformats.org/officeDocument/2006/relationships/hyperlink" Target="http://www.sec.gov/Archives/edgar/data/1668243/000156459020007970/urgn-ex42_412.htm" TargetMode="External"/><Relationship Id="rId72" Type="http://schemas.openxmlformats.org/officeDocument/2006/relationships/hyperlink" Target="http://www.sec.gov/ix?doc=/Archives/edgar/data/1668243/000156459020007970/urgn-10k_20191231.htm" TargetMode="External"/><Relationship Id="rId115" Type="http://schemas.openxmlformats.org/officeDocument/2006/relationships/hyperlink" Target="http://www.sec.gov/ix?doc=/Archives/edgar/data/0001668243/000143774922006778/urgn20211231_10k.htm" TargetMode="External"/><Relationship Id="rId117" Type="http://schemas.openxmlformats.org/officeDocument/2006/relationships/hyperlink" Target="http://www.sec.gov/Archives/edgar/data/1668243/000143774922010483/urgn20220426_def14a.htm" TargetMode="External"/><Relationship Id="rId118" Type="http://schemas.openxmlformats.org/officeDocument/2006/relationships/hyperlink" Target="http://www.sec.gov/Archives/edgar/data/1668243/000119312522152998/d337848ddefa14a.htm" TargetMode="External"/><Relationship Id="rId119" Type="http://schemas.openxmlformats.org/officeDocument/2006/relationships/hyperlink" Target="http://www.sec.gov/ix?doc=/Archives/edgar/data/0001668243/000143774922011618/urgn20220331_10q.htm" TargetMode="External"/><Relationship Id="rId120" Type="http://schemas.openxmlformats.org/officeDocument/2006/relationships/hyperlink" Target="http://www.sec.gov/ix?doc=/Archives/edgar/data/0001668243/000143774922020131/urgn20220630_10q.htm" TargetMode="External"/><Relationship Id="rId121" Type="http://schemas.openxmlformats.org/officeDocument/2006/relationships/hyperlink" Target="http://www.sec.gov/ix?doc=/Archives/edgar/data/0001668243/000143774922026727/urgn20220930_10q.htm" TargetMode="External"/><Relationship Id="rId122" Type="http://schemas.openxmlformats.org/officeDocument/2006/relationships/hyperlink" Target="http://www.sec.gov/ix?doc=/Archives/edgar/data/0001668243/000119312522266722/d307901d8k.htm" TargetMode="External"/><Relationship Id="rId123" Type="http://schemas.openxmlformats.org/officeDocument/2006/relationships/hyperlink" Target="http://www.sec.gov/ix?doc=/Archives/edgar/data/0001668243/000119312522280620/d353119d8k.htm" TargetMode="External"/><Relationship Id="rId124" Type="http://schemas.openxmlformats.org/officeDocument/2006/relationships/hyperlink" Target="http://www.sec.gov/Archives/edgar/data/1668243/000119312517151622/d3759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2024-06-17T15:34:10Z</dcterms:created>
  <dcterms:modified xsi:type="dcterms:W3CDTF">2024-06-17T15:34:10Z</dcterms:modified>
</cp:coreProperties>
</file>