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urgn20260630_10q.htm"/>
      <w:bookmarkStart w:id="1" w:name="ksurgn20260630_10q"/>
      <w:bookmarkEnd w:id="0"/>
      <w:bookmarkEnd w:id="1"/>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36"/>
        </w:rPr>
      </w:pPr>
      <w:r>
        <w:rPr>
          <w:rFonts w:ascii="Arial;Helvetica;sans-serif" w:hAnsi="Arial;Helvetica;sans-serif"/>
          <w:b/>
          <w:caps w:val="false"/>
          <w:smallCaps w:val="false"/>
          <w:sz w:val="36"/>
        </w:rPr>
        <w:t>UNITED STATES</w:t>
      </w:r>
    </w:p>
    <w:p>
      <w:pPr>
        <w:pStyle w:val="TextBody"/>
        <w:bidi w:val="0"/>
        <w:spacing w:before="0" w:after="0"/>
        <w:ind w:left="0" w:right="0" w:hanging="0"/>
        <w:jc w:val="center"/>
        <w:rPr>
          <w:rFonts w:ascii="Arial;Helvetica;sans-serif" w:hAnsi="Arial;Helvetica;sans-serif"/>
          <w:b/>
          <w:caps w:val="false"/>
          <w:smallCaps w:val="false"/>
          <w:sz w:val="36"/>
        </w:rPr>
      </w:pPr>
      <w:r>
        <w:rPr>
          <w:rFonts w:ascii="Arial;Helvetica;sans-serif" w:hAnsi="Arial;Helvetica;sans-serif"/>
          <w:b/>
          <w:caps w:val="false"/>
          <w:smallCaps w:val="false"/>
          <w:sz w:val="36"/>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caps w:val="false"/>
          <w:smallCaps w:val="false"/>
          <w:sz w:val="36"/>
        </w:rPr>
      </w:pPr>
      <w:r>
        <w:rPr>
          <w:rFonts w:ascii="Arial;Helvetica;sans-serif" w:hAnsi="Arial;Helvetica;sans-serif"/>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(Mark One)</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b/>
          <w:caps w:val="false"/>
          <w:smallCaps w:val="false"/>
          <w:sz w:val="18"/>
        </w:rPr>
        <w:t>For the transition period from</w:t>
      </w:r>
      <w:r>
        <w:rPr>
          <w:rFonts w:ascii="Arial;Helvetica;sans-serif" w:hAnsi="Arial;Helvetica;sans-serif"/>
          <w:caps w:val="false"/>
          <w:smallCaps w:val="false"/>
          <w:sz w:val="18"/>
        </w:rPr>
        <w:t xml:space="preserve">                     </w:t>
      </w:r>
      <w:r>
        <w:rPr>
          <w:rFonts w:ascii="Arial;Helvetica;sans-serif" w:hAnsi="Arial;Helvetica;sans-serif"/>
          <w:b/>
          <w:caps w:val="false"/>
          <w:smallCaps w:val="false"/>
          <w:sz w:val="18"/>
        </w:rPr>
        <w:t xml:space="preserve">to </w:t>
      </w:r>
      <w:r>
        <w:rPr>
          <w:rFonts w:ascii="Arial;Helvetica;sans-serif" w:hAnsi="Arial;Helvetica;sans-serif"/>
          <w:caps w:val="false"/>
          <w:smallCaps w:val="false"/>
          <w:sz w:val="18"/>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Commission file number: 001-38079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48"/>
        </w:rPr>
      </w:pPr>
      <w:r>
        <w:rPr>
          <w:rFonts w:ascii="Arial;Helvetica;sans-serif" w:hAnsi="Arial;Helvetica;sans-serif"/>
          <w:b/>
          <w:caps w:val="false"/>
          <w:smallCaps w:val="false"/>
          <w:sz w:val="48"/>
        </w:rPr>
        <w:t>UROGEN PHARMA LTD.</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4535"/>
        <w:gridCol w:w="1445"/>
      </w:tblGrid>
      <w:tr>
        <w:trPr/>
        <w:tc>
          <w:tcPr>
            <w:tcW w:w="45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Israel</w:t>
            </w:r>
          </w:p>
        </w:tc>
        <w:tc>
          <w:tcPr>
            <w:tcW w:w="144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98-1460746</w:t>
            </w:r>
          </w:p>
        </w:tc>
      </w:tr>
      <w:tr>
        <w:trPr/>
        <w:tc>
          <w:tcPr>
            <w:tcW w:w="45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(State or other jurisdiction of</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incorporation or organization)</w:t>
            </w:r>
          </w:p>
        </w:tc>
        <w:tc>
          <w:tcPr>
            <w:tcW w:w="144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(I.R.S. Employer</w:t>
            </w:r>
          </w:p>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Identification No.)</w:t>
            </w:r>
          </w:p>
        </w:tc>
      </w:tr>
      <w:tr>
        <w:trPr/>
        <w:tc>
          <w:tcPr>
            <w:tcW w:w="45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400 Alexander Park Drive, Princeton, New Jersey</w:t>
            </w:r>
          </w:p>
        </w:tc>
        <w:tc>
          <w:tcPr>
            <w:tcW w:w="144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08540</w:t>
            </w:r>
          </w:p>
        </w:tc>
      </w:tr>
      <w:tr>
        <w:trPr/>
        <w:tc>
          <w:tcPr>
            <w:tcW w:w="45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(Address of principal executive offices)</w:t>
            </w:r>
          </w:p>
        </w:tc>
        <w:tc>
          <w:tcPr>
            <w:tcW w:w="144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(646) 768-9780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Registrant</w:t>
      </w:r>
      <w:r>
        <w:rPr>
          <w:rFonts w:ascii="Arial;Helvetica;sans-serif" w:hAnsi="Arial;Helvetica;sans-serif"/>
          <w:caps w:val="false"/>
          <w:smallCaps w:val="false"/>
          <w:sz w:val="16"/>
        </w:rPr>
        <w:t>’</w:t>
      </w:r>
      <w:r>
        <w:rPr>
          <w:rFonts w:ascii="Arial;Helvetica;sans-serif" w:hAnsi="Arial;Helvetica;sans-serif"/>
          <w:b/>
          <w:caps w:val="false"/>
          <w:smallCaps w:val="false"/>
          <w:sz w:val="16"/>
        </w:rPr>
        <w:t>s telephone number, including area code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45" w:type="dxa"/>
          <w:left w:w="45" w:type="dxa"/>
          <w:bottom w:w="45" w:type="dxa"/>
          <w:right w:w="45" w:type="dxa"/>
        </w:tblCellMar>
      </w:tblPr>
      <w:tblGrid>
        <w:gridCol w:w="3890"/>
        <w:gridCol w:w="1400"/>
        <w:gridCol w:w="3320"/>
      </w:tblGrid>
      <w:tr>
        <w:trPr/>
        <w:tc>
          <w:tcPr>
            <w:tcW w:w="38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u w:val="single"/>
              </w:rPr>
            </w:pPr>
            <w:r>
              <w:rPr>
                <w:rFonts w:ascii="Arial;Helvetica;sans-serif" w:hAnsi="Arial;Helvetica;sans-serif"/>
                <w:caps w:val="false"/>
                <w:smallCaps w:val="false"/>
                <w:sz w:val="18"/>
                <w:u w:val="single"/>
              </w:rPr>
              <w:t>Title of each class</w:t>
            </w:r>
          </w:p>
        </w:tc>
        <w:tc>
          <w:tcPr>
            <w:tcW w:w="140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u w:val="single"/>
              </w:rPr>
            </w:pPr>
            <w:r>
              <w:rPr>
                <w:rFonts w:ascii="Arial;Helvetica;sans-serif" w:hAnsi="Arial;Helvetica;sans-serif"/>
                <w:caps w:val="false"/>
                <w:smallCaps w:val="false"/>
                <w:sz w:val="18"/>
                <w:u w:val="single"/>
              </w:rPr>
              <w:t>Trading Symbol</w:t>
            </w:r>
          </w:p>
        </w:tc>
        <w:tc>
          <w:tcPr>
            <w:tcW w:w="332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u w:val="single"/>
              </w:rPr>
            </w:pPr>
            <w:r>
              <w:rPr>
                <w:rFonts w:ascii="Arial;Helvetica;sans-serif" w:hAnsi="Arial;Helvetica;sans-serif"/>
                <w:caps w:val="false"/>
                <w:smallCaps w:val="false"/>
                <w:sz w:val="18"/>
                <w:u w:val="single"/>
              </w:rPr>
              <w:t>Name of exchange on which registered</w:t>
            </w:r>
          </w:p>
        </w:tc>
      </w:tr>
      <w:tr>
        <w:trPr/>
        <w:tc>
          <w:tcPr>
            <w:tcW w:w="38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Ordinary Shares, par value NIS 0.01 per share</w:t>
            </w:r>
          </w:p>
        </w:tc>
        <w:tc>
          <w:tcPr>
            <w:tcW w:w="140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URGN</w:t>
            </w:r>
          </w:p>
        </w:tc>
        <w:tc>
          <w:tcPr>
            <w:tcW w:w="332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2210"/>
        <w:gridCol w:w="230"/>
        <w:gridCol w:w="2225"/>
        <w:gridCol w:w="230"/>
      </w:tblGrid>
      <w:tr>
        <w:trPr/>
        <w:tc>
          <w:tcPr>
            <w:tcW w:w="2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Indicate by check mark whether the registrant is a shell company (as defined in Rule 12b-2 of the Exchange Act).    Yes  ☐    No  ☒</w:t>
      </w:r>
    </w:p>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firstLine="560"/>
        <w:jc w:val="left"/>
        <w:rPr>
          <w:rFonts w:ascii="Arial;Helvetica;sans-serif" w:hAnsi="Arial;Helvetica;sans-serif"/>
          <w:caps w:val="false"/>
          <w:smallCaps w:val="false"/>
          <w:sz w:val="18"/>
        </w:rPr>
      </w:pPr>
      <w:r>
        <w:rPr>
          <w:rFonts w:ascii="Arial;Helvetica;sans-serif" w:hAnsi="Arial;Helvetica;sans-serif"/>
          <w:caps w:val="false"/>
          <w:smallCaps w:val="false"/>
          <w:sz w:val="18"/>
        </w:rPr>
        <w:t>As of July 28, 2026, the registrant had 48,880,564 ordinary shares, par value NIS 0.01 per share, outstanding.</w:t>
      </w:r>
    </w:p>
    <w:p>
      <w:pPr>
        <w:pStyle w:val="TextBody"/>
        <w:bidi w:val="0"/>
        <w:spacing w:before="0" w:after="0"/>
        <w:ind w:left="0" w:right="0" w:firstLine="5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2" w:name="toc"/>
      <w:bookmarkEnd w:id="2"/>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9228" w:type="dxa"/>
        <w:jc w:val="left"/>
        <w:tblInd w:w="0" w:type="dxa"/>
        <w:tblLayout w:type="fixed"/>
        <w:tblCellMar>
          <w:top w:w="28" w:type="dxa"/>
          <w:left w:w="28" w:type="dxa"/>
          <w:bottom w:w="28" w:type="dxa"/>
          <w:right w:w="28" w:type="dxa"/>
        </w:tblCellMar>
      </w:tblPr>
      <w:tblGrid>
        <w:gridCol w:w="856"/>
        <w:gridCol w:w="7816"/>
        <w:gridCol w:w="556"/>
      </w:tblGrid>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283"/>
              <w:jc w:val="left"/>
              <w:rPr/>
            </w:pPr>
            <w:r>
              <w:rPr/>
              <w:t> </w:t>
            </w:r>
          </w:p>
        </w:tc>
        <w:tc>
          <w:tcPr>
            <w:tcW w:w="556" w:type="dxa"/>
            <w:tcBorders>
              <w:bottom w:val="single" w:sz="2" w:space="0" w:color="000000"/>
            </w:tcBorders>
            <w:tcMar>
              <w:top w:w="0" w:type="dxa"/>
              <w:left w:w="0" w:type="dxa"/>
              <w:right w:w="0" w:type="dxa"/>
            </w:tcMar>
            <w:vAlign w:val="center"/>
          </w:tcPr>
          <w:p>
            <w:pPr>
              <w:pStyle w:val="TableContents"/>
              <w:bidi w:val="0"/>
              <w:spacing w:before="0" w:after="0"/>
              <w:ind w:left="14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Page</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PART I.</w:t>
            </w:r>
          </w:p>
        </w:tc>
        <w:tc>
          <w:tcPr>
            <w:tcW w:w="7816" w:type="dxa"/>
            <w:tcBorders/>
            <w:vAlign w:val="center"/>
          </w:tcPr>
          <w:p>
            <w:pPr>
              <w:pStyle w:val="TableContents"/>
              <w:bidi w:val="0"/>
              <w:spacing w:before="0" w:after="0"/>
              <w:ind w:left="0" w:right="0" w:hanging="0"/>
              <w:jc w:val="left"/>
              <w:rPr/>
            </w:pPr>
            <w:hyperlink w:anchor="pi">
              <w:r>
                <w:rPr>
                  <w:rStyle w:val="InternetLink"/>
                  <w:rFonts w:ascii="Arial;Helvetica;sans-serif" w:hAnsi="Arial;Helvetica;sans-serif"/>
                  <w:caps w:val="false"/>
                  <w:smallCaps w:val="false"/>
                  <w:sz w:val="20"/>
                  <w:u w:val="single"/>
                </w:rPr>
                <w:t>FINANCIAL INFORMATION</w:t>
              </w:r>
            </w:hyperlink>
          </w:p>
        </w:tc>
        <w:tc>
          <w:tcPr>
            <w:tcW w:w="556" w:type="dxa"/>
            <w:tcBorders/>
            <w:vAlign w:val="center"/>
          </w:tcPr>
          <w:p>
            <w:pPr>
              <w:pStyle w:val="TableContents"/>
              <w:bidi w:val="0"/>
              <w:spacing w:before="0" w:after="0"/>
              <w:ind w:left="0" w:right="0" w:hanging="0"/>
              <w:jc w:val="right"/>
              <w:rPr/>
            </w:pPr>
            <w:hyperlink w:anchor="pi">
              <w:r>
                <w:rPr>
                  <w:rStyle w:val="InternetLink"/>
                  <w:rFonts w:ascii="Arial;Helvetica;sans-serif" w:hAnsi="Arial;Helvetica;sans-serif"/>
                  <w:caps w:val="false"/>
                  <w:smallCaps w:val="false"/>
                  <w:sz w:val="20"/>
                </w:rPr>
                <w:t>1</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w:t>
            </w:r>
          </w:p>
        </w:tc>
        <w:tc>
          <w:tcPr>
            <w:tcW w:w="7816" w:type="dxa"/>
            <w:tcBorders/>
            <w:vAlign w:val="center"/>
          </w:tcPr>
          <w:p>
            <w:pPr>
              <w:pStyle w:val="TableContents"/>
              <w:bidi w:val="0"/>
              <w:spacing w:before="0" w:after="0"/>
              <w:ind w:left="0" w:right="0" w:hanging="0"/>
              <w:jc w:val="left"/>
              <w:rPr/>
            </w:pPr>
            <w:hyperlink w:anchor="pi">
              <w:r>
                <w:rPr>
                  <w:rStyle w:val="InternetLink"/>
                  <w:rFonts w:ascii="Arial;Helvetica;sans-serif" w:hAnsi="Arial;Helvetica;sans-serif"/>
                  <w:caps w:val="false"/>
                  <w:smallCaps w:val="false"/>
                  <w:sz w:val="20"/>
                  <w:u w:val="single"/>
                </w:rPr>
                <w:t>Financial Statements (Unaudited)</w:t>
              </w:r>
            </w:hyperlink>
          </w:p>
        </w:tc>
        <w:tc>
          <w:tcPr>
            <w:tcW w:w="556" w:type="dxa"/>
            <w:tcBorders/>
            <w:vAlign w:val="center"/>
          </w:tcPr>
          <w:p>
            <w:pPr>
              <w:pStyle w:val="TableContents"/>
              <w:bidi w:val="0"/>
              <w:spacing w:before="0" w:after="0"/>
              <w:ind w:left="0" w:right="0" w:hanging="0"/>
              <w:jc w:val="right"/>
              <w:rPr/>
            </w:pPr>
            <w:hyperlink w:anchor="pi">
              <w:r>
                <w:rPr>
                  <w:rStyle w:val="InternetLink"/>
                  <w:rFonts w:ascii="Arial;Helvetica;sans-serif" w:hAnsi="Arial;Helvetica;sans-serif"/>
                  <w:caps w:val="false"/>
                  <w:smallCaps w:val="false"/>
                  <w:sz w:val="20"/>
                </w:rPr>
                <w:t>1</w:t>
              </w:r>
            </w:hyperlink>
          </w:p>
        </w:tc>
      </w:tr>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0"/>
              <w:ind w:left="0" w:right="0" w:hanging="0"/>
              <w:jc w:val="left"/>
              <w:rPr/>
            </w:pPr>
            <w:hyperlink w:anchor="pi">
              <w:r>
                <w:rPr>
                  <w:rStyle w:val="InternetLink"/>
                  <w:rFonts w:ascii="Arial;Helvetica;sans-serif" w:hAnsi="Arial;Helvetica;sans-serif"/>
                  <w:caps w:val="false"/>
                  <w:smallCaps w:val="false"/>
                  <w:sz w:val="20"/>
                  <w:u w:val="single"/>
                </w:rPr>
                <w:t>Condensed Consolidated Balance Sheets</w:t>
              </w:r>
            </w:hyperlink>
          </w:p>
        </w:tc>
        <w:tc>
          <w:tcPr>
            <w:tcW w:w="556" w:type="dxa"/>
            <w:tcBorders/>
            <w:vAlign w:val="center"/>
          </w:tcPr>
          <w:p>
            <w:pPr>
              <w:pStyle w:val="TableContents"/>
              <w:bidi w:val="0"/>
              <w:spacing w:before="0" w:after="0"/>
              <w:ind w:left="0" w:right="0" w:hanging="0"/>
              <w:jc w:val="right"/>
              <w:rPr/>
            </w:pPr>
            <w:hyperlink w:anchor="pi">
              <w:r>
                <w:rPr>
                  <w:rStyle w:val="InternetLink"/>
                  <w:rFonts w:ascii="Arial;Helvetica;sans-serif" w:hAnsi="Arial;Helvetica;sans-serif"/>
                  <w:caps w:val="false"/>
                  <w:smallCaps w:val="false"/>
                  <w:sz w:val="20"/>
                </w:rPr>
                <w:t>1</w:t>
              </w:r>
            </w:hyperlink>
          </w:p>
        </w:tc>
      </w:tr>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0"/>
              <w:ind w:left="0" w:right="0" w:hanging="0"/>
              <w:jc w:val="left"/>
              <w:rPr/>
            </w:pPr>
            <w:hyperlink w:anchor="income">
              <w:r>
                <w:rPr>
                  <w:rStyle w:val="InternetLink"/>
                  <w:rFonts w:ascii="Arial;Helvetica;sans-serif" w:hAnsi="Arial;Helvetica;sans-serif"/>
                  <w:caps w:val="false"/>
                  <w:smallCaps w:val="false"/>
                  <w:sz w:val="20"/>
                  <w:u w:val="single"/>
                </w:rPr>
                <w:t>Condensed Consolidated Statements of Operations and Comprehensive Loss</w:t>
              </w:r>
            </w:hyperlink>
          </w:p>
        </w:tc>
        <w:tc>
          <w:tcPr>
            <w:tcW w:w="556" w:type="dxa"/>
            <w:tcBorders/>
            <w:vAlign w:val="center"/>
          </w:tcPr>
          <w:p>
            <w:pPr>
              <w:pStyle w:val="TableContents"/>
              <w:bidi w:val="0"/>
              <w:spacing w:before="0" w:after="0"/>
              <w:ind w:left="0" w:right="0" w:hanging="0"/>
              <w:jc w:val="right"/>
              <w:rPr/>
            </w:pPr>
            <w:hyperlink w:anchor="income">
              <w:r>
                <w:rPr>
                  <w:rStyle w:val="InternetLink"/>
                  <w:rFonts w:ascii="Arial;Helvetica;sans-serif" w:hAnsi="Arial;Helvetica;sans-serif"/>
                  <w:caps w:val="false"/>
                  <w:smallCaps w:val="false"/>
                  <w:sz w:val="20"/>
                </w:rPr>
                <w:t>2</w:t>
              </w:r>
            </w:hyperlink>
          </w:p>
        </w:tc>
      </w:tr>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0"/>
              <w:ind w:left="0" w:right="0" w:hanging="0"/>
              <w:jc w:val="left"/>
              <w:rPr/>
            </w:pPr>
            <w:hyperlink w:anchor="she">
              <w:r>
                <w:rPr>
                  <w:rStyle w:val="InternetLink"/>
                  <w:rFonts w:ascii="Arial;Helvetica;sans-serif" w:hAnsi="Arial;Helvetica;sans-serif"/>
                  <w:caps w:val="false"/>
                  <w:smallCaps w:val="false"/>
                  <w:sz w:val="20"/>
                  <w:u w:val="single"/>
                </w:rPr>
                <w:t>Condensed Consolidated Statements of Shareholders</w:t>
              </w:r>
            </w:hyperlink>
            <w:hyperlink w:anchor="she">
              <w:r>
                <w:rPr>
                  <w:rStyle w:val="InternetLink"/>
                  <w:rFonts w:ascii="Arial;Helvetica;sans-serif" w:hAnsi="Arial;Helvetica;sans-serif"/>
                  <w:caps w:val="false"/>
                  <w:smallCaps w:val="false"/>
                  <w:sz w:val="20"/>
                </w:rPr>
                <w:t>’</w:t>
              </w:r>
            </w:hyperlink>
            <w:hyperlink w:anchor="she">
              <w:r>
                <w:rPr>
                  <w:rStyle w:val="InternetLink"/>
                  <w:rFonts w:ascii="Arial;Helvetica;sans-serif" w:hAnsi="Arial;Helvetica;sans-serif"/>
                  <w:caps w:val="false"/>
                  <w:smallCaps w:val="false"/>
                  <w:sz w:val="20"/>
                  <w:u w:val="single"/>
                </w:rPr>
                <w:t> Deficit</w:t>
              </w:r>
            </w:hyperlink>
          </w:p>
        </w:tc>
        <w:tc>
          <w:tcPr>
            <w:tcW w:w="556" w:type="dxa"/>
            <w:tcBorders/>
            <w:vAlign w:val="center"/>
          </w:tcPr>
          <w:p>
            <w:pPr>
              <w:pStyle w:val="TableContents"/>
              <w:bidi w:val="0"/>
              <w:spacing w:before="0" w:after="0"/>
              <w:ind w:left="0" w:right="0" w:hanging="0"/>
              <w:jc w:val="right"/>
              <w:rPr/>
            </w:pPr>
            <w:hyperlink w:anchor="she">
              <w:r>
                <w:rPr>
                  <w:rStyle w:val="InternetLink"/>
                  <w:rFonts w:ascii="Arial;Helvetica;sans-serif" w:hAnsi="Arial;Helvetica;sans-serif"/>
                  <w:caps w:val="false"/>
                  <w:smallCaps w:val="false"/>
                  <w:sz w:val="20"/>
                </w:rPr>
                <w:t>3</w:t>
              </w:r>
            </w:hyperlink>
          </w:p>
        </w:tc>
      </w:tr>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0"/>
              <w:ind w:left="0" w:right="0" w:hanging="0"/>
              <w:jc w:val="left"/>
              <w:rPr/>
            </w:pPr>
            <w:hyperlink w:anchor="cfs">
              <w:r>
                <w:rPr>
                  <w:rStyle w:val="InternetLink"/>
                  <w:rFonts w:ascii="Arial;Helvetica;sans-serif" w:hAnsi="Arial;Helvetica;sans-serif"/>
                  <w:caps w:val="false"/>
                  <w:smallCaps w:val="false"/>
                  <w:sz w:val="20"/>
                  <w:u w:val="single"/>
                </w:rPr>
                <w:t>Condensed Consolidated Statements of Cash Flows</w:t>
              </w:r>
            </w:hyperlink>
          </w:p>
        </w:tc>
        <w:tc>
          <w:tcPr>
            <w:tcW w:w="556" w:type="dxa"/>
            <w:tcBorders/>
            <w:vAlign w:val="center"/>
          </w:tcPr>
          <w:p>
            <w:pPr>
              <w:pStyle w:val="TableContents"/>
              <w:bidi w:val="0"/>
              <w:spacing w:before="0" w:after="0"/>
              <w:ind w:left="0" w:right="0" w:hanging="0"/>
              <w:jc w:val="right"/>
              <w:rPr/>
            </w:pPr>
            <w:hyperlink w:anchor="cfs">
              <w:r>
                <w:rPr>
                  <w:rStyle w:val="InternetLink"/>
                  <w:rFonts w:ascii="Arial;Helvetica;sans-serif" w:hAnsi="Arial;Helvetica;sans-serif"/>
                  <w:caps w:val="false"/>
                  <w:smallCaps w:val="false"/>
                  <w:sz w:val="20"/>
                </w:rPr>
                <w:t>5</w:t>
              </w:r>
            </w:hyperlink>
          </w:p>
        </w:tc>
      </w:tr>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0"/>
              <w:ind w:left="0" w:right="0" w:hanging="0"/>
              <w:jc w:val="left"/>
              <w:rPr/>
            </w:pPr>
            <w:hyperlink w:anchor="notes">
              <w:r>
                <w:rPr>
                  <w:rStyle w:val="InternetLink"/>
                  <w:rFonts w:ascii="Arial;Helvetica;sans-serif" w:hAnsi="Arial;Helvetica;sans-serif"/>
                  <w:caps w:val="false"/>
                  <w:smallCaps w:val="false"/>
                  <w:sz w:val="20"/>
                  <w:u w:val="single"/>
                </w:rPr>
                <w:t>Notes to Unaudited Condensed Consolidated Financial Statements</w:t>
              </w:r>
            </w:hyperlink>
          </w:p>
        </w:tc>
        <w:tc>
          <w:tcPr>
            <w:tcW w:w="556" w:type="dxa"/>
            <w:tcBorders/>
            <w:vAlign w:val="center"/>
          </w:tcPr>
          <w:p>
            <w:pPr>
              <w:pStyle w:val="TableContents"/>
              <w:bidi w:val="0"/>
              <w:spacing w:before="0" w:after="0"/>
              <w:ind w:left="0" w:right="0" w:hanging="0"/>
              <w:jc w:val="right"/>
              <w:rPr/>
            </w:pPr>
            <w:hyperlink w:anchor="notes">
              <w:r>
                <w:rPr>
                  <w:rStyle w:val="InternetLink"/>
                  <w:rFonts w:ascii="Arial;Helvetica;sans-serif" w:hAnsi="Arial;Helvetica;sans-serif"/>
                  <w:caps w:val="false"/>
                  <w:smallCaps w:val="false"/>
                  <w:sz w:val="20"/>
                </w:rPr>
                <w:t>6</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2.</w:t>
            </w:r>
          </w:p>
        </w:tc>
        <w:tc>
          <w:tcPr>
            <w:tcW w:w="7816" w:type="dxa"/>
            <w:tcBorders/>
            <w:vAlign w:val="center"/>
          </w:tcPr>
          <w:p>
            <w:pPr>
              <w:pStyle w:val="TableContents"/>
              <w:bidi w:val="0"/>
              <w:spacing w:before="0" w:after="0"/>
              <w:ind w:left="0" w:right="0" w:hanging="0"/>
              <w:jc w:val="left"/>
              <w:rPr/>
            </w:pPr>
            <w:hyperlink w:anchor="mda">
              <w:r>
                <w:rPr>
                  <w:rStyle w:val="InternetLink"/>
                  <w:rFonts w:ascii="Arial;Helvetica;sans-serif" w:hAnsi="Arial;Helvetica;sans-serif"/>
                  <w:caps w:val="false"/>
                  <w:smallCaps w:val="false"/>
                  <w:sz w:val="20"/>
                  <w:u w:val="single"/>
                </w:rPr>
                <w:t>Management</w:t>
              </w:r>
            </w:hyperlink>
            <w:hyperlink w:anchor="mda">
              <w:r>
                <w:rPr>
                  <w:rStyle w:val="InternetLink"/>
                  <w:rFonts w:ascii="Arial;Helvetica;sans-serif" w:hAnsi="Arial;Helvetica;sans-serif"/>
                  <w:caps w:val="false"/>
                  <w:smallCaps w:val="false"/>
                  <w:sz w:val="20"/>
                </w:rPr>
                <w:t>’</w:t>
              </w:r>
            </w:hyperlink>
            <w:hyperlink w:anchor="mda">
              <w:r>
                <w:rPr>
                  <w:rStyle w:val="InternetLink"/>
                  <w:rFonts w:ascii="Arial;Helvetica;sans-serif" w:hAnsi="Arial;Helvetica;sans-serif"/>
                  <w:caps w:val="false"/>
                  <w:smallCaps w:val="false"/>
                  <w:sz w:val="20"/>
                  <w:u w:val="single"/>
                </w:rPr>
                <w:t>s Discussion and Analysis of Financial Condition and Results of Operations</w:t>
              </w:r>
            </w:hyperlink>
          </w:p>
        </w:tc>
        <w:tc>
          <w:tcPr>
            <w:tcW w:w="556" w:type="dxa"/>
            <w:tcBorders/>
            <w:vAlign w:val="center"/>
          </w:tcPr>
          <w:p>
            <w:pPr>
              <w:pStyle w:val="TableContents"/>
              <w:bidi w:val="0"/>
              <w:spacing w:before="0" w:after="0"/>
              <w:ind w:left="0" w:right="0" w:hanging="0"/>
              <w:jc w:val="right"/>
              <w:rPr/>
            </w:pPr>
            <w:hyperlink w:anchor="mda">
              <w:r>
                <w:rPr>
                  <w:rStyle w:val="InternetLink"/>
                  <w:rFonts w:ascii="Arial;Helvetica;sans-serif" w:hAnsi="Arial;Helvetica;sans-serif"/>
                  <w:caps w:val="false"/>
                  <w:smallCaps w:val="false"/>
                  <w:sz w:val="20"/>
                </w:rPr>
                <w:t>24</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3.</w:t>
            </w:r>
          </w:p>
        </w:tc>
        <w:tc>
          <w:tcPr>
            <w:tcW w:w="7816" w:type="dxa"/>
            <w:tcBorders/>
            <w:vAlign w:val="center"/>
          </w:tcPr>
          <w:p>
            <w:pPr>
              <w:pStyle w:val="TableContents"/>
              <w:bidi w:val="0"/>
              <w:spacing w:before="0" w:after="0"/>
              <w:ind w:left="0" w:right="0" w:hanging="0"/>
              <w:jc w:val="left"/>
              <w:rPr/>
            </w:pPr>
            <w:hyperlink w:anchor="qqdmr">
              <w:r>
                <w:rPr>
                  <w:rStyle w:val="InternetLink"/>
                  <w:rFonts w:ascii="Arial;Helvetica;sans-serif" w:hAnsi="Arial;Helvetica;sans-serif"/>
                  <w:caps w:val="false"/>
                  <w:smallCaps w:val="false"/>
                  <w:sz w:val="20"/>
                  <w:u w:val="single"/>
                </w:rPr>
                <w:t>Quantitative and Qualitative Disclosures About Market Risk</w:t>
              </w:r>
            </w:hyperlink>
          </w:p>
        </w:tc>
        <w:tc>
          <w:tcPr>
            <w:tcW w:w="556" w:type="dxa"/>
            <w:tcBorders/>
            <w:vAlign w:val="center"/>
          </w:tcPr>
          <w:p>
            <w:pPr>
              <w:pStyle w:val="TableContents"/>
              <w:bidi w:val="0"/>
              <w:spacing w:before="0" w:after="0"/>
              <w:ind w:left="0" w:right="0" w:hanging="0"/>
              <w:jc w:val="right"/>
              <w:rPr/>
            </w:pPr>
            <w:hyperlink w:anchor="qqdmr">
              <w:r>
                <w:rPr>
                  <w:rStyle w:val="InternetLink"/>
                  <w:rFonts w:ascii="Arial;Helvetica;sans-serif" w:hAnsi="Arial;Helvetica;sans-serif"/>
                  <w:caps w:val="false"/>
                  <w:smallCaps w:val="false"/>
                  <w:sz w:val="20"/>
                </w:rPr>
                <w:t>37</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4.</w:t>
            </w:r>
          </w:p>
        </w:tc>
        <w:tc>
          <w:tcPr>
            <w:tcW w:w="7816" w:type="dxa"/>
            <w:tcBorders/>
            <w:vAlign w:val="center"/>
          </w:tcPr>
          <w:p>
            <w:pPr>
              <w:pStyle w:val="TableContents"/>
              <w:bidi w:val="0"/>
              <w:spacing w:before="0" w:after="0"/>
              <w:ind w:left="0" w:right="0" w:hanging="0"/>
              <w:jc w:val="left"/>
              <w:rPr/>
            </w:pPr>
            <w:hyperlink w:anchor="cps">
              <w:r>
                <w:rPr>
                  <w:rStyle w:val="InternetLink"/>
                  <w:rFonts w:ascii="Arial;Helvetica;sans-serif" w:hAnsi="Arial;Helvetica;sans-serif"/>
                  <w:caps w:val="false"/>
                  <w:smallCaps w:val="false"/>
                  <w:sz w:val="20"/>
                  <w:u w:val="single"/>
                </w:rPr>
                <w:t>Controls and Procedures</w:t>
              </w:r>
            </w:hyperlink>
          </w:p>
        </w:tc>
        <w:tc>
          <w:tcPr>
            <w:tcW w:w="556" w:type="dxa"/>
            <w:tcBorders/>
            <w:vAlign w:val="center"/>
          </w:tcPr>
          <w:p>
            <w:pPr>
              <w:pStyle w:val="TableContents"/>
              <w:bidi w:val="0"/>
              <w:spacing w:before="0" w:after="0"/>
              <w:ind w:left="0" w:right="0" w:hanging="0"/>
              <w:jc w:val="right"/>
              <w:rPr/>
            </w:pPr>
            <w:hyperlink w:anchor="cps">
              <w:r>
                <w:rPr>
                  <w:rStyle w:val="InternetLink"/>
                  <w:rFonts w:ascii="Arial;Helvetica;sans-serif" w:hAnsi="Arial;Helvetica;sans-serif"/>
                  <w:caps w:val="false"/>
                  <w:smallCaps w:val="false"/>
                  <w:sz w:val="20"/>
                </w:rPr>
                <w:t>39</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PART II.</w:t>
            </w:r>
          </w:p>
        </w:tc>
        <w:tc>
          <w:tcPr>
            <w:tcW w:w="7816" w:type="dxa"/>
            <w:tcBorders/>
            <w:vAlign w:val="center"/>
          </w:tcPr>
          <w:p>
            <w:pPr>
              <w:pStyle w:val="TableContents"/>
              <w:bidi w:val="0"/>
              <w:spacing w:before="0" w:after="0"/>
              <w:ind w:left="0" w:right="0" w:hanging="0"/>
              <w:jc w:val="left"/>
              <w:rPr/>
            </w:pPr>
            <w:hyperlink w:anchor="pii">
              <w:r>
                <w:rPr>
                  <w:rStyle w:val="InternetLink"/>
                  <w:rFonts w:ascii="Arial;Helvetica;sans-serif" w:hAnsi="Arial;Helvetica;sans-serif"/>
                  <w:caps w:val="false"/>
                  <w:smallCaps w:val="false"/>
                  <w:sz w:val="20"/>
                  <w:u w:val="single"/>
                </w:rPr>
                <w:t>OTHER INFORMATION</w:t>
              </w:r>
            </w:hyperlink>
          </w:p>
        </w:tc>
        <w:tc>
          <w:tcPr>
            <w:tcW w:w="556" w:type="dxa"/>
            <w:tcBorders/>
            <w:vAlign w:val="center"/>
          </w:tcPr>
          <w:p>
            <w:pPr>
              <w:pStyle w:val="TableContents"/>
              <w:bidi w:val="0"/>
              <w:spacing w:before="0" w:after="0"/>
              <w:ind w:left="0" w:right="0" w:hanging="0"/>
              <w:jc w:val="right"/>
              <w:rPr/>
            </w:pPr>
            <w:hyperlink w:anchor="pii">
              <w:r>
                <w:rPr>
                  <w:rStyle w:val="InternetLink"/>
                  <w:rFonts w:ascii="Arial;Helvetica;sans-serif" w:hAnsi="Arial;Helvetica;sans-serif"/>
                  <w:caps w:val="false"/>
                  <w:smallCaps w:val="false"/>
                  <w:sz w:val="20"/>
                </w:rPr>
                <w:t>40</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w:t>
            </w:r>
          </w:p>
        </w:tc>
        <w:tc>
          <w:tcPr>
            <w:tcW w:w="7816" w:type="dxa"/>
            <w:tcBorders/>
            <w:vAlign w:val="center"/>
          </w:tcPr>
          <w:p>
            <w:pPr>
              <w:pStyle w:val="TableContents"/>
              <w:bidi w:val="0"/>
              <w:spacing w:before="0" w:after="0"/>
              <w:ind w:left="0" w:right="0" w:hanging="0"/>
              <w:jc w:val="left"/>
              <w:rPr/>
            </w:pPr>
            <w:hyperlink w:anchor="legal">
              <w:r>
                <w:rPr>
                  <w:rStyle w:val="InternetLink"/>
                  <w:rFonts w:ascii="Arial;Helvetica;sans-serif" w:hAnsi="Arial;Helvetica;sans-serif"/>
                  <w:caps w:val="false"/>
                  <w:smallCaps w:val="false"/>
                  <w:sz w:val="20"/>
                  <w:u w:val="single"/>
                </w:rPr>
                <w:t>Legal Proceedings</w:t>
              </w:r>
            </w:hyperlink>
          </w:p>
        </w:tc>
        <w:tc>
          <w:tcPr>
            <w:tcW w:w="556" w:type="dxa"/>
            <w:tcBorders/>
            <w:vAlign w:val="center"/>
          </w:tcPr>
          <w:p>
            <w:pPr>
              <w:pStyle w:val="TableContents"/>
              <w:bidi w:val="0"/>
              <w:spacing w:before="0" w:after="0"/>
              <w:ind w:left="0" w:right="0" w:hanging="0"/>
              <w:jc w:val="right"/>
              <w:rPr/>
            </w:pPr>
            <w:hyperlink w:anchor="legal">
              <w:r>
                <w:rPr>
                  <w:rStyle w:val="InternetLink"/>
                  <w:rFonts w:ascii="Arial;Helvetica;sans-serif" w:hAnsi="Arial;Helvetica;sans-serif"/>
                  <w:caps w:val="false"/>
                  <w:smallCaps w:val="false"/>
                  <w:sz w:val="20"/>
                </w:rPr>
                <w:t>40</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1A.</w:t>
            </w:r>
          </w:p>
        </w:tc>
        <w:tc>
          <w:tcPr>
            <w:tcW w:w="7816" w:type="dxa"/>
            <w:tcBorders/>
            <w:vAlign w:val="center"/>
          </w:tcPr>
          <w:p>
            <w:pPr>
              <w:pStyle w:val="TableContents"/>
              <w:bidi w:val="0"/>
              <w:spacing w:before="0" w:after="0"/>
              <w:ind w:left="0" w:right="0" w:hanging="0"/>
              <w:jc w:val="left"/>
              <w:rPr/>
            </w:pPr>
            <w:hyperlink w:anchor="risks">
              <w:r>
                <w:rPr>
                  <w:rStyle w:val="InternetLink"/>
                  <w:rFonts w:ascii="Arial;Helvetica;sans-serif" w:hAnsi="Arial;Helvetica;sans-serif"/>
                  <w:caps w:val="false"/>
                  <w:smallCaps w:val="false"/>
                  <w:sz w:val="20"/>
                  <w:u w:val="single"/>
                </w:rPr>
                <w:t>Risk Factors</w:t>
              </w:r>
            </w:hyperlink>
          </w:p>
        </w:tc>
        <w:tc>
          <w:tcPr>
            <w:tcW w:w="556" w:type="dxa"/>
            <w:tcBorders/>
            <w:vAlign w:val="center"/>
          </w:tcPr>
          <w:p>
            <w:pPr>
              <w:pStyle w:val="TableContents"/>
              <w:bidi w:val="0"/>
              <w:spacing w:before="0" w:after="0"/>
              <w:ind w:left="0" w:right="0" w:hanging="0"/>
              <w:jc w:val="right"/>
              <w:rPr/>
            </w:pPr>
            <w:hyperlink w:anchor="risks">
              <w:r>
                <w:rPr>
                  <w:rStyle w:val="InternetLink"/>
                  <w:rFonts w:ascii="Arial;Helvetica;sans-serif" w:hAnsi="Arial;Helvetica;sans-serif"/>
                  <w:caps w:val="false"/>
                  <w:smallCaps w:val="false"/>
                  <w:sz w:val="20"/>
                </w:rPr>
                <w:t>40</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2.</w:t>
            </w:r>
          </w:p>
        </w:tc>
        <w:tc>
          <w:tcPr>
            <w:tcW w:w="7816" w:type="dxa"/>
            <w:tcBorders/>
            <w:vAlign w:val="center"/>
          </w:tcPr>
          <w:p>
            <w:pPr>
              <w:pStyle w:val="TableContents"/>
              <w:bidi w:val="0"/>
              <w:spacing w:before="0" w:after="0"/>
              <w:ind w:left="0" w:right="0" w:hanging="0"/>
              <w:jc w:val="left"/>
              <w:rPr/>
            </w:pPr>
            <w:hyperlink w:anchor="uses">
              <w:r>
                <w:rPr>
                  <w:rStyle w:val="InternetLink"/>
                  <w:rFonts w:ascii="Arial;Helvetica;sans-serif" w:hAnsi="Arial;Helvetica;sans-serif"/>
                  <w:caps w:val="false"/>
                  <w:smallCaps w:val="false"/>
                  <w:sz w:val="20"/>
                  <w:u w:val="single"/>
                </w:rPr>
                <w:t>Unregistered Sales of Equity Securities and Use of Proceeds</w:t>
              </w:r>
            </w:hyperlink>
          </w:p>
        </w:tc>
        <w:tc>
          <w:tcPr>
            <w:tcW w:w="556" w:type="dxa"/>
            <w:tcBorders/>
            <w:vAlign w:val="center"/>
          </w:tcPr>
          <w:p>
            <w:pPr>
              <w:pStyle w:val="TableContents"/>
              <w:bidi w:val="0"/>
              <w:spacing w:before="0" w:after="0"/>
              <w:ind w:left="0" w:right="0" w:hanging="0"/>
              <w:jc w:val="right"/>
              <w:rPr/>
            </w:pPr>
            <w:hyperlink w:anchor="uses">
              <w:r>
                <w:rPr>
                  <w:rStyle w:val="InternetLink"/>
                  <w:rFonts w:ascii="Arial;Helvetica;sans-serif" w:hAnsi="Arial;Helvetica;sans-serif"/>
                  <w:caps w:val="false"/>
                  <w:smallCaps w:val="false"/>
                  <w:sz w:val="20"/>
                </w:rPr>
                <w:t>87</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3.</w:t>
            </w:r>
          </w:p>
        </w:tc>
        <w:tc>
          <w:tcPr>
            <w:tcW w:w="7816" w:type="dxa"/>
            <w:tcBorders/>
            <w:vAlign w:val="center"/>
          </w:tcPr>
          <w:p>
            <w:pPr>
              <w:pStyle w:val="TableContents"/>
              <w:bidi w:val="0"/>
              <w:spacing w:before="0" w:after="0"/>
              <w:ind w:left="0" w:right="0" w:hanging="0"/>
              <w:jc w:val="left"/>
              <w:rPr/>
            </w:pPr>
            <w:hyperlink w:anchor="duss">
              <w:r>
                <w:rPr>
                  <w:rStyle w:val="InternetLink"/>
                  <w:rFonts w:ascii="Arial;Helvetica;sans-serif" w:hAnsi="Arial;Helvetica;sans-serif"/>
                  <w:caps w:val="false"/>
                  <w:smallCaps w:val="false"/>
                  <w:sz w:val="20"/>
                  <w:u w:val="single"/>
                </w:rPr>
                <w:t>Defaults Upon Senior Securities</w:t>
              </w:r>
            </w:hyperlink>
          </w:p>
        </w:tc>
        <w:tc>
          <w:tcPr>
            <w:tcW w:w="556" w:type="dxa"/>
            <w:tcBorders/>
            <w:vAlign w:val="center"/>
          </w:tcPr>
          <w:p>
            <w:pPr>
              <w:pStyle w:val="TableContents"/>
              <w:bidi w:val="0"/>
              <w:spacing w:before="0" w:after="0"/>
              <w:ind w:left="0" w:right="0" w:hanging="0"/>
              <w:jc w:val="right"/>
              <w:rPr/>
            </w:pPr>
            <w:hyperlink w:anchor="duss">
              <w:r>
                <w:rPr>
                  <w:rStyle w:val="InternetLink"/>
                  <w:rFonts w:ascii="Arial;Helvetica;sans-serif" w:hAnsi="Arial;Helvetica;sans-serif"/>
                  <w:caps w:val="false"/>
                  <w:smallCaps w:val="false"/>
                  <w:sz w:val="20"/>
                </w:rPr>
                <w:t>87</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4.</w:t>
            </w:r>
          </w:p>
        </w:tc>
        <w:tc>
          <w:tcPr>
            <w:tcW w:w="7816" w:type="dxa"/>
            <w:tcBorders/>
            <w:vAlign w:val="center"/>
          </w:tcPr>
          <w:p>
            <w:pPr>
              <w:pStyle w:val="TableContents"/>
              <w:bidi w:val="0"/>
              <w:spacing w:before="0" w:after="0"/>
              <w:ind w:left="0" w:right="0" w:hanging="0"/>
              <w:jc w:val="left"/>
              <w:rPr/>
            </w:pPr>
            <w:hyperlink w:anchor="msd">
              <w:r>
                <w:rPr>
                  <w:rStyle w:val="InternetLink"/>
                  <w:rFonts w:ascii="Arial;Helvetica;sans-serif" w:hAnsi="Arial;Helvetica;sans-serif"/>
                  <w:caps w:val="false"/>
                  <w:smallCaps w:val="false"/>
                  <w:sz w:val="20"/>
                  <w:u w:val="single"/>
                </w:rPr>
                <w:t>Mine Safety Disclosures</w:t>
              </w:r>
            </w:hyperlink>
          </w:p>
        </w:tc>
        <w:tc>
          <w:tcPr>
            <w:tcW w:w="556" w:type="dxa"/>
            <w:tcBorders/>
            <w:vAlign w:val="center"/>
          </w:tcPr>
          <w:p>
            <w:pPr>
              <w:pStyle w:val="TableContents"/>
              <w:bidi w:val="0"/>
              <w:spacing w:before="0" w:after="0"/>
              <w:ind w:left="0" w:right="0" w:hanging="0"/>
              <w:jc w:val="right"/>
              <w:rPr/>
            </w:pPr>
            <w:hyperlink w:anchor="msd">
              <w:r>
                <w:rPr>
                  <w:rStyle w:val="InternetLink"/>
                  <w:rFonts w:ascii="Arial;Helvetica;sans-serif" w:hAnsi="Arial;Helvetica;sans-serif"/>
                  <w:caps w:val="false"/>
                  <w:smallCaps w:val="false"/>
                  <w:sz w:val="20"/>
                </w:rPr>
                <w:t>87</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5.</w:t>
            </w:r>
          </w:p>
        </w:tc>
        <w:tc>
          <w:tcPr>
            <w:tcW w:w="7816" w:type="dxa"/>
            <w:tcBorders/>
            <w:vAlign w:val="center"/>
          </w:tcPr>
          <w:p>
            <w:pPr>
              <w:pStyle w:val="TableContents"/>
              <w:bidi w:val="0"/>
              <w:spacing w:before="0" w:after="0"/>
              <w:ind w:left="0" w:right="0" w:hanging="0"/>
              <w:jc w:val="left"/>
              <w:rPr/>
            </w:pPr>
            <w:hyperlink w:anchor="oi">
              <w:r>
                <w:rPr>
                  <w:rStyle w:val="InternetLink"/>
                  <w:rFonts w:ascii="Arial;Helvetica;sans-serif" w:hAnsi="Arial;Helvetica;sans-serif"/>
                  <w:caps w:val="false"/>
                  <w:smallCaps w:val="false"/>
                  <w:sz w:val="20"/>
                  <w:u w:val="single"/>
                </w:rPr>
                <w:t>Other Information</w:t>
              </w:r>
            </w:hyperlink>
          </w:p>
        </w:tc>
        <w:tc>
          <w:tcPr>
            <w:tcW w:w="556" w:type="dxa"/>
            <w:tcBorders/>
            <w:vAlign w:val="center"/>
          </w:tcPr>
          <w:p>
            <w:pPr>
              <w:pStyle w:val="TableContents"/>
              <w:bidi w:val="0"/>
              <w:spacing w:before="0" w:after="0"/>
              <w:ind w:left="0" w:right="0" w:hanging="0"/>
              <w:jc w:val="right"/>
              <w:rPr/>
            </w:pPr>
            <w:hyperlink w:anchor="oi">
              <w:r>
                <w:rPr>
                  <w:rStyle w:val="InternetLink"/>
                  <w:rFonts w:ascii="Arial;Helvetica;sans-serif" w:hAnsi="Arial;Helvetica;sans-serif"/>
                  <w:caps w:val="false"/>
                  <w:smallCaps w:val="false"/>
                  <w:sz w:val="20"/>
                </w:rPr>
                <w:t>87</w:t>
              </w:r>
            </w:hyperlink>
          </w:p>
        </w:tc>
      </w:tr>
      <w:tr>
        <w:trPr/>
        <w:tc>
          <w:tcPr>
            <w:tcW w:w="8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6.</w:t>
            </w:r>
          </w:p>
        </w:tc>
        <w:tc>
          <w:tcPr>
            <w:tcW w:w="7816" w:type="dxa"/>
            <w:tcBorders/>
            <w:vAlign w:val="center"/>
          </w:tcPr>
          <w:p>
            <w:pPr>
              <w:pStyle w:val="TableContents"/>
              <w:bidi w:val="0"/>
              <w:spacing w:before="0" w:after="0"/>
              <w:ind w:left="0" w:right="0" w:hanging="0"/>
              <w:jc w:val="left"/>
              <w:rPr/>
            </w:pPr>
            <w:hyperlink w:anchor="ex">
              <w:r>
                <w:rPr>
                  <w:rStyle w:val="InternetLink"/>
                  <w:rFonts w:ascii="Arial;Helvetica;sans-serif" w:hAnsi="Arial;Helvetica;sans-serif"/>
                  <w:caps w:val="false"/>
                  <w:smallCaps w:val="false"/>
                  <w:sz w:val="20"/>
                  <w:u w:val="single"/>
                </w:rPr>
                <w:t>Exhibits</w:t>
              </w:r>
            </w:hyperlink>
          </w:p>
        </w:tc>
        <w:tc>
          <w:tcPr>
            <w:tcW w:w="556" w:type="dxa"/>
            <w:tcBorders/>
            <w:vAlign w:val="center"/>
          </w:tcPr>
          <w:p>
            <w:pPr>
              <w:pStyle w:val="TableContents"/>
              <w:bidi w:val="0"/>
              <w:spacing w:before="0" w:after="0"/>
              <w:ind w:left="0" w:right="0" w:hanging="0"/>
              <w:jc w:val="right"/>
              <w:rPr/>
            </w:pPr>
            <w:hyperlink w:anchor="ex">
              <w:r>
                <w:rPr>
                  <w:rStyle w:val="InternetLink"/>
                  <w:rFonts w:ascii="Arial;Helvetica;sans-serif" w:hAnsi="Arial;Helvetica;sans-serif"/>
                  <w:caps w:val="false"/>
                  <w:smallCaps w:val="false"/>
                  <w:sz w:val="20"/>
                </w:rPr>
                <w:t>88</w:t>
              </w:r>
            </w:hyperlink>
          </w:p>
        </w:tc>
      </w:tr>
      <w:tr>
        <w:trPr/>
        <w:tc>
          <w:tcPr>
            <w:tcW w:w="856" w:type="dxa"/>
            <w:tcBorders/>
            <w:vAlign w:val="center"/>
          </w:tcPr>
          <w:p>
            <w:pPr>
              <w:pStyle w:val="TableContents"/>
              <w:bidi w:val="0"/>
              <w:spacing w:before="0" w:after="283"/>
              <w:jc w:val="left"/>
              <w:rPr/>
            </w:pPr>
            <w:r>
              <w:rPr/>
              <w:t> </w:t>
            </w:r>
          </w:p>
        </w:tc>
        <w:tc>
          <w:tcPr>
            <w:tcW w:w="7816" w:type="dxa"/>
            <w:tcBorders/>
            <w:vAlign w:val="center"/>
          </w:tcPr>
          <w:p>
            <w:pPr>
              <w:pStyle w:val="TableContents"/>
              <w:bidi w:val="0"/>
              <w:spacing w:before="0" w:after="0"/>
              <w:ind w:left="0" w:right="0" w:hanging="0"/>
              <w:jc w:val="left"/>
              <w:rPr/>
            </w:pPr>
            <w:hyperlink w:anchor="sigs">
              <w:r>
                <w:rPr>
                  <w:rStyle w:val="InternetLink"/>
                  <w:rFonts w:ascii="Arial;Helvetica;sans-serif" w:hAnsi="Arial;Helvetica;sans-serif"/>
                  <w:caps w:val="false"/>
                  <w:smallCaps w:val="false"/>
                  <w:sz w:val="20"/>
                  <w:u w:val="single"/>
                </w:rPr>
                <w:t>Signatures</w:t>
              </w:r>
            </w:hyperlink>
          </w:p>
        </w:tc>
        <w:tc>
          <w:tcPr>
            <w:tcW w:w="556" w:type="dxa"/>
            <w:tcBorders/>
            <w:vAlign w:val="center"/>
          </w:tcPr>
          <w:p>
            <w:pPr>
              <w:pStyle w:val="TableContents"/>
              <w:bidi w:val="0"/>
              <w:spacing w:before="0" w:after="0"/>
              <w:ind w:left="0" w:right="0" w:hanging="0"/>
              <w:jc w:val="right"/>
              <w:rPr/>
            </w:pPr>
            <w:hyperlink w:anchor="sigs">
              <w:r>
                <w:rPr>
                  <w:rStyle w:val="InternetLink"/>
                  <w:rFonts w:ascii="Arial;Helvetica;sans-serif" w:hAnsi="Arial;Helvetica;sans-serif"/>
                  <w:caps w:val="false"/>
                  <w:smallCaps w:val="false"/>
                  <w:sz w:val="20"/>
                </w:rPr>
                <w:t>89</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Trademarks and Trade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Unless the context requires otherwise, references in this Quarterly Report to the “Company,” "UroGen," “we,” “us” and “our” refer to UroGen Pharma Ltd. and its subsidiary, UroGen Pharma,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UroGen®,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are trademarks of ours that we use in this Quarterly Report. This Quarterly Report also includes trademarks, tradenames, and service marks that are the property of other organizations. Solely for convenience, our trademarks and tradenames referred to in this Quarterly Report appear without the ® or ™ symbols, but those references are not intended to indicate, in any way, that we will not assert, to the fullest extent under applicable law, our rights, or the right of the applicable licensor to our trademark and tradenames.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rPr>
      </w:pPr>
      <w:bookmarkStart w:id="3" w:name="pi"/>
      <w:bookmarkEnd w:id="3"/>
      <w:r>
        <w:rPr>
          <w:rFonts w:ascii="Arial;Helvetica;sans-serif" w:hAnsi="Arial;Helvetica;sans-serif"/>
          <w:b/>
          <w:caps w:val="false"/>
          <w:smallCaps w:val="false"/>
          <w:sz w:val="20"/>
        </w:rPr>
        <w:t>Part I</w:t>
      </w:r>
      <w:r>
        <w:rPr>
          <w:rFonts w:ascii="Arial;Helvetica;sans-serif" w:hAnsi="Arial;Helvetica;sans-serif"/>
          <w:caps w:val="false"/>
          <w:smallCaps w:val="false"/>
          <w:sz w:val="20"/>
        </w:rPr>
        <w:t>—</w:t>
      </w:r>
      <w:r>
        <w:rPr>
          <w:rFonts w:ascii="Arial;Helvetica;sans-serif" w:hAnsi="Arial;Helvetica;sans-serif"/>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Balance Sheets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 in thousands, except share amounts and par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2"/>
        <w:gridCol w:w="60"/>
        <w:gridCol w:w="125"/>
        <w:gridCol w:w="770"/>
        <w:gridCol w:w="80"/>
        <w:gridCol w:w="60"/>
        <w:gridCol w:w="148"/>
        <w:gridCol w:w="919"/>
        <w:gridCol w:w="81"/>
      </w:tblGrid>
      <w:tr>
        <w:trPr/>
        <w:tc>
          <w:tcPr>
            <w:tcW w:w="7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110,745</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9,711</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1,350</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33,082</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16,464</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14,672</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235,426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186,024</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637</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deposit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177</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5,376</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2,810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3,080</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5,161</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252,590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200,455</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Liabilities and Shareholders'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27,717</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Employee related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13,516</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firstLine="36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 related to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1,274</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firstLine="36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 related to 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481</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3,430</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46,418</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forward obligation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127,276</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sz w:val="20"/>
              </w:rPr>
            </w:pPr>
            <w:r>
              <w:rPr>
                <w:rFonts w:ascii="Arial;Helvetica;sans-serif" w:hAnsi="Arial;Helvetica;san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188,734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122,210</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long-term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3,475</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long-term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2,647</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Uncertain tax positions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3,903</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305,929</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Commitments and contingencies (Note 19)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54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Ordinary shares, NIS 0.01 par value, 100,000,000 shares authorized at June 30, 2026 and December 31, 2025; 48,869,530 and 48,350,272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133</w:t>
            </w:r>
          </w:p>
        </w:tc>
        <w:tc>
          <w:tcPr>
            <w:tcW w:w="81" w:type="dxa"/>
            <w:tcBorders/>
            <w:shd w:fill="FFFFFF" w:val="clear"/>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865,112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854,090</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(997,641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(959,716</w:t>
            </w:r>
          </w:p>
        </w:tc>
        <w:tc>
          <w:tcPr>
            <w:tcW w:w="8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96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1" w:type="dxa"/>
            <w:tcBorders/>
            <w:shd w:fill="CCEEFF" w:val="clear"/>
            <w:vAlign w:val="center"/>
          </w:tcPr>
          <w:p>
            <w:pPr>
              <w:pStyle w:val="TableContents"/>
              <w:bidi w:val="0"/>
              <w:spacing w:before="0" w:after="283"/>
              <w:jc w:val="left"/>
              <w:rPr/>
            </w:pPr>
            <w:r>
              <w:rPr/>
              <w:t> </w:t>
            </w:r>
          </w:p>
        </w:tc>
      </w:tr>
      <w:tr>
        <w:trPr/>
        <w:tc>
          <w:tcPr>
            <w:tcW w:w="796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(132,396</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(105,474</w:t>
            </w:r>
          </w:p>
        </w:tc>
        <w:tc>
          <w:tcPr>
            <w:tcW w:w="8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96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and shareholders' deficit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252,590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200,455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The accompanying notes are an integral part of these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4" w:name="income"/>
      <w:bookmarkEnd w:id="4"/>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9"/>
        <w:gridCol w:w="60"/>
        <w:gridCol w:w="147"/>
        <w:gridCol w:w="1155"/>
        <w:gridCol w:w="94"/>
        <w:gridCol w:w="70"/>
        <w:gridCol w:w="147"/>
        <w:gridCol w:w="1155"/>
        <w:gridCol w:w="80"/>
        <w:gridCol w:w="60"/>
        <w:gridCol w:w="143"/>
        <w:gridCol w:w="1121"/>
        <w:gridCol w:w="91"/>
        <w:gridCol w:w="68"/>
        <w:gridCol w:w="143"/>
        <w:gridCol w:w="1121"/>
        <w:gridCol w:w="101"/>
      </w:tblGrid>
      <w:tr>
        <w:trPr/>
        <w:tc>
          <w:tcPr>
            <w:tcW w:w="44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For the 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For the Six Months Ended June 30,</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72,456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123,415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44,469</w:t>
            </w:r>
          </w:p>
        </w:tc>
        <w:tc>
          <w:tcPr>
            <w:tcW w:w="101" w:type="dxa"/>
            <w:tcBorders/>
            <w:shd w:fill="CCEEFF" w:val="clear"/>
            <w:vAlign w:val="center"/>
          </w:tcPr>
          <w:p>
            <w:pPr>
              <w:pStyle w:val="TableContents"/>
              <w:bidi w:val="0"/>
              <w:spacing w:before="0" w:after="283"/>
              <w:jc w:val="left"/>
              <w:rPr/>
            </w:pPr>
            <w:r>
              <w:rPr/>
              <w:t> </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6,572</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10,711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5,880</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65,884</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112,704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38,589</w:t>
            </w:r>
          </w:p>
        </w:tc>
        <w:tc>
          <w:tcPr>
            <w:tcW w:w="101" w:type="dxa"/>
            <w:tcBorders/>
            <w:shd w:fill="CCEEFF" w:val="clear"/>
            <w:vAlign w:val="center"/>
          </w:tcPr>
          <w:p>
            <w:pPr>
              <w:pStyle w:val="TableContents"/>
              <w:bidi w:val="0"/>
              <w:spacing w:before="0" w:after="283"/>
              <w:jc w:val="left"/>
              <w:rPr/>
            </w:pPr>
            <w:r>
              <w:rPr/>
              <w:t> </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17,336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32,933</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38,785</w:t>
            </w:r>
          </w:p>
        </w:tc>
        <w:tc>
          <w:tcPr>
            <w:tcW w:w="101" w:type="dxa"/>
            <w:tcBorders/>
            <w:shd w:fill="CCEEFF" w:val="clear"/>
            <w:vAlign w:val="center"/>
          </w:tcPr>
          <w:p>
            <w:pPr>
              <w:pStyle w:val="TableContents"/>
              <w:bidi w:val="0"/>
              <w:spacing w:before="0" w:after="283"/>
              <w:jc w:val="left"/>
              <w:rPr/>
            </w:pPr>
            <w:r>
              <w:rPr/>
              <w:t> </w:t>
            </w:r>
          </w:p>
        </w:tc>
      </w:tr>
      <w:tr>
        <w:trPr/>
        <w:tc>
          <w:tcPr>
            <w:tcW w:w="4449"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48,437</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99,923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78,166</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(41,448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(20,152</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(78,362</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(4,545</w:t>
            </w:r>
          </w:p>
        </w:tc>
        <w:tc>
          <w:tcPr>
            <w:tcW w:w="9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(4,644</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(9,051</w:t>
            </w:r>
          </w:p>
        </w:tc>
        <w:tc>
          <w:tcPr>
            <w:tcW w:w="9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(9,227</w:t>
            </w:r>
          </w:p>
        </w:tc>
        <w:tc>
          <w:tcPr>
            <w:tcW w:w="10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on 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(4,887</w:t>
            </w:r>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(4,132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(9,072</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(8,200</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3,413</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(8,722</w:t>
            </w:r>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(48,925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(37,068</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(92,376</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(5,629</w:t>
            </w:r>
          </w:p>
        </w:tc>
        <w:tc>
          <w:tcPr>
            <w:tcW w:w="9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(1,015</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(857</w:t>
            </w:r>
          </w:p>
        </w:tc>
        <w:tc>
          <w:tcPr>
            <w:tcW w:w="9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(1,407</w:t>
            </w:r>
          </w:p>
        </w:tc>
        <w:tc>
          <w:tcPr>
            <w:tcW w:w="10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(14,351</w:t>
            </w:r>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(49,940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(37,925</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(93,783</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Statements of comprehensive loss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(14,351</w:t>
            </w:r>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(49,940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(37,925</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(93,783</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449"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Unrealized loss on investments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(14,361</w:t>
            </w:r>
          </w:p>
        </w:tc>
        <w:tc>
          <w:tcPr>
            <w:tcW w:w="9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(49,948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(37,946</w:t>
            </w:r>
          </w:p>
        </w:tc>
        <w:tc>
          <w:tcPr>
            <w:tcW w:w="9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(93,833</w:t>
            </w:r>
          </w:p>
        </w:tc>
        <w:tc>
          <w:tcPr>
            <w:tcW w:w="10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ordinary share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(0.28</w:t>
            </w:r>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(0.75</w:t>
            </w:r>
          </w:p>
        </w:tc>
        <w:tc>
          <w:tcPr>
            <w:tcW w:w="9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w:t>
            </w:r>
          </w:p>
        </w:tc>
        <w:tc>
          <w:tcPr>
            <w:tcW w:w="101"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number of shares outstanding used in computation of 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50,380,112</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47,739,816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50,282,221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47,582,610</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5" w:name="she"/>
      <w:bookmarkEnd w:id="5"/>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Condensed Consolidated Statements of Shareholders</w:t>
      </w:r>
      <w:r>
        <w:rPr>
          <w:rFonts w:ascii="Arial;Helvetica;sans-serif" w:hAnsi="Arial;Helvetica;sans-serif"/>
          <w:caps w:val="false"/>
          <w:smallCaps w:val="false"/>
          <w:sz w:val="20"/>
        </w:rPr>
        <w:t>’ </w:t>
      </w:r>
      <w:r>
        <w:rPr>
          <w:rFonts w:ascii="Arial;Helvetica;sans-serif" w:hAnsi="Arial;Helvetica;sans-serif"/>
          <w:b/>
          <w:caps w:val="false"/>
          <w:smallCaps w:val="false"/>
          <w:sz w:val="20"/>
        </w:rPr>
        <w:t>Deficit</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 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3"/>
        <w:gridCol w:w="60"/>
        <w:gridCol w:w="60"/>
        <w:gridCol w:w="980"/>
        <w:gridCol w:w="60"/>
        <w:gridCol w:w="60"/>
        <w:gridCol w:w="205"/>
        <w:gridCol w:w="550"/>
        <w:gridCol w:w="60"/>
        <w:gridCol w:w="60"/>
        <w:gridCol w:w="175"/>
        <w:gridCol w:w="1002"/>
        <w:gridCol w:w="60"/>
        <w:gridCol w:w="60"/>
        <w:gridCol w:w="172"/>
        <w:gridCol w:w="1063"/>
        <w:gridCol w:w="80"/>
        <w:gridCol w:w="60"/>
        <w:gridCol w:w="588"/>
        <w:gridCol w:w="1365"/>
        <w:gridCol w:w="80"/>
        <w:gridCol w:w="60"/>
        <w:gridCol w:w="125"/>
        <w:gridCol w:w="770"/>
        <w:gridCol w:w="97"/>
      </w:tblGrid>
      <w:tr>
        <w:trPr/>
        <w:tc>
          <w:tcPr>
            <w:tcW w:w="2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April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48,708,280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858,895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(983,290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6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(124,253</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During the Three Months Ended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 of options into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887</w:t>
            </w:r>
          </w:p>
        </w:tc>
        <w:tc>
          <w:tcPr>
            <w:tcW w:w="97" w:type="dxa"/>
            <w:tcBorders/>
            <w:shd w:fill="CCEEFF"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5,331</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ind w:left="0" w:right="0" w:hanging="0"/>
              <w:jc w:val="left"/>
              <w:rPr/>
            </w:pPr>
            <w:r>
              <w:rPr/>
              <w:t> </w:t>
            </w:r>
          </w:p>
        </w:tc>
        <w:tc>
          <w:tcPr>
            <w:tcW w:w="136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(14,351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(14,351</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48,869,530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865,112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(997,641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(132,396</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46,101,785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803,467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(850,065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6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(46,458</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During the Three Months Ended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 of options into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297</w:t>
            </w:r>
          </w:p>
        </w:tc>
        <w:tc>
          <w:tcPr>
            <w:tcW w:w="97" w:type="dxa"/>
            <w:tcBorders/>
            <w:shd w:fill="CCEEFF"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2,733</w:t>
            </w:r>
          </w:p>
        </w:tc>
        <w:tc>
          <w:tcPr>
            <w:tcW w:w="97" w:type="dxa"/>
            <w:tcBorders/>
            <w:shd w:fill="FFFFFF" w:val="cle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ind w:left="0" w:right="0" w:hanging="0"/>
              <w:jc w:val="left"/>
              <w:rPr/>
            </w:pPr>
            <w:r>
              <w:rPr/>
              <w:t> </w:t>
            </w:r>
          </w:p>
        </w:tc>
        <w:tc>
          <w:tcPr>
            <w:tcW w:w="136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(49,940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(49,940</w:t>
            </w:r>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5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46,199,134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806,497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(900,005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(93,376</w:t>
            </w:r>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Condensed Consolidated Statements of Shareholders</w:t>
      </w:r>
      <w:r>
        <w:rPr>
          <w:rFonts w:ascii="Arial;Helvetica;sans-serif" w:hAnsi="Arial;Helvetica;sans-serif"/>
          <w:caps w:val="false"/>
          <w:smallCaps w:val="false"/>
          <w:sz w:val="20"/>
        </w:rPr>
        <w:t>’ </w:t>
      </w:r>
      <w:r>
        <w:rPr>
          <w:rFonts w:ascii="Arial;Helvetica;sans-serif" w:hAnsi="Arial;Helvetica;sans-serif"/>
          <w:b/>
          <w:caps w:val="false"/>
          <w:smallCaps w:val="false"/>
          <w:sz w:val="20"/>
        </w:rPr>
        <w:t>Deficit</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 in thousands, except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27"/>
        <w:gridCol w:w="60"/>
        <w:gridCol w:w="60"/>
        <w:gridCol w:w="980"/>
        <w:gridCol w:w="60"/>
        <w:gridCol w:w="60"/>
        <w:gridCol w:w="205"/>
        <w:gridCol w:w="550"/>
        <w:gridCol w:w="60"/>
        <w:gridCol w:w="60"/>
        <w:gridCol w:w="176"/>
        <w:gridCol w:w="1007"/>
        <w:gridCol w:w="80"/>
        <w:gridCol w:w="60"/>
        <w:gridCol w:w="172"/>
        <w:gridCol w:w="1063"/>
        <w:gridCol w:w="80"/>
        <w:gridCol w:w="60"/>
        <w:gridCol w:w="592"/>
        <w:gridCol w:w="1376"/>
        <w:gridCol w:w="80"/>
        <w:gridCol w:w="60"/>
        <w:gridCol w:w="125"/>
        <w:gridCol w:w="770"/>
        <w:gridCol w:w="82"/>
      </w:tblGrid>
      <w:tr>
        <w:trPr/>
        <w:tc>
          <w:tcPr>
            <w:tcW w:w="2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Additional 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48,350,272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854,090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(959,716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7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(105,474</w:t>
            </w:r>
          </w:p>
        </w:tc>
        <w:tc>
          <w:tcPr>
            <w:tcW w:w="8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During the Six Months Ended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 of options into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519,258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1,066</w:t>
            </w:r>
          </w:p>
        </w:tc>
        <w:tc>
          <w:tcPr>
            <w:tcW w:w="82" w:type="dxa"/>
            <w:tcBorders/>
            <w:shd w:fill="CCEEFF" w:val="clear"/>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9,958</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ind w:left="0" w:right="0" w:hanging="0"/>
              <w:jc w:val="left"/>
              <w:rPr/>
            </w:pPr>
            <w:r>
              <w:rPr/>
              <w:t> </w:t>
            </w:r>
          </w:p>
        </w:tc>
        <w:tc>
          <w:tcPr>
            <w:tcW w:w="137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(37,925</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(37,925</w:t>
            </w:r>
          </w:p>
        </w:tc>
        <w:tc>
          <w:tcPr>
            <w:tcW w:w="8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48,869,530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865,112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(997,641</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(132,396</w:t>
            </w:r>
          </w:p>
        </w:tc>
        <w:tc>
          <w:tcPr>
            <w:tcW w:w="8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42,231,746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797,248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(806,222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7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(8,803</w:t>
            </w:r>
          </w:p>
        </w:tc>
        <w:tc>
          <w:tcPr>
            <w:tcW w:w="8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During the Six Months Ended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 of options into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386,274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327</w:t>
            </w:r>
          </w:p>
        </w:tc>
        <w:tc>
          <w:tcPr>
            <w:tcW w:w="82" w:type="dxa"/>
            <w:tcBorders/>
            <w:shd w:fill="CCEEFF" w:val="clear"/>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5,802</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Conversion of pre-funded warrants into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3,206,271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2" w:type="dxa"/>
            <w:tcBorders/>
            <w:shd w:fill="CCEEFF" w:val="clear"/>
            <w:vAlign w:val="center"/>
          </w:tcPr>
          <w:p>
            <w:pPr>
              <w:pStyle w:val="TableContents"/>
              <w:bidi w:val="0"/>
              <w:spacing w:before="0" w:after="283"/>
              <w:jc w:val="left"/>
              <w:rPr/>
            </w:pPr>
            <w:r>
              <w:rPr/>
              <w:t> </w:t>
            </w:r>
          </w:p>
        </w:tc>
      </w:tr>
      <w:tr>
        <w:trPr/>
        <w:tc>
          <w:tcPr>
            <w:tcW w:w="232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Issuance of ordinary shares,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3,128</w:t>
            </w:r>
          </w:p>
        </w:tc>
        <w:tc>
          <w:tcPr>
            <w:tcW w:w="82" w:type="dxa"/>
            <w:tcBorders/>
            <w:shd w:fill="FFFFFF" w:val="clear"/>
            <w:vAlign w:val="center"/>
          </w:tcPr>
          <w:p>
            <w:pPr>
              <w:pStyle w:val="TableContents"/>
              <w:bidi w:val="0"/>
              <w:spacing w:before="0" w:after="283"/>
              <w:jc w:val="left"/>
              <w:rPr/>
            </w:pPr>
            <w:r>
              <w:rPr/>
              <w:t> </w:t>
            </w:r>
          </w:p>
        </w:tc>
      </w:tr>
      <w:tr>
        <w:trPr/>
        <w:tc>
          <w:tcPr>
            <w:tcW w:w="232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ind w:left="0" w:right="0" w:hanging="0"/>
              <w:jc w:val="left"/>
              <w:rPr/>
            </w:pPr>
            <w:r>
              <w:rPr/>
              <w:t> </w:t>
            </w:r>
          </w:p>
        </w:tc>
        <w:tc>
          <w:tcPr>
            <w:tcW w:w="137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8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(93,783</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(93,783</w:t>
            </w:r>
          </w:p>
        </w:tc>
        <w:tc>
          <w:tcPr>
            <w:tcW w:w="8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2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46,199,134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806,497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(900,005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(93,376</w:t>
            </w:r>
          </w:p>
        </w:tc>
        <w:tc>
          <w:tcPr>
            <w:tcW w:w="8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6" w:name="cfs"/>
      <w:bookmarkEnd w:id="6"/>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Cash Flows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5"/>
        <w:gridCol w:w="60"/>
        <w:gridCol w:w="176"/>
        <w:gridCol w:w="1004"/>
        <w:gridCol w:w="112"/>
        <w:gridCol w:w="84"/>
        <w:gridCol w:w="176"/>
        <w:gridCol w:w="1004"/>
        <w:gridCol w:w="84"/>
      </w:tblGrid>
      <w:tr>
        <w:trPr/>
        <w:tc>
          <w:tcPr>
            <w:tcW w:w="7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Six Months Ended June 30,</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(37,925</w:t>
            </w:r>
          </w:p>
        </w:tc>
        <w:tc>
          <w:tcPr>
            <w:tcW w:w="11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(93,783</w:t>
            </w:r>
          </w:p>
        </w:tc>
        <w:tc>
          <w:tcPr>
            <w:tcW w:w="8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reconcile net loss to net cash from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financing on prepaid forward obligation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2,050</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Accretion on marketable securities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(250</w:t>
            </w:r>
          </w:p>
        </w:tc>
        <w:tc>
          <w:tcPr>
            <w:tcW w:w="11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(1,640</w:t>
            </w:r>
          </w:p>
        </w:tc>
        <w:tc>
          <w:tcPr>
            <w:tcW w:w="8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9,958</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5,802</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sz w:val="20"/>
              </w:rPr>
            </w:pPr>
            <w:r>
              <w:rPr>
                <w:rFonts w:ascii="Arial;Helvetica;sans-serif" w:hAnsi="Arial;Helvetica;sans-serif"/>
                <w:sz w:val="20"/>
              </w:rPr>
              <w:t>Amortization of discount on long-term debt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1,178</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774</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1,167</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941</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0" w:right="0" w:firstLine="900"/>
              <w:jc w:val="left"/>
              <w:rPr>
                <w:rFonts w:ascii="Arial;Helvetica;sans-serif" w:hAnsi="Arial;Helvetica;sans-serif"/>
                <w:sz w:val="20"/>
              </w:rPr>
            </w:pPr>
            <w:r>
              <w:rPr>
                <w:rFonts w:ascii="Arial;Helvetica;sans-serif" w:hAnsi="Arial;Helvetica;sans-serif"/>
                <w:sz w:val="20"/>
              </w:rPr>
              <w:t>Acquisitions of IPR&amp;D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3,128</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(8,125</w:t>
            </w:r>
          </w:p>
        </w:tc>
        <w:tc>
          <w:tcPr>
            <w:tcW w:w="11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2,099</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(55,675</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653</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1,896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(3,210</w:t>
            </w:r>
          </w:p>
        </w:tc>
        <w:tc>
          <w:tcPr>
            <w:tcW w:w="8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(3,600</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(212</w:t>
            </w:r>
          </w:p>
        </w:tc>
        <w:tc>
          <w:tcPr>
            <w:tcW w:w="8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12,228</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3,531</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Employee related accrued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(1,263</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1,076</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0" w:right="0" w:firstLine="900"/>
              <w:jc w:val="left"/>
              <w:rPr>
                <w:rFonts w:ascii="Arial;Helvetica;sans-serif" w:hAnsi="Arial;Helvetica;sans-serif"/>
                <w:sz w:val="20"/>
              </w:rPr>
            </w:pPr>
            <w:r>
              <w:rPr>
                <w:rFonts w:ascii="Arial;Helvetica;sans-serif" w:hAnsi="Arial;Helvetica;sans-serif"/>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62</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(1,344</w:t>
            </w:r>
          </w:p>
        </w:tc>
        <w:tc>
          <w:tcPr>
            <w:tcW w:w="8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deposit</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12"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84" w:type="dxa"/>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(78,322</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(81,849</w:t>
            </w:r>
          </w:p>
        </w:tc>
        <w:tc>
          <w:tcPr>
            <w:tcW w:w="8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0" w:right="0" w:firstLine="900"/>
              <w:jc w:val="left"/>
              <w:rPr>
                <w:rFonts w:ascii="Arial;Helvetica;sans-serif" w:hAnsi="Arial;Helvetica;sans-serif"/>
                <w:sz w:val="20"/>
              </w:rPr>
            </w:pPr>
            <w:r>
              <w:rPr>
                <w:rFonts w:ascii="Arial;Helvetica;sans-serif" w:hAnsi="Arial;Helvetica;sans-serif"/>
                <w:sz w:val="20"/>
              </w:rPr>
              <w:t>Purchases of marketable securities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(24,780</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(68,140</w:t>
            </w:r>
          </w:p>
        </w:tc>
        <w:tc>
          <w:tcPr>
            <w:tcW w:w="8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FFFF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Maturities of marketable securities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5,879</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70,768</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w:t>
            </w:r>
          </w:p>
        </w:tc>
        <w:tc>
          <w:tcPr>
            <w:tcW w:w="11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w:t>
            </w:r>
          </w:p>
        </w:tc>
        <w:tc>
          <w:tcPr>
            <w:tcW w:w="8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(19,015</w:t>
            </w:r>
          </w:p>
        </w:tc>
        <w:tc>
          <w:tcPr>
            <w:tcW w:w="11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2,443</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0" w:right="0" w:firstLine="900"/>
              <w:jc w:val="left"/>
              <w:rPr>
                <w:rFonts w:ascii="Arial;Helvetica;sans-serif" w:hAnsi="Arial;Helvetica;sans-serif"/>
                <w:sz w:val="20"/>
              </w:rPr>
            </w:pPr>
            <w:r>
              <w:rPr>
                <w:rFonts w:ascii="Arial;Helvetica;sans-serif" w:hAnsi="Arial;Helvetica;sans-serif"/>
                <w:sz w:val="20"/>
              </w:rPr>
              <w:t>Principal payments on finance leases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(708</w:t>
            </w:r>
          </w:p>
        </w:tc>
        <w:tc>
          <w:tcPr>
            <w:tcW w:w="11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90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exercise of options into ordinary shares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1,066</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327</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0" w:right="0" w:firstLine="900"/>
              <w:jc w:val="left"/>
              <w:rPr>
                <w:rFonts w:ascii="Arial;Helvetica;sans-serif" w:hAnsi="Arial;Helvetica;sans-serif"/>
                <w:sz w:val="20"/>
              </w:rPr>
            </w:pPr>
            <w:r>
              <w:rPr>
                <w:rFonts w:ascii="Arial;Helvetica;sans-serif" w:hAnsi="Arial;Helvetica;sans-serif"/>
                <w:sz w:val="20"/>
              </w:rPr>
              <w:t>Proceeds from issuance of long-term debt,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65,346</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50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pre-funded warrant issuance, net of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12"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84" w:type="dxa"/>
            <w:tcBorders/>
            <w:shd w:fill="FFFFFF" w:val="clear"/>
            <w:vAlign w:val="center"/>
          </w:tcPr>
          <w:p>
            <w:pPr>
              <w:pStyle w:val="TableContents"/>
              <w:bidi w:val="0"/>
              <w:spacing w:before="0" w:after="0"/>
              <w:jc w:val="left"/>
              <w:rPr/>
            </w:pPr>
            <w:r>
              <w:rPr/>
              <w:t> </w:t>
            </w:r>
          </w:p>
        </w:tc>
      </w:tr>
      <w:tr>
        <w:trPr/>
        <w:tc>
          <w:tcPr>
            <w:tcW w:w="750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65,704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(31,633</w:t>
            </w:r>
          </w:p>
        </w:tc>
        <w:tc>
          <w:tcPr>
            <w:tcW w:w="11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(79,076</w:t>
            </w:r>
          </w:p>
        </w:tc>
        <w:tc>
          <w:tcPr>
            <w:tcW w:w="8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50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112,095</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173,062</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80,462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93,986</w:t>
            </w:r>
          </w:p>
        </w:tc>
        <w:tc>
          <w:tcPr>
            <w:tcW w:w="84" w:type="dxa"/>
            <w:tcBorders/>
            <w:shd w:fill="FFFFFF" w:val="clear"/>
            <w:vAlign w:val="center"/>
          </w:tcPr>
          <w:p>
            <w:pPr>
              <w:pStyle w:val="TableContents"/>
              <w:bidi w:val="0"/>
              <w:spacing w:before="0" w:after="283"/>
              <w:jc w:val="left"/>
              <w:rPr/>
            </w:pPr>
            <w:r>
              <w:rPr/>
              <w:t> </w:t>
            </w:r>
          </w:p>
        </w:tc>
      </w:tr>
      <w:tr>
        <w:trPr/>
        <w:tc>
          <w:tcPr>
            <w:tcW w:w="750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Supplemental Disclosures of Non-Cash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05" w:type="dxa"/>
            <w:tcBorders/>
            <w:shd w:fill="FFFFFF" w:val="clear"/>
            <w:vAlign w:val="center"/>
          </w:tcPr>
          <w:p>
            <w:pPr>
              <w:pStyle w:val="TableContents"/>
              <w:bidi w:val="0"/>
              <w:spacing w:before="0" w:after="0"/>
              <w:ind w:left="900" w:right="0" w:hanging="900"/>
              <w:jc w:val="left"/>
              <w:rPr>
                <w:rFonts w:ascii="Arial;Helvetica;sans-serif" w:hAnsi="Arial;Helvetica;sans-serif"/>
                <w:caps w:val="false"/>
                <w:smallCaps w:val="false"/>
                <w:sz w:val="20"/>
              </w:rPr>
            </w:pPr>
            <w:r>
              <w:rPr>
                <w:rFonts w:ascii="Arial;Helvetica;sans-serif" w:hAnsi="Arial;Helvetica;sans-serif"/>
                <w:caps w:val="false"/>
                <w:smallCaps w:val="false"/>
                <w:sz w:val="20"/>
              </w:rPr>
              <w:t>Right-of-use assets obtained in exchange for new operating and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338</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3,358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5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Acquisitions of IPR&amp;D</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3,128</w:t>
            </w:r>
          </w:p>
        </w:tc>
        <w:tc>
          <w:tcPr>
            <w:tcW w:w="84"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7" w:name="notes"/>
      <w:bookmarkEnd w:id="7"/>
      <w:r>
        <w:rPr>
          <w:rFonts w:ascii="Arial;Helvetica;sans-serif" w:hAnsi="Arial;Helvetica;sans-serif"/>
          <w:b/>
          <w:caps w:val="false"/>
          <w:smallCaps w:val="false"/>
          <w:sz w:val="20"/>
        </w:rPr>
        <w:t>UroGen Pharma Ltd.</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Business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UroGen Pharma Ltd. is an Israeli company incorporated in </w:t>
      </w:r>
      <w:r>
        <w:rPr>
          <w:rStyle w:val="Emphasis"/>
          <w:rFonts w:ascii="Arial;Helvetica;sans-serif" w:hAnsi="Arial;Helvetica;sans-serif"/>
          <w:caps w:val="false"/>
          <w:smallCaps w:val="false"/>
          <w:sz w:val="20"/>
        </w:rPr>
        <w:t xml:space="preserve"> April 2004 (</w:t>
      </w:r>
      <w:r>
        <w:rPr>
          <w:rFonts w:ascii="Arial;Helvetica;sans-serif" w:hAnsi="Arial;Helvetica;sans-serif"/>
          <w:caps w:val="false"/>
          <w:smallCaps w:val="false"/>
          <w:sz w:val="20"/>
        </w:rPr>
        <w:t>“UPL”).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UroGen Pharma, Inc., a wholly owned subsidiary of UPL, was incorporated in Delaware in </w:t>
      </w:r>
      <w:r>
        <w:rPr>
          <w:rStyle w:val="Emphasis"/>
          <w:rFonts w:ascii="Arial;Helvetica;sans-serif" w:hAnsi="Arial;Helvetica;sans-serif"/>
          <w:caps w:val="false"/>
          <w:smallCaps w:val="false"/>
          <w:sz w:val="20"/>
        </w:rPr>
        <w:t xml:space="preserve"> October 2015 </w:t>
      </w:r>
      <w:r>
        <w:rPr>
          <w:rFonts w:ascii="Arial;Helvetica;sans-serif" w:hAnsi="Arial;Helvetica;sans-serif"/>
          <w:caps w:val="false"/>
          <w:smallCaps w:val="false"/>
          <w:sz w:val="20"/>
        </w:rPr>
        <w:t>and began operating in </w:t>
      </w:r>
      <w:r>
        <w:rPr>
          <w:rStyle w:val="Emphasis"/>
          <w:rFonts w:ascii="Arial;Helvetica;sans-serif" w:hAnsi="Arial;Helvetica;sans-serif"/>
          <w:caps w:val="false"/>
          <w:smallCaps w:val="false"/>
          <w:sz w:val="20"/>
        </w:rPr>
        <w:t xml:space="preserve"> February 2016 (</w:t>
      </w:r>
      <w:r>
        <w:rPr>
          <w:rFonts w:ascii="Arial;Helvetica;sans-serif" w:hAnsi="Arial;Helvetica;sans-serif"/>
          <w:caps w:val="false"/>
          <w:smallCaps w:val="false"/>
          <w:sz w:val="20"/>
        </w:rPr>
        <w:t>“UPI”).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UPL and UPI (together the “Company”) is a biotechnology company dedicated to developing and commercializing innovative solutions that treat urothelial and specialty cancers. Since commencing operations, the Company has devoted substantially all of its efforts to securing intellectual property rights, performing research and development activities, including conducting clinical trials and manufacturing activities, hiring personnel, launching the Company’s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commercial product,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(mitomycin) for pyelocalyceal solution, developing and securing regulatory approval of and commercializing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(mitomycin) for intravesical solution, formerly known as UGN-</w:t>
      </w:r>
      <w:r>
        <w:rPr>
          <w:rStyle w:val="Emphasis"/>
          <w:rFonts w:ascii="Arial;Helvetica;sans-serif" w:hAnsi="Arial;Helvetica;sans-serif"/>
          <w:caps w:val="false"/>
          <w:smallCaps w:val="false"/>
          <w:sz w:val="20"/>
        </w:rPr>
        <w:t>102,</w:t>
      </w:r>
      <w:r>
        <w:rPr>
          <w:rFonts w:ascii="Arial;Helvetica;sans-serif" w:hAnsi="Arial;Helvetica;sans-serif"/>
          <w:caps w:val="false"/>
          <w:smallCaps w:val="false"/>
          <w:sz w:val="20"/>
        </w:rPr>
        <w:t> and raising capital to support and expand these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April 15, 2020, </w:t>
      </w:r>
      <w:r>
        <w:rPr>
          <w:rFonts w:ascii="Arial;Helvetica;sans-serif" w:hAnsi="Arial;Helvetica;sans-serif"/>
          <w:caps w:val="false"/>
          <w:smallCaps w:val="false"/>
          <w:sz w:val="20"/>
        </w:rPr>
        <w:t>the U.S. Food and Drug Administration (“FDA”) granted approval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-in-class treatment indicated for adults with low-grade upper tract urothelial cancer (“low-grade UTUC”).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consists of mitomycin, an established chemotherapy, and sterile hydrogel, using the Company's proprietary sustained release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technology. It has been designed to enable longer exposure of urinary tract tissue to mitomycin, thereby enabling the treatment of tumors by non-surgical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June 12,</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the FDA approved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and only FDA-approved medication for adults with recurrent low-grade intermediate risk non-muscle invasive bladder cancer (“low-grade intermediate risk NMIBC”).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consists of mitomycin and sterile hydrogel, using the Company’s proprietary sustained release </w:t>
      </w:r>
      <w:r>
        <w:rPr>
          <w:rFonts w:ascii="Arial;Helvetica;sans-serif" w:hAnsi="Arial;Helvetica;sans-serif"/>
          <w:i/>
          <w:caps w:val="false"/>
          <w:smallCaps w:val="false"/>
          <w:sz w:val="20"/>
        </w:rPr>
        <w:t xml:space="preserve">RTGel </w:t>
      </w:r>
      <w:r>
        <w:rPr>
          <w:rFonts w:ascii="Arial;Helvetica;sans-serif" w:hAnsi="Arial;Helvetica;sans-serif"/>
          <w:caps w:val="false"/>
          <w:smallCaps w:val="false"/>
          <w:sz w:val="20"/>
        </w:rPr>
        <w:t>technology, and is delivered directly into the bladder in an out-patient procedure by a trained healthcare professional using a urinary catheter to enable the treatment of tumors by non-surgical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accompanying unaudited condensed consolidated financial statements have been prepared in accordance with U.S. generally accepted accounting principles (“GAAP”) for interim financial information and in accordance with the instructions to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-Q and Article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of Regulation S-</w:t>
      </w:r>
      <w:r>
        <w:rPr>
          <w:rStyle w:val="Emphasis"/>
          <w:rFonts w:ascii="Arial;Helvetica;sans-serif" w:hAnsi="Arial;Helvetica;sans-serif"/>
          <w:caps w:val="false"/>
          <w:smallCaps w:val="false"/>
          <w:sz w:val="20"/>
        </w:rPr>
        <w:t>X.</w:t>
      </w:r>
      <w:r>
        <w:rPr>
          <w:rFonts w:ascii="Arial;Helvetica;sans-serif" w:hAnsi="Arial;Helvetica;sans-serif"/>
          <w:caps w:val="false"/>
          <w:smallCaps w:val="false"/>
          <w:sz w:val="20"/>
        </w:rPr>
        <w:t xml:space="preserve"> Accordingly, they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 all the information and footnotes required by GAAP for complete financial statements. In the opinion of the Company’s management, the accompanying condensed consolidated financial statements contain all adjustments (consisting of normal recurring accruals and adjustments) necessary for fair statement of its financial position, results of operations and cash flows of the Company at the dates and for the periods indicated. Interim results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necessarily indicative of results for the full fiscal year. The year-end condensed consolidated balance sheet data was derived from audited financial statements but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 all disclosures required by GAAP. The unaudited condensed consolidated financial statements should be read in conjunction with the consolidated financial statements and the notes thereto contained in the Company’s Annual Report on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-K for the year ended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as filed with the U.S. Securities and Exchange Commission (“SEC”) on </w:t>
      </w:r>
      <w:r>
        <w:rPr>
          <w:rStyle w:val="Emphasis"/>
          <w:rFonts w:ascii="Arial;Helvetica;sans-serif" w:hAnsi="Arial;Helvetica;sans-serif"/>
          <w:caps w:val="false"/>
          <w:smallCaps w:val="false"/>
          <w:sz w:val="20"/>
        </w:rPr>
        <w:t>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 has experienced net losses since its inception and had an accumulated deficit o</w:t>
      </w:r>
      <w:r>
        <w:rPr>
          <w:rFonts w:ascii="Arial;Helvetica;sans-serif" w:hAnsi="Arial;Helvetica;sans-serif"/>
          <w:caps w:val="false"/>
          <w:smallCaps w:val="false"/>
          <w:sz w:val="20"/>
          <w:shd w:fill="FFFFFF" w:val="clear"/>
        </w:rPr>
        <w:t>f $997.6 </w:t>
      </w:r>
      <w:r>
        <w:rPr>
          <w:rFonts w:ascii="Arial;Helvetica;sans-serif" w:hAnsi="Arial;Helvetica;sans-serif"/>
          <w:caps w:val="false"/>
          <w:smallCaps w:val="false"/>
          <w:sz w:val="20"/>
        </w:rPr>
        <w:t xml:space="preserve">million and $959.7 million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respectively. The success of the Company depends on its ability to successfully commercialize its technologies to support its operations and strategic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accordance with the accounting guidance related to the presentation of financial statements, management evaluates whether there are conditions or events, considered in the aggregate, that raise substantial doubt about the Company’s ability to continue as a going concern for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from the date the financial statements are issued. The accompanying condensed consolidated financial statements have been prepared assuming that the Company will continue as a going concern, and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 any adjustments relating to the carrying amounts and classification of assets and liabilities that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necessary should the Company be unable to continue as a going concern. The Company's ability to continue as a going concern is expected to be impacted by its ability to produce cash inflows from </w:t>
      </w:r>
      <w:r>
        <w:rPr>
          <w:rFonts w:ascii="Arial;Helvetica;sans-serif" w:hAnsi="Arial;Helvetica;sans-serif"/>
          <w:i/>
          <w:caps w:val="false"/>
          <w:smallCaps w:val="false"/>
          <w:sz w:val="20"/>
        </w:rPr>
        <w:t xml:space="preserve">Jelmyto </w:t>
      </w:r>
      <w:r>
        <w:rPr>
          <w:rFonts w:ascii="Arial;Helvetica;sans-serif" w:hAnsi="Arial;Helvetica;sans-serif"/>
          <w:caps w:val="false"/>
          <w:smallCaps w:val="false"/>
          <w:sz w:val="20"/>
        </w:rPr>
        <w:t xml:space="preserve">and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 xml:space="preserve">product sales, the rate of physician and patient adoption of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and the Company's ability to raise additional capital to fund its operations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Based on the Company's cash and cash equivalents and marketable securities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together with management’s cash flow projections, the Company believes that it has sufficient cash and cash equivalents to fund its operations beyond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 from the issuance of these financial statements. If the Company is unable to generate sufficient cash inflows from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 xml:space="preserve">product sales, the Company </w:t>
      </w:r>
      <w:r>
        <w:rPr>
          <w:rStyle w:val="Emphasis"/>
          <w:rFonts w:ascii="Arial;Helvetica;sans-serif" w:hAnsi="Arial;Helvetica;sans-serif"/>
          <w:caps w:val="false"/>
          <w:smallCaps w:val="false"/>
          <w:sz w:val="20"/>
        </w:rPr>
        <w:t>may </w:t>
      </w:r>
      <w:r>
        <w:rPr>
          <w:rFonts w:ascii="Arial;Helvetica;sans-serif" w:hAnsi="Arial;Helvetica;sans-serif"/>
          <w:caps w:val="false"/>
          <w:smallCaps w:val="false"/>
          <w:sz w:val="20"/>
        </w:rPr>
        <w:t>need to raise additional capital in the future or reduce operating expenditures. There can be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assurances that the Company will be able to secure such additional financing on terms that are satisfactory to the Company, in an amount sufficient to meet the Company's needs, or at all. In the event the Company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successful in obtaining sufficient funding, this could force the Company to delay, limit, reduce or terminate the Company's product development, commercialization efforts or other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6</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3</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Company's condensed consolidated financial statements include the accounts of UPL and its subsidiary, UPI. Intercompany balances and transactions have been eliminated during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differ from those estimates. As applicable to the unaudited condensed consolidated financial statements, the critical accounting estimates relate to the fair value of share-based compensation, measurement of revenue, estimate of uncertain tax positions, and measurement of liabilities accounted for under the interest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U.S. dollar (“Dollar” or "dollar") is the currency of the primary economic environment in which the operations of the Company are conducted. Therefore, the functional currency of the Company is the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condensed consolidated statements of operations as “Interest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Cash and Cash Equivalents;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presents all highly liquid investments with an original maturity of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months or less when purchased as cash equivalents. Cash and cash equivalents generally consist of money market funds and bank money market accounts and are stated at cost, which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Cash and cash equivalents and marketable securities totaled $108.0 million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The Company accounts for its investments, which include cash equivalents and marketable securities, as available-for-sale in accordance with the Financial Accounting Standards Board (“FASB”) Accounting Standards Codification (“ASC”) Topic </w:t>
      </w:r>
      <w:r>
        <w:rPr>
          <w:rStyle w:val="Emphasis"/>
          <w:rFonts w:ascii="Arial;Helvetica;sans-serif" w:hAnsi="Arial;Helvetica;sans-serif"/>
          <w:caps w:val="false"/>
          <w:smallCaps w:val="false"/>
          <w:sz w:val="20"/>
        </w:rPr>
        <w:t>320,</w:t>
      </w:r>
      <w:r>
        <w:rPr>
          <w:rFonts w:ascii="Arial;Helvetica;sans-serif" w:hAnsi="Arial;Helvetica;sans-serif"/>
          <w:caps w:val="false"/>
          <w:smallCaps w:val="false"/>
          <w:sz w:val="20"/>
        </w:rPr>
        <w:t xml:space="preserve"> “Investments — Debt and Equity Securities”. Available-for-sale debt securities are carried at fair value with unrealized gains and losses reported in accumulated other comprehensive income (loss) within the condensed consolidated statements of shareholders’ deficit. Realized gains and losses are recorded as a component of interest and other income, net. The cost of securities sold is based on the specific-identification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Certain short-term investments are valued using models or other valuation methodologies that use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The majority of these assumptions are observable in the marketplace, can be derived from observable data or are supported by observable levels at which transactions are executed in the marketplace.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For individual debt securities classified as available-for-sale securities where there has been a decline in fair value below amortized cost, the Company determines whether the decline resulted from a credit loss or other factors. The Company records impairment relating to credit losses through an allowance for credit losses, limited by the amount that the fair value is less than the amortized cost basis. Impairment that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recorded through an allowance for credit losses is recorded through other comprehensive income, net of applicable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 is related primarily to cash held to secure corporate credit cards; restricted deposits are related to cash held to secure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 w:hAnsi="Arial"/>
          <w:sz w:val="20"/>
        </w:rPr>
        <w:t>7</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Financial instruments, which potentially subject the Company to significant concentrations of credit risk, consist primarily of cash and cash equivalents and marketable securities. The primary objectives for the Company’s investment portfolio are the preservation of capital and the maintenance of liquidity.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enter into any investment transactions for trading 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The Company maintains cash balances in excess of amounts insured by the Federal Deposit Insurance Corporation and concentrated within a limited number of financial institutions. The accounts are monitored by management to mitigate the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Company’s accounts receivables are composed of net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arising from the Company's arrangements with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customers, both of which are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national specialty distributors. The Company assesses the need for an allowance for doubtful accounts primarily based on creditworthiness, historical payment experience and general economic conditions. The Company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experienced any credit losses related to arrangements with customers and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currently recognized any allowance for doubtful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provides for income taxes based on pretax income, if any, and applicable tax rates available in the various jurisdictions in which it operates, including Israel and the United States. Deferred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deferred taxes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realized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follows a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-step approach in recognizing and measuring uncertain tax positions. After concluding that a particular filing position can be recognized (i.e., has a more-likely-than-</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chance of being sustained), ASC </w:t>
      </w:r>
      <w:r>
        <w:rPr>
          <w:rStyle w:val="Emphasis"/>
          <w:rFonts w:ascii="Arial;Helvetica;sans-serif" w:hAnsi="Arial;Helvetica;sans-serif"/>
          <w:caps w:val="false"/>
          <w:smallCaps w:val="false"/>
          <w:sz w:val="20"/>
        </w:rPr>
        <w:t>740</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7</w:t>
      </w:r>
      <w:r>
        <w:rPr>
          <w:rFonts w:ascii="Arial;Helvetica;sans-serif" w:hAnsi="Arial;Helvetica;sans-serif"/>
          <w:caps w:val="false"/>
          <w:smallCaps w:val="false"/>
          <w:sz w:val="20"/>
        </w:rPr>
        <w:t xml:space="preserve"> requires that the amount of benefit recognized be measured using a methodology based on the concept of cumulative probability. Under this methodology, the amount of benefit recorded represents the largest amount of tax benefit that is greater than </w:t>
      </w:r>
      <w:r>
        <w:rPr>
          <w:rStyle w:val="Emphasis"/>
          <w:rFonts w:ascii="Arial;Helvetica;sans-serif" w:hAnsi="Arial;Helvetica;sans-serif"/>
          <w:caps w:val="false"/>
          <w:smallCaps w:val="false"/>
          <w:sz w:val="20"/>
        </w:rPr>
        <w:t>50%</w:t>
      </w:r>
      <w:r>
        <w:rPr>
          <w:rFonts w:ascii="Arial;Helvetica;sans-serif" w:hAnsi="Arial;Helvetica;sans-serif"/>
          <w:caps w:val="false"/>
          <w:smallCaps w:val="false"/>
          <w:sz w:val="20"/>
        </w:rPr>
        <w:t xml:space="preserve"> likely to be realized upon settlement with a taxing authority that has full knowledge of all relevant information. See Note </w:t>
      </w:r>
      <w:r>
        <w:rPr>
          <w:rStyle w:val="Emphasis"/>
          <w:rFonts w:ascii="Arial;Helvetica;sans-serif" w:hAnsi="Arial;Helvetica;sans-serif"/>
          <w:caps w:val="false"/>
          <w:smallCaps w:val="false"/>
          <w:sz w:val="20"/>
        </w:rPr>
        <w:t>17</w:t>
      </w:r>
      <w:r>
        <w:rPr>
          <w:rFonts w:ascii="Arial;Helvetica;sans-serif" w:hAnsi="Arial;Helvetica;sans-serif"/>
          <w:caps w:val="false"/>
          <w:smallCaps w:val="false"/>
          <w:sz w:val="20"/>
        </w:rPr>
        <w:t> for further discussion related to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both </w:t>
      </w:r>
      <w:r>
        <w:rPr>
          <w:rFonts w:ascii="Arial;Helvetica;sans-serif" w:hAnsi="Arial;Helvetica;sans-serif"/>
          <w:i/>
          <w:caps w:val="false"/>
          <w:smallCaps w:val="false"/>
          <w:sz w:val="20"/>
        </w:rPr>
        <w:t>Jelmyto </w:t>
      </w:r>
      <w:r>
        <w:rPr>
          <w:rFonts w:ascii="Arial;Helvetica;sans-serif" w:hAnsi="Arial;Helvetica;sans-serif"/>
          <w:caps w:val="false"/>
          <w:smallCaps w:val="false"/>
          <w:sz w:val="20"/>
        </w:rPr>
        <w:t xml:space="preserve">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the Company commenced capitalization of inventory at the receipt of FDA approval. Costs related to inventories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expected to be manufactured and sold within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months are classified as long-term assets and presented within "Other non-current assets"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values its inventory at the lower of cost or net realizable value. The Company measures inventory approximating actual cost under a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-out basis. The Company assesses recoverability of inventory each reporting period to determine any write down to net realizable value resulting from excess or obsolete inventories</w:t>
      </w:r>
      <w:r>
        <w:rPr>
          <w:rFonts w:ascii="Arial;Helvetica;sans-serif" w:hAnsi="Arial;Helvetica;sans-serif"/>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Property and equipment are recorded at historical cost, net of accumulated depreciation, amortization and, if applicable, impairment charges. The Company reviews its property and equipment assets for impairment whenever events or changes in circumstances indicate that the carrying amount of an asset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are depreciated over the following useful lives (in years):</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210"/>
        <w:gridCol w:w="60"/>
        <w:gridCol w:w="1160"/>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Useful Lives</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Computers and software</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Laboratory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3 - 6.5</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Furniture</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5 - 16.5</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center"/>
              <w:rPr>
                <w:rFonts w:ascii="Arial;Helvetica;sans-serif" w:hAnsi="Arial;Helvetica;sans-serif"/>
                <w:sz w:val="20"/>
              </w:rPr>
            </w:pPr>
            <w:r>
              <w:rPr>
                <w:rFonts w:ascii="Arial;Helvetica;sans-serif" w:hAnsi="Arial;Helvetica;sans-serif"/>
                <w:sz w:val="20"/>
              </w:rPr>
              <w:t>2 - 10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8</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caps w:val="false"/>
          <w:smallCaps w:val="false"/>
          <w:sz w:val="20"/>
        </w:rPr>
        <w:t xml:space="preserve">Leasehold improvements are amortized on a straight-line basis over the shorter of their estimated useful lives or lease terms. See Note </w:t>
      </w:r>
      <w:r>
        <w:rPr>
          <w:rStyle w:val="Emphasis"/>
          <w:rFonts w:ascii="Arial;Helvetica;sans-serif" w:hAnsi="Arial;Helvetica;sans-serif"/>
          <w:caps w:val="false"/>
          <w:smallCaps w:val="false"/>
          <w:sz w:val="20"/>
        </w:rPr>
        <w:t>8</w:t>
      </w:r>
      <w:r>
        <w:rPr>
          <w:rFonts w:ascii="Arial;Helvetica;sans-serif" w:hAnsi="Arial;Helvetica;sans-serif"/>
          <w:caps w:val="false"/>
          <w:smallCaps w:val="false"/>
          <w:sz w:val="20"/>
        </w:rPr>
        <w:t xml:space="preserve"> for further discussion regarding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Prepaid Forward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is party to a transaction with RTW Investments (the “RTW Transaction”) in which the Company received funds to support the launch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the development of </w:t>
      </w:r>
      <w:r>
        <w:rPr>
          <w:rFonts w:ascii="Arial;Helvetica;sans-serif" w:hAnsi="Arial;Helvetica;sans-serif"/>
          <w:i/>
          <w:caps w:val="false"/>
          <w:smallCaps w:val="false"/>
          <w:sz w:val="20"/>
        </w:rPr>
        <w:t>Zusduri </w:t>
      </w:r>
      <w:r>
        <w:rPr>
          <w:rFonts w:ascii="Arial;Helvetica;sans-serif" w:hAnsi="Arial;Helvetica;sans-serif"/>
          <w:caps w:val="false"/>
          <w:smallCaps w:val="false"/>
          <w:sz w:val="20"/>
        </w:rPr>
        <w:t xml:space="preserve">in return for tiered, future cash payments based on net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subject to FDA approval, UGN-</w:t>
      </w:r>
      <w:r>
        <w:rPr>
          <w:rStyle w:val="Emphasis"/>
          <w:rFonts w:ascii="Arial;Helvetica;sans-serif" w:hAnsi="Arial;Helvetica;sans-serif"/>
          <w:caps w:val="false"/>
          <w:smallCaps w:val="false"/>
          <w:sz w:val="20"/>
        </w:rPr>
        <w:t>103</w:t>
      </w:r>
      <w:r>
        <w:rPr>
          <w:rFonts w:ascii="Arial;Helvetica;sans-serif" w:hAnsi="Arial;Helvetica;sans-serif"/>
          <w:caps w:val="false"/>
          <w:smallCaps w:val="false"/>
          <w:sz w:val="20"/>
        </w:rPr>
        <w:t xml:space="preserve"> and UGN-</w:t>
      </w:r>
      <w:r>
        <w:rPr>
          <w:rStyle w:val="Emphasis"/>
          <w:rFonts w:ascii="Arial;Helvetica;sans-serif" w:hAnsi="Arial;Helvetica;sans-serif"/>
          <w:caps w:val="false"/>
          <w:smallCaps w:val="false"/>
          <w:sz w:val="20"/>
        </w:rPr>
        <w:t>104.</w:t>
      </w:r>
      <w:r>
        <w:rPr>
          <w:rFonts w:ascii="Arial;Helvetica;sans-serif" w:hAnsi="Arial;Helvetica;sans-serif"/>
          <w:caps w:val="false"/>
          <w:smallCaps w:val="false"/>
          <w:sz w:val="20"/>
        </w:rPr>
        <w:t xml:space="preserve"> The net proceeds received under the RTW Transaction were recognized as a long-term liability. The Company recognizes the current cash payable amounts under the arrangement within other current liabilities on the condensed consolidated balance sheets. The subsequent measurement for the liability follows the accounting principles defined in ASC Topic </w:t>
      </w:r>
      <w:r>
        <w:rPr>
          <w:rStyle w:val="Emphasis"/>
          <w:rFonts w:ascii="Arial;Helvetica;sans-serif" w:hAnsi="Arial;Helvetica;sans-serif"/>
          <w:caps w:val="false"/>
          <w:smallCaps w:val="false"/>
          <w:sz w:val="20"/>
        </w:rPr>
        <w:t>835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xml:space="preserve"> “Imputation of Interest”. See Note </w:t>
      </w:r>
      <w:r>
        <w:rPr>
          <w:rStyle w:val="Emphasis"/>
          <w:rFonts w:ascii="Arial;Helvetica;sans-serif" w:hAnsi="Arial;Helvetica;sans-serif"/>
          <w:caps w:val="false"/>
          <w:smallCaps w:val="false"/>
          <w:sz w:val="20"/>
        </w:rPr>
        <w:t>9</w:t>
      </w:r>
      <w:r>
        <w:rPr>
          <w:rFonts w:ascii="Arial;Helvetica;sans-serif" w:hAnsi="Arial;Helvetica;sans-serif"/>
          <w:caps w:val="false"/>
          <w:smallCaps w:val="false"/>
          <w:sz w:val="20"/>
        </w:rPr>
        <w:t xml:space="preserve"> for further discussion related to the prepaid forward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is party to a loan agreement with funds managed by Pharmakon Advisors, L.P. (“Pharmakon”). The Company recognizes interest expense in current earnings, and accrued interest within other current liabilities on the condensed consolidated balance sheets. The Company recognizes capitalized financing expenses as a direct offset to the long-term debt on the Company's condensed consolidated balance sheets, and amortizes them over the term of the debt using the effective interest method. See Note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for further discussion related to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is a lessee in several noncancelable operating and finance leases, primarily for office space, office equipment and vehicles.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 accounts for leases in accordance with ASC Topic </w:t>
      </w:r>
      <w:r>
        <w:rPr>
          <w:rStyle w:val="Emphasis"/>
          <w:rFonts w:ascii="Arial;Helvetica;sans-serif" w:hAnsi="Arial;Helvetica;sans-serif"/>
          <w:caps w:val="false"/>
          <w:smallCaps w:val="false"/>
          <w:sz w:val="20"/>
        </w:rPr>
        <w:t>842,</w:t>
      </w:r>
      <w:r>
        <w:rPr>
          <w:rFonts w:ascii="Arial;Helvetica;sans-serif" w:hAnsi="Arial;Helvetica;sans-serif"/>
          <w:caps w:val="false"/>
          <w:smallCaps w:val="false"/>
          <w:sz w:val="20"/>
        </w:rPr>
        <w:t> “Leases.” The Company determines if an arrangement is a lease at inception. The Company additionally evaluates leases at their inception to determine if they are to be accounted for as an operating lease or a finance lease. Right-of-use (“ROU”) assets and lease liabilities are recognized based on the present value of lease payments over the lease term as of the commencement date. Certain adjustments to the ROU assets </w:t>
      </w:r>
      <w:r>
        <w:rPr>
          <w:rStyle w:val="Emphasis"/>
          <w:rFonts w:ascii="Arial;Helvetica;sans-serif" w:hAnsi="Arial;Helvetica;sans-serif"/>
          <w:caps w:val="false"/>
          <w:smallCaps w:val="false"/>
          <w:sz w:val="20"/>
        </w:rPr>
        <w:t xml:space="preserve"> may </w:t>
      </w:r>
      <w:r>
        <w:rPr>
          <w:rFonts w:ascii="Arial;Helvetica;sans-serif" w:hAnsi="Arial;Helvetica;sans-serif"/>
          <w:caps w:val="false"/>
          <w:smallCaps w:val="false"/>
          <w:sz w:val="20"/>
        </w:rPr>
        <w:t>be required for items such as initial direct costs paid or incentives received. Operating and finance lease ROU assets are presented as right-of-use assets on the condensed consolidated balance sheets. The current portion of lease liabilities is included in other current liabilities, and the long-term portion is presented separately as long-term lease liabilities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Lease expense for operating leases is recognized on a straight-line basis over the lease term. For finance leases, the expense consists of interest on the lease liability and amortization of the ROU asset. Variable lease payments associated with the Company’s leases are recognized when the event, activity, or circumstance in the lease agreement on which those payments are assessed occurs. Variable lease payments are presented as selling, general and administrative expenses in the condensed consolidated statements of operations. The Company has elected the practical expedient to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separate between lease and non-lease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Company’s lease terms </w:t>
      </w:r>
      <w:r>
        <w:rPr>
          <w:rStyle w:val="Emphasis"/>
          <w:rFonts w:ascii="Arial;Helvetica;sans-serif" w:hAnsi="Arial;Helvetica;sans-serif"/>
          <w:caps w:val="false"/>
          <w:smallCaps w:val="false"/>
          <w:sz w:val="20"/>
        </w:rPr>
        <w:t xml:space="preserve"> may </w:t>
      </w:r>
      <w:r>
        <w:rPr>
          <w:rFonts w:ascii="Arial;Helvetica;sans-serif" w:hAnsi="Arial;Helvetica;sans-serif"/>
          <w:caps w:val="false"/>
          <w:smallCaps w:val="false"/>
          <w:sz w:val="20"/>
        </w:rPr>
        <w:t>include options to extend the lease. The lease extensions are included in the measurement of the ROU asset and lease liability when it is reasonably certain that it will exercise that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Because the implicit rates of return on the Company’s leases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readily determinable, the Company uses an incremental borrowing rate, based on the information available at the commencement date, to determine the present value of lease payments on an individual lease basis. The Company’s incremental borrowing rate for a lease is the rate of interest it would have to pay on a collateralized basis to borrow an amount equal to the lease payments under similar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ROU assets for operating leases are periodically reviewed for impairment losses under ASC </w:t>
      </w:r>
      <w:r>
        <w:rPr>
          <w:rStyle w:val="Emphasis"/>
          <w:rFonts w:ascii="Arial;Helvetica;sans-serif" w:hAnsi="Arial;Helvetica;sans-serif"/>
          <w:i/>
          <w:caps w:val="false"/>
          <w:smallCaps w:val="false"/>
          <w:sz w:val="20"/>
        </w:rPr>
        <w:t>360</w:t>
      </w:r>
      <w:r>
        <w:rPr>
          <w:rFonts w:ascii="Arial;Helvetica;sans-serif" w:hAnsi="Arial;Helvetica;sans-serif"/>
          <w:caps w:val="false"/>
          <w:smallCaps w:val="false"/>
          <w:sz w:val="20"/>
        </w:rPr>
        <w:t>-</w:t>
      </w:r>
      <w:r>
        <w:rPr>
          <w:rStyle w:val="Emphasis"/>
          <w:rFonts w:ascii="Arial;Helvetica;sans-serif" w:hAnsi="Arial;Helvetica;sans-serif"/>
          <w:i/>
          <w:caps w:val="false"/>
          <w:smallCaps w:val="false"/>
          <w:sz w:val="20"/>
        </w:rPr>
        <w:t>10,</w:t>
      </w:r>
      <w:r>
        <w:rPr>
          <w:rFonts w:ascii="Arial;Helvetica;sans-serif" w:hAnsi="Arial;Helvetica;sans-serif"/>
          <w:caps w:val="false"/>
          <w:smallCaps w:val="false"/>
          <w:sz w:val="20"/>
        </w:rPr>
        <w:t> “Property, Plant, and Equipment”, to determine whether an ROU asset is impaired, and if so, the amount of the impairment loss to recognize.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Net revenue from product sales is recognized at the transaction price when the specialty distributors obtain control of the Company’s products, which occurs at a point in time, typically upon delivery of the product to the treating physician or mixing pharmacy. All product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are recognized through the Company's arrangements with two customers as defined by ASC </w:t>
      </w:r>
      <w:r>
        <w:rPr>
          <w:rStyle w:val="Emphasis"/>
          <w:rFonts w:ascii="Arial;Helvetica;sans-serif" w:hAnsi="Arial;Helvetica;sans-serif"/>
          <w:caps w:val="false"/>
          <w:smallCaps w:val="false"/>
          <w:sz w:val="20"/>
        </w:rPr>
        <w:t>606,</w:t>
      </w:r>
      <w:r>
        <w:rPr>
          <w:rFonts w:ascii="Arial;Helvetica;sans-serif" w:hAnsi="Arial;Helvetica;sans-serif"/>
          <w:caps w:val="false"/>
          <w:smallCaps w:val="false"/>
          <w:sz w:val="20"/>
        </w:rPr>
        <w:t> both of which are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national specialty distributors. Net revenue recognized includes gross revenue and management’s estimate of returns, consideration paid to the customers, such as rebates, chargebacks relating to differences between the wholesale acquisition cost and the contracted price offered to the end consumer, chargebacks relating to </w:t>
      </w:r>
      <w:r>
        <w:rPr>
          <w:rStyle w:val="Emphasis"/>
          <w:rFonts w:ascii="Arial;Helvetica;sans-serif" w:hAnsi="Arial;Helvetica;sans-serif"/>
          <w:caps w:val="false"/>
          <w:smallCaps w:val="false"/>
          <w:sz w:val="20"/>
        </w:rPr>
        <w:t>340B</w:t>
      </w:r>
      <w:r>
        <w:rPr>
          <w:rFonts w:ascii="Arial;Helvetica;sans-serif" w:hAnsi="Arial;Helvetica;sans-serif"/>
          <w:caps w:val="false"/>
          <w:smallCaps w:val="false"/>
          <w:sz w:val="20"/>
        </w:rPr>
        <w:t> drug pricing programs and other government sponsored programs, Medicaid drug rebate programs, the Company’s copay assistance program, and Medicare refunds for discarded drug, which are estimated based on the contractual or statutory terms governing the arrangements and the Company’s historical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 w:hAnsi="Arial"/>
          <w:sz w:val="20"/>
        </w:rPr>
        <w:t>9</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Research and development costs are expensed as incurred and consist primarily of the cost of salaries, share-based compensation expenses, payroll taxes and other employee benefits, subcontractors and materials used for research and development activities, including nonclinical studies, clinical trials, manufacturing costs and professional services. The costs of services performed by others in connection with the research and development activities of the Company, including research and development conducted by others on behalf of the Company, are included in research and development costs and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parties under research and development arrangements or license agreements, the milestone payment obligations are expensed when such development milestone results are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When a transaction accounted for as an asset acquisition includes in-process research and development (“IPR&amp;D”), the IPR&amp;D asset is only capitalized as an intangible asset if it is determined to have an alternative future use other than in a particular research and development project. Otherwise, acquired IPR&amp;D is recognized as research and development expenses in the period the transaction is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Selling,</w:t>
      </w:r>
      <w:r>
        <w:rPr>
          <w:rFonts w:ascii="Arial;Helvetica;sans-serif" w:hAnsi="Arial;Helvetica;sans-serif"/>
          <w:caps w:val="false"/>
          <w:smallCaps w:val="false"/>
          <w:sz w:val="20"/>
        </w:rPr>
        <w:t xml:space="preserve"> </w:t>
      </w:r>
      <w:r>
        <w:rPr>
          <w:rFonts w:ascii="Arial;Helvetica;sans-serif" w:hAnsi="Arial;Helvetica;san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Selling, general and administrative expenses consist primarily of personnel costs (including share-based compensation related to directors, employees and consultants). Other significant costs include commercial, medical affairs, external professional service costs, facility costs, accounting and audit services, legal services and other consulting fees. Selling, general and administrative costs are expensed as incurred, and the Company accrues for services provided by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parties related to the above expenses by monitoring the status of services provided and receiving estimates from its service providers and adjusting its accruals as actual costs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 cost is measured at the grant date based on the fair value of the award and is recognized as expense over the required service period, which is equal to the vesting period. For performance stock units (“PSUs”), cost is measured at the grant date based on the fair value of the award and is recognized over any relevant service period as expense when the achievement of the performance condition is probable. PSUs that include both a performance condition and a service condition are subject to graded vesting, and the related compensation cost is recognized on a straight-line basis over the requisite service period for each separately vesting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fair value of options is determined using the Black-Scholes option-pricing model. The fair value of a restricted stock unit (“RSU”) or a PSU equals the closing price of the Company’s ordinary shares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accounts for forfeitures as they occur in accordance with ASC Topic </w:t>
      </w:r>
      <w:r>
        <w:rPr>
          <w:rStyle w:val="Emphasis"/>
          <w:rFonts w:ascii="Arial;Helvetica;sans-serif" w:hAnsi="Arial;Helvetica;sans-serif"/>
          <w:caps w:val="false"/>
          <w:smallCaps w:val="false"/>
          <w:sz w:val="20"/>
        </w:rPr>
        <w:t>718,</w:t>
      </w:r>
      <w:r>
        <w:rPr>
          <w:rFonts w:ascii="Arial;Helvetica;sans-serif" w:hAnsi="Arial;Helvetica;sans-serif"/>
          <w:caps w:val="false"/>
          <w:smallCaps w:val="false"/>
          <w:sz w:val="20"/>
        </w:rPr>
        <w:t xml:space="preserve"> “Compensation—Stock Compensation”. The Company elected to recognize compensation costs for awards conditioned only on continued service that have a graded vesting schedule using the straight-line method and to value the awards based on the single-option award approach.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issued pre-funded warrants in connection with both a private placement transaction and a public offering transaction that are accounted for as a freestanding equity-linked financial instrument that meets the criteria for equity classification under ASC </w:t>
      </w:r>
      <w:r>
        <w:rPr>
          <w:rStyle w:val="Emphasis"/>
          <w:rFonts w:ascii="Arial;Helvetica;sans-serif" w:hAnsi="Arial;Helvetica;sans-serif"/>
          <w:caps w:val="false"/>
          <w:smallCaps w:val="false"/>
          <w:sz w:val="20"/>
        </w:rPr>
        <w:t>480,</w:t>
      </w:r>
      <w:r>
        <w:rPr>
          <w:rFonts w:ascii="Arial;Helvetica;sans-serif" w:hAnsi="Arial;Helvetica;sans-serif"/>
          <w:caps w:val="false"/>
          <w:smallCaps w:val="false"/>
          <w:sz w:val="20"/>
        </w:rPr>
        <w:t xml:space="preserve"> “Distinguishing Liabilities from Equity,” and ASC </w:t>
      </w:r>
      <w:r>
        <w:rPr>
          <w:rStyle w:val="Emphasis"/>
          <w:rFonts w:ascii="Arial;Helvetica;sans-serif" w:hAnsi="Arial;Helvetica;sans-serif"/>
          <w:caps w:val="false"/>
          <w:smallCaps w:val="false"/>
          <w:sz w:val="20"/>
        </w:rPr>
        <w:t>815,</w:t>
      </w:r>
      <w:r>
        <w:rPr>
          <w:rFonts w:ascii="Arial;Helvetica;sans-serif" w:hAnsi="Arial;Helvetica;sans-serif"/>
          <w:caps w:val="false"/>
          <w:smallCaps w:val="false"/>
          <w:sz w:val="20"/>
        </w:rPr>
        <w:t xml:space="preserve"> “Derivatives and Hedging.” The pre-funded warrants are exercisable upon original issuance and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expire until exercised in full. Accordingly, the Company classifies the pre-funded warrants as a component of permanent shareholders’ equity within additional paid-in capital and records them at the applicable issuance date using a relative fair value allocation method. The Company valued the pre-funded warrants at the applicable issuance date, concluding that their sales price approximated their fair value, and allocated the net sales proceeds from the applicable equity transaction proportionately to the ordinary shares and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Net Loss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 net loss per share is computed by dividing the net loss attributable to ordinary shareholders by the weighted-average number of ordinary shares outstanding. Diluted net loss per share is computed similarly to basic net loss per share except that the denominator is increased to include the number of additional ordinary shares that would have been outstanding if the potential ordinary shares had been issued and if the additional ordinary shares were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For all periods presented, potentially dilutive securities are excluded from the computation of fully diluted loss per share as their effect is anti-dilutive. Such potentially dilutive securities consist solely of outstanding restricted share units and stock options issued under the Company’s share-based compensation plans. See Note </w:t>
      </w:r>
      <w:r>
        <w:rPr>
          <w:rStyle w:val="Emphasis"/>
          <w:rFonts w:ascii="Arial;Helvetica;sans-serif" w:hAnsi="Arial;Helvetica;sans-serif"/>
          <w:caps w:val="false"/>
          <w:smallCaps w:val="false"/>
          <w:sz w:val="20"/>
        </w:rPr>
        <w:t>16</w:t>
      </w:r>
      <w:r>
        <w:rPr>
          <w:rFonts w:ascii="Arial;Helvetica;sans-serif" w:hAnsi="Arial;Helvetica;sans-serif"/>
          <w:caps w:val="false"/>
          <w:smallCaps w:val="false"/>
          <w:sz w:val="20"/>
        </w:rPr>
        <w:t> Share-based Compensation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Company’s pre-funded warrants require the holder to pay nominal consideration to receive the Company’s ordinary shares and are therefore considered outstanding shares in determining basic and diluted earnings per share in accordance with ASC Topic </w:t>
      </w:r>
      <w:r>
        <w:rPr>
          <w:rStyle w:val="Emphasis"/>
          <w:rFonts w:ascii="Arial;Helvetica;sans-serif" w:hAnsi="Arial;Helvetica;sans-serif"/>
          <w:caps w:val="false"/>
          <w:smallCaps w:val="false"/>
          <w:sz w:val="20"/>
        </w:rPr>
        <w:t>260,</w:t>
      </w:r>
      <w:r>
        <w:rPr>
          <w:rFonts w:ascii="Arial;Helvetica;sans-serif" w:hAnsi="Arial;Helvetica;sans-serif"/>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Recently Adopted or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November 2024, </w:t>
      </w:r>
      <w:r>
        <w:rPr>
          <w:rFonts w:ascii="Arial;Helvetica;sans-serif" w:hAnsi="Arial;Helvetica;sans-serif"/>
          <w:caps w:val="false"/>
          <w:smallCaps w:val="false"/>
          <w:sz w:val="20"/>
        </w:rPr>
        <w:t>the FASB issued Accounting Standards Update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03,</w:t>
      </w:r>
      <w:r>
        <w:rPr>
          <w:rFonts w:ascii="Arial;Helvetica;sans-serif" w:hAnsi="Arial;Helvetica;sans-serif"/>
          <w:caps w:val="false"/>
          <w:smallCaps w:val="false"/>
          <w:sz w:val="20"/>
        </w:rPr>
        <w:t> Income Statement—Reporting Comprehensive Income—Expense Disaggregation Disclosures (Subtopic </w:t>
      </w:r>
      <w:r>
        <w:rPr>
          <w:rStyle w:val="Emphasis"/>
          <w:rFonts w:ascii="Arial;Helvetica;sans-serif" w:hAnsi="Arial;Helvetica;sans-serif"/>
          <w:caps w:val="false"/>
          <w:smallCaps w:val="false"/>
          <w:sz w:val="20"/>
        </w:rPr>
        <w:t>220</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40</w:t>
      </w:r>
      <w:r>
        <w:rPr>
          <w:rFonts w:ascii="Arial;Helvetica;sans-serif" w:hAnsi="Arial;Helvetica;sans-serif"/>
          <w:caps w:val="false"/>
          <w:smallCaps w:val="false"/>
          <w:sz w:val="20"/>
        </w:rPr>
        <w:t>) ("ASU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03"</w:t>
      </w:r>
      <w:r>
        <w:rPr>
          <w:rFonts w:ascii="Arial;Helvetica;sans-serif" w:hAnsi="Arial;Helvetica;sans-serif"/>
          <w:caps w:val="false"/>
          <w:smallCaps w:val="false"/>
          <w:sz w:val="20"/>
        </w:rPr>
        <w:t>), which provides guidance to improve the disclosures about a public business entity’s expenses. Public entities must adopt the new guidance for fiscal years beginning after </w:t>
      </w:r>
      <w:r>
        <w:rPr>
          <w:rStyle w:val="Emphasis"/>
          <w:rFonts w:ascii="Arial;Helvetica;sans-serif" w:hAnsi="Arial;Helvetica;sans-serif"/>
          <w:caps w:val="false"/>
          <w:smallCaps w:val="false"/>
          <w:sz w:val="20"/>
        </w:rPr>
        <w:t xml:space="preserve"> December 15, 2026, </w:t>
      </w:r>
      <w:r>
        <w:rPr>
          <w:rFonts w:ascii="Arial;Helvetica;sans-serif" w:hAnsi="Arial;Helvetica;sans-serif"/>
          <w:caps w:val="false"/>
          <w:smallCaps w:val="false"/>
          <w:sz w:val="20"/>
        </w:rPr>
        <w:t>and interim reporting periods beginning after </w:t>
      </w:r>
      <w:r>
        <w:rPr>
          <w:rStyle w:val="Emphasis"/>
          <w:rFonts w:ascii="Arial;Helvetica;sans-serif" w:hAnsi="Arial;Helvetica;sans-serif"/>
          <w:caps w:val="false"/>
          <w:smallCaps w:val="false"/>
          <w:sz w:val="20"/>
        </w:rPr>
        <w:t xml:space="preserve"> December 15, 2027. </w:t>
      </w:r>
      <w:r>
        <w:rPr>
          <w:rFonts w:ascii="Arial;Helvetica;sans-serif" w:hAnsi="Arial;Helvetica;sans-serif"/>
          <w:caps w:val="false"/>
          <w:smallCaps w:val="false"/>
          <w:sz w:val="20"/>
        </w:rPr>
        <w:t>The Company is currently evaluating the potential impact of the adoption of ASU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03</w:t>
      </w:r>
      <w:r>
        <w:rPr>
          <w:rFonts w:ascii="Arial;Helvetica;sans-serif" w:hAnsi="Arial;Helvetica;sans-serif"/>
          <w:caps w:val="false"/>
          <w:smallCaps w:val="false"/>
          <w:sz w:val="20"/>
        </w:rPr>
        <w:t> on the Company’s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July 2025, </w:t>
      </w:r>
      <w:r>
        <w:rPr>
          <w:rFonts w:ascii="Arial;Helvetica;sans-serif" w:hAnsi="Arial;Helvetica;sans-serif"/>
          <w:caps w:val="false"/>
          <w:smallCaps w:val="false"/>
          <w:sz w:val="20"/>
        </w:rPr>
        <w:t xml:space="preserve">the FASB issued Accounting Standards Update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05,</w:t>
      </w:r>
      <w:r>
        <w:rPr>
          <w:rFonts w:ascii="Arial;Helvetica;sans-serif" w:hAnsi="Arial;Helvetica;sans-serif"/>
          <w:caps w:val="false"/>
          <w:smallCaps w:val="false"/>
          <w:sz w:val="20"/>
        </w:rPr>
        <w:t xml:space="preserve"> Measurement of Credit Losses for Accounts Receivable and Contract Assets (“ASU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05”</w:t>
      </w:r>
      <w:r>
        <w:rPr>
          <w:rFonts w:ascii="Arial;Helvetica;sans-serif" w:hAnsi="Arial;Helvetica;sans-serif"/>
          <w:caps w:val="false"/>
          <w:smallCaps w:val="false"/>
          <w:sz w:val="20"/>
        </w:rPr>
        <w:t xml:space="preserve">), which clarifies the application of the current expected credit losses (CECL) model under ASC </w:t>
      </w:r>
      <w:r>
        <w:rPr>
          <w:rStyle w:val="Emphasis"/>
          <w:rFonts w:ascii="Arial;Helvetica;sans-serif" w:hAnsi="Arial;Helvetica;sans-serif"/>
          <w:caps w:val="false"/>
          <w:smallCaps w:val="false"/>
          <w:sz w:val="20"/>
        </w:rPr>
        <w:t>326</w:t>
      </w:r>
      <w:r>
        <w:rPr>
          <w:rFonts w:ascii="Arial;Helvetica;sans-serif" w:hAnsi="Arial;Helvetica;sans-serif"/>
          <w:caps w:val="false"/>
          <w:smallCaps w:val="false"/>
          <w:sz w:val="20"/>
        </w:rPr>
        <w:t xml:space="preserve"> to current accounts receivable and contract assets arising from transactions accounted for under ASC </w:t>
      </w:r>
      <w:r>
        <w:rPr>
          <w:rStyle w:val="Emphasis"/>
          <w:rFonts w:ascii="Arial;Helvetica;sans-serif" w:hAnsi="Arial;Helvetica;sans-serif"/>
          <w:caps w:val="false"/>
          <w:smallCaps w:val="false"/>
          <w:sz w:val="20"/>
        </w:rPr>
        <w:t>606,</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Revenue from Contracts with Customers</w:t>
      </w:r>
      <w:r>
        <w:rPr>
          <w:rFonts w:ascii="Arial;Helvetica;sans-serif" w:hAnsi="Arial;Helvetica;sans-serif"/>
          <w:caps w:val="false"/>
          <w:smallCaps w:val="false"/>
          <w:sz w:val="20"/>
        </w:rPr>
        <w:t xml:space="preserve">. The guidance, which is effective for fiscal years beginning after </w:t>
      </w:r>
      <w:r>
        <w:rPr>
          <w:rStyle w:val="Emphasis"/>
          <w:rFonts w:ascii="Arial;Helvetica;sans-serif" w:hAnsi="Arial;Helvetica;sans-serif"/>
          <w:caps w:val="false"/>
          <w:smallCaps w:val="false"/>
          <w:sz w:val="20"/>
        </w:rPr>
        <w:t xml:space="preserve">December 15, 2025, </w:t>
      </w:r>
      <w:r>
        <w:rPr>
          <w:rFonts w:ascii="Arial;Helvetica;sans-serif" w:hAnsi="Arial;Helvetica;sans-serif"/>
          <w:caps w:val="false"/>
          <w:smallCaps w:val="false"/>
          <w:sz w:val="20"/>
        </w:rPr>
        <w:t xml:space="preserve">including interim periods within those fiscal years, was adopted by the Company on </w:t>
      </w:r>
      <w:r>
        <w:rPr>
          <w:rStyle w:val="Emphasis"/>
          <w:rFonts w:ascii="Arial;Helvetica;sans-serif" w:hAnsi="Arial;Helvetica;sans-serif"/>
          <w:caps w:val="false"/>
          <w:smallCaps w:val="false"/>
          <w:sz w:val="20"/>
        </w:rPr>
        <w:t xml:space="preserve">January 1, 2026 </w:t>
      </w:r>
      <w:r>
        <w:rPr>
          <w:rFonts w:ascii="Arial;Helvetica;sans-serif" w:hAnsi="Arial;Helvetica;sans-serif"/>
          <w:caps w:val="false"/>
          <w:smallCaps w:val="false"/>
          <w:sz w:val="20"/>
        </w:rPr>
        <w:t xml:space="preserve">on a prospective basis. The adoption of ASU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05</w:t>
      </w:r>
      <w:r>
        <w:rPr>
          <w:rFonts w:ascii="Arial;Helvetica;sans-serif" w:hAnsi="Arial;Helvetica;sans-serif"/>
          <w:caps w:val="false"/>
          <w:smallCaps w:val="false"/>
          <w:sz w:val="20"/>
        </w:rPr>
        <w:t xml:space="preserve">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a material impact on the Company's consolidated financial position, results of operations, or cash flows as the Company’s trade receivables primarily arise from product sales recognized at a point in time and are due from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 large, established customers, both of which are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national specialty distributors, with short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 has reviewed other Accounting Standards Updates recently issued by the FASB and determined that </w:t>
      </w:r>
      <w:r>
        <w:rPr>
          <w:rStyle w:val="Emphasis"/>
          <w:rFonts w:ascii="Arial;Helvetica;sans-serif" w:hAnsi="Arial;Helvetica;sans-serif"/>
          <w:caps w:val="false"/>
          <w:smallCaps w:val="false"/>
          <w:sz w:val="20"/>
        </w:rPr>
        <w:t>none</w:t>
      </w:r>
      <w:r>
        <w:rPr>
          <w:rFonts w:ascii="Arial;Helvetica;sans-serif" w:hAnsi="Arial;Helvetica;sans-serif"/>
          <w:caps w:val="false"/>
          <w:smallCaps w:val="false"/>
          <w:sz w:val="20"/>
        </w:rPr>
        <w:t> of these pronouncements will have a significant impact on the Company's condensed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Arial" w:hAnsi="Arial"/>
          <w:sz w:val="20"/>
        </w:rPr>
        <w:t>10</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4</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Accounts payable and accrued expenses consisted of the following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6973" w:type="dxa"/>
        <w:jc w:val="left"/>
        <w:tblInd w:w="0" w:type="dxa"/>
        <w:tblLayout w:type="fixed"/>
        <w:tblCellMar>
          <w:top w:w="0" w:type="dxa"/>
          <w:left w:w="0" w:type="dxa"/>
          <w:bottom w:w="0" w:type="dxa"/>
          <w:right w:w="0" w:type="dxa"/>
        </w:tblCellMar>
      </w:tblPr>
      <w:tblGrid>
        <w:gridCol w:w="4655"/>
        <w:gridCol w:w="60"/>
        <w:gridCol w:w="136"/>
        <w:gridCol w:w="663"/>
        <w:gridCol w:w="60"/>
        <w:gridCol w:w="60"/>
        <w:gridCol w:w="218"/>
        <w:gridCol w:w="1061"/>
        <w:gridCol w:w="60"/>
      </w:tblGrid>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12,137</w:t>
            </w:r>
          </w:p>
        </w:tc>
        <w:tc>
          <w:tcPr>
            <w:tcW w:w="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sales reserves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6,493</w:t>
            </w:r>
          </w:p>
        </w:tc>
        <w:tc>
          <w:tcPr>
            <w:tcW w:w="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clinical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2,364</w:t>
            </w:r>
          </w:p>
        </w:tc>
        <w:tc>
          <w:tcPr>
            <w:tcW w:w="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research and development expenses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886</w:t>
            </w:r>
          </w:p>
        </w:tc>
        <w:tc>
          <w:tcPr>
            <w:tcW w:w="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3,903</w:t>
            </w:r>
          </w:p>
        </w:tc>
        <w:tc>
          <w:tcPr>
            <w:tcW w:w="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other expenses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1,934</w:t>
            </w:r>
          </w:p>
        </w:tc>
        <w:tc>
          <w:tcPr>
            <w:tcW w:w="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Interest and other income, net consisted of the following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months ended </w:t>
      </w:r>
      <w:r>
        <w:rPr>
          <w:rStyle w:val="Emphasis"/>
          <w:rFonts w:ascii="Arial;Helvetica;sans-serif" w:hAnsi="Arial;Helvetica;sans-serif"/>
          <w:caps w:val="false"/>
          <w:smallCaps w:val="false"/>
          <w:sz w:val="20"/>
        </w:rPr>
        <w:t xml:space="preserve"> June 30, 2026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8269" w:type="dxa"/>
        <w:jc w:val="left"/>
        <w:tblInd w:w="0" w:type="dxa"/>
        <w:tblLayout w:type="fixed"/>
        <w:tblCellMar>
          <w:top w:w="0" w:type="dxa"/>
          <w:left w:w="0" w:type="dxa"/>
          <w:bottom w:w="0" w:type="dxa"/>
          <w:right w:w="0" w:type="dxa"/>
        </w:tblCellMar>
      </w:tblPr>
      <w:tblGrid>
        <w:gridCol w:w="2630"/>
        <w:gridCol w:w="60"/>
        <w:gridCol w:w="271"/>
        <w:gridCol w:w="859"/>
        <w:gridCol w:w="174"/>
        <w:gridCol w:w="130"/>
        <w:gridCol w:w="271"/>
        <w:gridCol w:w="1087"/>
        <w:gridCol w:w="80"/>
        <w:gridCol w:w="60"/>
        <w:gridCol w:w="231"/>
        <w:gridCol w:w="924"/>
        <w:gridCol w:w="147"/>
        <w:gridCol w:w="110"/>
        <w:gridCol w:w="231"/>
        <w:gridCol w:w="924"/>
        <w:gridCol w:w="8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174"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3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946</w:t>
            </w:r>
          </w:p>
        </w:tc>
        <w:tc>
          <w:tcPr>
            <w:tcW w:w="17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1,877</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3,881</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w:t>
            </w:r>
          </w:p>
        </w:tc>
        <w:tc>
          <w:tcPr>
            <w:tcW w:w="17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3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(670</w:t>
            </w:r>
          </w:p>
        </w:tc>
        <w:tc>
          <w:tcPr>
            <w:tcW w:w="14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1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w:t>
            </w:r>
          </w:p>
        </w:tc>
        <w:tc>
          <w:tcPr>
            <w:tcW w:w="17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1,207</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3,413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5</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Inventories consisted of the following as of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3883" w:type="dxa"/>
        <w:jc w:val="left"/>
        <w:tblInd w:w="0" w:type="dxa"/>
        <w:tblLayout w:type="fixed"/>
        <w:tblCellMar>
          <w:top w:w="0" w:type="dxa"/>
          <w:left w:w="0" w:type="dxa"/>
          <w:bottom w:w="0" w:type="dxa"/>
          <w:right w:w="0" w:type="dxa"/>
        </w:tblCellMar>
      </w:tblPr>
      <w:tblGrid>
        <w:gridCol w:w="1550"/>
        <w:gridCol w:w="60"/>
        <w:gridCol w:w="136"/>
        <w:gridCol w:w="663"/>
        <w:gridCol w:w="60"/>
        <w:gridCol w:w="60"/>
        <w:gridCol w:w="218"/>
        <w:gridCol w:w="1061"/>
        <w:gridCol w:w="75"/>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Raw materials (1)</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11,042</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5,422</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45" w:type="dxa"/>
            <w:tcBorders/>
            <w:vAlign w:val="center"/>
          </w:tcPr>
          <w:p>
            <w:pPr>
              <w:pStyle w:val="TableContents"/>
              <w:bidi w:val="0"/>
              <w:spacing w:lineRule="auto" w:line="288" w:before="0" w:after="0"/>
              <w:ind w:left="0" w:right="0" w:hanging="0"/>
              <w:jc w:val="left"/>
              <w:rPr/>
            </w:pP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$3.6 million of raw materials are included within other non-current assets on the condensed consolidated balance sheets at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These raw materials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expected to be manufactured and sold within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months. Changes in non-current inventories are reflected on the condensed consolidated statements of cash flows within the caption of other non-current assets. No raw materials were included as other non-current assets on the condensed consolidated balance sheets at </w:t>
            </w:r>
            <w:r>
              <w:rPr>
                <w:rStyle w:val="Emphasis"/>
                <w:rFonts w:ascii="Arial;Helvetica;sans-serif" w:hAnsi="Arial;Helvetica;sans-serif"/>
                <w:caps w:val="false"/>
                <w:smallCaps w:val="false"/>
                <w:sz w:val="20"/>
              </w:rPr>
              <w:t xml:space="preserve"> December 31, 2025</w:t>
            </w:r>
            <w:r>
              <w:rPr>
                <w:rFonts w:ascii="Arial;Helvetica;sans-serif" w:hAnsi="Arial;Helvetica;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6</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11</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caps w:val="false"/>
          <w:smallCaps w:val="false"/>
          <w:sz w:val="20"/>
        </w:rPr>
        <w:t xml:space="preserve">As a basis for considering such assumptions, a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-tier fair value hierarchy has been established, which prioritizes the inputs used in measuring fair value as follows: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710"/>
        <w:gridCol w:w="9065"/>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pPr>
            <w:r>
              <w:rPr>
                <w:rFonts w:ascii="Arial;Helvetica;sans-serif" w:hAnsi="Arial;Helvetica;sans-serif"/>
                <w:caps w:val="false"/>
                <w:smallCaps w:val="false"/>
                <w:sz w:val="20"/>
              </w:rPr>
              <w:t xml:space="preserve">Level </w:t>
            </w:r>
            <w:r>
              <w:rPr>
                <w:rStyle w:val="Emphasis"/>
                <w:rFonts w:ascii="Arial;Helvetica;sans-serif" w:hAnsi="Arial;Helvetica;sans-serif"/>
                <w:caps w:val="false"/>
                <w:smallCaps w:val="false"/>
                <w:sz w:val="20"/>
              </w:rPr>
              <w:t>1:</w:t>
            </w:r>
          </w:p>
        </w:tc>
        <w:tc>
          <w:tcPr>
            <w:tcW w:w="9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Observable inputs such as quoted prices (unadjusted)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1"/>
        <w:gridCol w:w="9574"/>
      </w:tblGrid>
      <w:tr>
        <w:trPr/>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0"/>
              <w:ind w:left="0" w:right="0" w:hanging="0"/>
              <w:jc w:val="left"/>
              <w:rPr/>
            </w:pPr>
            <w:r>
              <w:rPr>
                <w:rFonts w:ascii="Arial;Helvetica;sans-serif" w:hAnsi="Arial;Helvetica;sans-serif"/>
                <w:caps w:val="false"/>
                <w:smallCaps w:val="false"/>
                <w:sz w:val="20"/>
              </w:rPr>
              <w:t xml:space="preserve">Level </w:t>
            </w:r>
            <w:r>
              <w:rPr>
                <w:rStyle w:val="Emphasis"/>
                <w:rFonts w:ascii="Arial;Helvetica;sans-serif" w:hAnsi="Arial;Helvetica;sans-serif"/>
                <w:caps w:val="false"/>
                <w:smallCaps w:val="false"/>
                <w:sz w:val="20"/>
              </w:rPr>
              <w:t>2:</w:t>
            </w:r>
          </w:p>
        </w:tc>
        <w:tc>
          <w:tcPr>
            <w:tcW w:w="9574" w:type="dxa"/>
            <w:tcBorders/>
            <w:vAlign w:val="center"/>
          </w:tcPr>
          <w:p>
            <w:pPr>
              <w:pStyle w:val="TableContents"/>
              <w:bidi w:val="0"/>
              <w:spacing w:before="0" w:after="0"/>
              <w:ind w:left="0" w:right="0" w:hanging="0"/>
              <w:jc w:val="left"/>
              <w:rPr/>
            </w:pPr>
            <w:r>
              <w:rPr>
                <w:rFonts w:ascii="Arial;Helvetica;sans-serif" w:hAnsi="Arial;Helvetica;sans-serif"/>
                <w:caps w:val="false"/>
                <w:smallCaps w:val="false"/>
                <w:sz w:val="20"/>
              </w:rPr>
              <w:t xml:space="preserve">Inputs other than quoted prices that are observable for the asset or liability, either directly or indirectly. These include quoted prices for similar assets or liabilities in active markets and quoted prices for identical or similar assets or liabilities in markets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active.</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710"/>
        <w:gridCol w:w="6245"/>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pPr>
            <w:r>
              <w:rPr>
                <w:rFonts w:ascii="Arial;Helvetica;sans-serif" w:hAnsi="Arial;Helvetica;sans-serif"/>
                <w:caps w:val="false"/>
                <w:smallCaps w:val="false"/>
                <w:sz w:val="20"/>
              </w:rPr>
              <w:t xml:space="preserve">Level </w:t>
            </w:r>
            <w:r>
              <w:rPr>
                <w:rStyle w:val="Emphasis"/>
                <w:rFonts w:ascii="Arial;Helvetica;sans-serif" w:hAnsi="Arial;Helvetica;sans-serif"/>
                <w:caps w:val="false"/>
                <w:smallCaps w:val="false"/>
                <w:sz w:val="20"/>
              </w:rPr>
              <w:t>3:</w:t>
            </w:r>
          </w:p>
        </w:tc>
        <w:tc>
          <w:tcPr>
            <w:tcW w:w="6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Unobservable inputs that reflect the reporting entity’s own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carrying amounts of the Company’s cash, restricted cash, other current assets, accounts payable and accrued liabilities are generally considered to be representative of their fair value because of the short-term nature of these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carrying value of the prepaid forward obligation (See Note </w:t>
      </w:r>
      <w:r>
        <w:rPr>
          <w:rStyle w:val="Emphasis"/>
          <w:rFonts w:ascii="Arial;Helvetica;sans-serif" w:hAnsi="Arial;Helvetica;sans-serif"/>
          <w:caps w:val="false"/>
          <w:smallCaps w:val="false"/>
          <w:sz w:val="20"/>
        </w:rPr>
        <w:t>9</w:t>
      </w:r>
      <w:r>
        <w:rPr>
          <w:rFonts w:ascii="Arial;Helvetica;sans-serif" w:hAnsi="Arial;Helvetica;sans-serif"/>
          <w:caps w:val="false"/>
          <w:smallCaps w:val="false"/>
          <w:sz w:val="20"/>
        </w:rPr>
        <w:t xml:space="preserve"> - Prepaid Forward Obligation) approximates its fair value. The Company estimated the fair value of the prepaid forward obligation using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inputs, including internally developed financial forecasts and management's estimate of probability of success related to product candidates, and determined that the effective interest rate in the obligation approximates market rates for loans with similar terms and risk characteristics.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estimated the fair value of long-term debt (see Note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 - Long-Term Debt) using the income approach with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inputs. The Company estimated fair value based on publicly available data reported in the financial statements of publicly traded venture lending companies. Based on a reasonable range of yields for debt instruments of similar tenor in a similar industry, the Company determined that the carrying value of the long-term debt on the Company's balance sheet approximates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transfers between levels have occurred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Assets measured at fair value on a recurring basis based on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and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fair value measurement criteria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2570"/>
        <w:gridCol w:w="60"/>
        <w:gridCol w:w="216"/>
        <w:gridCol w:w="1048"/>
        <w:gridCol w:w="60"/>
        <w:gridCol w:w="60"/>
        <w:gridCol w:w="255"/>
        <w:gridCol w:w="1234"/>
        <w:gridCol w:w="121"/>
        <w:gridCol w:w="121"/>
        <w:gridCol w:w="252"/>
        <w:gridCol w:w="1008"/>
        <w:gridCol w:w="7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Fair Value Measurements Using</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Quoted Prices</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Significant</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in Active</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Other</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Balance as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Markets for</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Observable</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Identical Assets</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Inputs</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Cash equivalents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Money market funds</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1,318</w:t>
            </w:r>
          </w:p>
        </w:tc>
        <w:tc>
          <w:tcPr>
            <w:tcW w:w="121"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 w:type="dxa"/>
            <w:tcBorders/>
            <w:shd w:fill="CCEEFF" w:val="clear"/>
            <w:vAlign w:val="center"/>
          </w:tcPr>
          <w:p>
            <w:pPr>
              <w:pStyle w:val="TableContents"/>
              <w:bidi w:val="0"/>
              <w:spacing w:before="0" w:after="0"/>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firstLine="360"/>
              <w:jc w:val="left"/>
              <w:rPr>
                <w:rFonts w:ascii="Arial;Helvetica;sans-serif" w:hAnsi="Arial;Helvetica;sans-serif"/>
                <w:sz w:val="20"/>
              </w:rPr>
            </w:pPr>
            <w:r>
              <w:rPr>
                <w:rFonts w:ascii="Arial;Helvetica;sans-serif" w:hAnsi="Arial;Helvetica;sans-serif"/>
                <w:sz w:val="20"/>
              </w:rPr>
              <w:t>U.S. government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25,030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1048"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34" w:type="dxa"/>
            <w:tcBorders/>
            <w:shd w:fill="FFFFFF" w:val="clear"/>
            <w:vAlign w:val="center"/>
          </w:tcPr>
          <w:p>
            <w:pPr>
              <w:pStyle w:val="TableContents"/>
              <w:bidi w:val="0"/>
              <w:spacing w:before="0" w:after="0"/>
              <w:ind w:left="0" w:right="0" w:hanging="0"/>
              <w:jc w:val="right"/>
              <w:rPr/>
            </w:pPr>
            <w:r>
              <w:rPr/>
              <w:t>—</w:t>
            </w:r>
          </w:p>
        </w:tc>
        <w:tc>
          <w:tcPr>
            <w:tcW w:w="121"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pPr>
            <w:r>
              <w:rPr/>
              <w:t> </w:t>
            </w:r>
          </w:p>
        </w:tc>
        <w:tc>
          <w:tcPr>
            <w:tcW w:w="1008"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3,290</w:t>
            </w:r>
          </w:p>
        </w:tc>
        <w:tc>
          <w:tcPr>
            <w:tcW w:w="75" w:type="dxa"/>
            <w:tcBorders/>
            <w:shd w:fill="FFFFFF" w:val="clear"/>
            <w:vAlign w:val="center"/>
          </w:tcPr>
          <w:p>
            <w:pPr>
              <w:pStyle w:val="TableContents"/>
              <w:bidi w:val="0"/>
              <w:spacing w:before="0" w:after="0"/>
              <w:jc w:val="left"/>
              <w:rPr/>
            </w:pPr>
            <w:r>
              <w:rPr/>
              <w:t> </w:t>
            </w:r>
          </w:p>
        </w:tc>
      </w:tr>
      <w:tr>
        <w:trPr/>
        <w:tc>
          <w:tcPr>
            <w:tcW w:w="2570" w:type="dxa"/>
            <w:tcBorders/>
            <w:shd w:fill="CCEEFF" w:val="clear"/>
            <w:vAlign w:val="center"/>
          </w:tcPr>
          <w:p>
            <w:pPr>
              <w:pStyle w:val="TableContents"/>
              <w:bidi w:val="0"/>
              <w:spacing w:before="0" w:after="0"/>
              <w:ind w:left="180" w:right="0" w:firstLine="180"/>
              <w:jc w:val="left"/>
              <w:rPr>
                <w:rFonts w:ascii="Arial;Helvetica;sans-serif" w:hAnsi="Arial;Helvetica;sans-serif"/>
                <w:sz w:val="20"/>
              </w:rPr>
            </w:pPr>
            <w:r>
              <w:rPr>
                <w:rFonts w:ascii="Arial;Helvetica;sans-serif" w:hAnsi="Arial;Helvetica;sans-serif"/>
                <w:sz w:val="20"/>
              </w:rPr>
              <w:t>Certificates of deposit</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522</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marketable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04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25,030</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3,812</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 at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26,348</w:t>
            </w:r>
          </w:p>
        </w:tc>
        <w:tc>
          <w:tcPr>
            <w:tcW w:w="121"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3,812</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Assets measured at fair value on a recurring basis based on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and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fair value measurement criteria as of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xml:space="preser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2570"/>
        <w:gridCol w:w="60"/>
        <w:gridCol w:w="218"/>
        <w:gridCol w:w="1061"/>
        <w:gridCol w:w="60"/>
        <w:gridCol w:w="60"/>
        <w:gridCol w:w="255"/>
        <w:gridCol w:w="1234"/>
        <w:gridCol w:w="121"/>
        <w:gridCol w:w="121"/>
        <w:gridCol w:w="252"/>
        <w:gridCol w:w="1008"/>
        <w:gridCol w:w="7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Fair Value Measurements Using</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Quoted Prices</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Significant</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in Active</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Other</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Balance as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Markets for</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Observable</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Identical Assets</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Inputs</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Money market funds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39,618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39,618</w:t>
            </w:r>
          </w:p>
        </w:tc>
        <w:tc>
          <w:tcPr>
            <w:tcW w:w="121"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 w:type="dxa"/>
            <w:tcBorders/>
            <w:shd w:fill="CCEEFF" w:val="clear"/>
            <w:vAlign w:val="center"/>
          </w:tcPr>
          <w:p>
            <w:pPr>
              <w:pStyle w:val="TableContents"/>
              <w:bidi w:val="0"/>
              <w:spacing w:before="0" w:after="0"/>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firstLine="36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bonds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6,058</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360"/>
              <w:jc w:val="left"/>
              <w:rPr>
                <w:rFonts w:ascii="Arial;Helvetica;sans-serif" w:hAnsi="Arial;Helvetica;sans-serif"/>
                <w:sz w:val="20"/>
              </w:rPr>
            </w:pPr>
            <w:r>
              <w:rPr>
                <w:rFonts w:ascii="Arial;Helvetica;sans-serif" w:hAnsi="Arial;Helvetica;sans-serif"/>
                <w:sz w:val="20"/>
              </w:rPr>
              <w:t>Commercial paper</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1,695</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firstLine="360"/>
              <w:jc w:val="left"/>
              <w:rPr>
                <w:rFonts w:ascii="Arial;Helvetica;sans-serif" w:hAnsi="Arial;Helvetica;sans-serif"/>
                <w:sz w:val="20"/>
              </w:rPr>
            </w:pPr>
            <w:r>
              <w:rPr>
                <w:rFonts w:ascii="Arial;Helvetica;sans-serif" w:hAnsi="Arial;Helvetica;sans-serif"/>
                <w:sz w:val="20"/>
              </w:rPr>
              <w:t>Certificates of deposit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1,958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1,958</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marketable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9,711</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 at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49,329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39,618</w:t>
            </w:r>
          </w:p>
        </w:tc>
        <w:tc>
          <w:tcPr>
            <w:tcW w:w="121"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9,711</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Company’s investments in U.S. government bonds and money market funds are measured based on publicly available quoted market prices for identical securities as of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The Company's investments in corporate bonds, commercial paper and certificates of deposits are measured based on quotes from market makers for similar items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12</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7</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w:t>
      </w:r>
      <w:r>
        <w:rPr>
          <w:rFonts w:ascii="Arial;Helvetica;sans-serif" w:hAnsi="Arial;Helvetica;sans-serif"/>
          <w:b/>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following table summarizes the Company’s investments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2570"/>
        <w:gridCol w:w="60"/>
        <w:gridCol w:w="172"/>
        <w:gridCol w:w="837"/>
        <w:gridCol w:w="60"/>
        <w:gridCol w:w="60"/>
        <w:gridCol w:w="327"/>
        <w:gridCol w:w="683"/>
        <w:gridCol w:w="60"/>
        <w:gridCol w:w="60"/>
        <w:gridCol w:w="327"/>
        <w:gridCol w:w="683"/>
        <w:gridCol w:w="80"/>
        <w:gridCol w:w="60"/>
        <w:gridCol w:w="165"/>
        <w:gridCol w:w="799"/>
        <w:gridCol w:w="7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Cost Basis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Fair Value</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equivalents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firstLine="360"/>
              <w:jc w:val="left"/>
              <w:rPr>
                <w:rFonts w:ascii="Arial;Helvetica;sans-serif" w:hAnsi="Arial;Helvetica;sans-serif"/>
                <w:caps w:val="false"/>
                <w:smallCaps w:val="false"/>
                <w:sz w:val="20"/>
              </w:rPr>
            </w:pPr>
            <w:r>
              <w:rPr>
                <w:rFonts w:ascii="Arial;Helvetica;sans-serif" w:hAnsi="Arial;Helvetica;sans-serif"/>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1,318</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firstLine="360"/>
              <w:jc w:val="left"/>
              <w:rPr>
                <w:rFonts w:ascii="Arial;Helvetica;sans-serif" w:hAnsi="Arial;Helvetica;sans-serif"/>
                <w:sz w:val="20"/>
              </w:rPr>
            </w:pPr>
            <w:r>
              <w:rPr>
                <w:rFonts w:ascii="Arial;Helvetica;sans-serif" w:hAnsi="Arial;Helvetica;sans-serif"/>
                <w:sz w:val="20"/>
              </w:rPr>
              <w:t>U.S. government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25,030</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3,290</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522</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marketable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28,842</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 at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classifies its investments as available-for-sale, and they consist entirely of debt securities.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the amortized cost of investments included an immaterial amount of accrued interest.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marketable securities were in a net unrealized loss position. Unrealized gains and losses on available-for-sale debt securities are included as a component of 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As of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the aggregate fair value of investments held by the Company in an unrealized loss position was $19.8 million which consisted of three securities. The unrealized loss was primarily driven by minor fluctuations in the fair value of U.S. government securities.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expect to settle the debentures at a price less than the amortized cost basis of the investment; the Company expects to recover the entire amortized cost basis of the security. In accordance with the Company’s general investment strategy,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intend to sell the investments before maturity. As of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the Company believes the cost basis for its marketable securities was recoverable in all material aspects and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allowance for credit losses was recognized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Company’s investments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mature at various dates through </w:t>
      </w:r>
      <w:r>
        <w:rPr>
          <w:rStyle w:val="Emphasis"/>
          <w:rFonts w:ascii="Arial;Helvetica;sans-serif" w:hAnsi="Arial;Helvetica;sans-serif"/>
          <w:caps w:val="false"/>
          <w:smallCaps w:val="false"/>
          <w:sz w:val="20"/>
        </w:rPr>
        <w:t>October 2026.</w:t>
      </w:r>
      <w:r>
        <w:rPr>
          <w:rFonts w:ascii="Arial;Helvetica;sans-serif" w:hAnsi="Arial;Helvetica;sans-serif"/>
          <w:caps w:val="false"/>
          <w:smallCaps w:val="false"/>
          <w:sz w:val="20"/>
        </w:rPr>
        <w:t xml:space="preserve"> The fair values of investments by contractual maturity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223" w:type="dxa"/>
        <w:jc w:val="left"/>
        <w:tblInd w:w="0" w:type="dxa"/>
        <w:tblLayout w:type="fixed"/>
        <w:tblCellMar>
          <w:top w:w="0" w:type="dxa"/>
          <w:left w:w="0" w:type="dxa"/>
          <w:bottom w:w="0" w:type="dxa"/>
          <w:right w:w="0" w:type="dxa"/>
        </w:tblCellMar>
      </w:tblPr>
      <w:tblGrid>
        <w:gridCol w:w="3890"/>
        <w:gridCol w:w="60"/>
        <w:gridCol w:w="136"/>
        <w:gridCol w:w="663"/>
        <w:gridCol w:w="60"/>
        <w:gridCol w:w="60"/>
        <w:gridCol w:w="218"/>
        <w:gridCol w:w="1061"/>
        <w:gridCol w:w="7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Maturities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49,329</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Maturities after one year through three years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49,329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8</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Property and equipment consisted of the following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295"/>
        <w:gridCol w:w="60"/>
        <w:gridCol w:w="145"/>
        <w:gridCol w:w="654"/>
        <w:gridCol w:w="80"/>
        <w:gridCol w:w="60"/>
        <w:gridCol w:w="233"/>
        <w:gridCol w:w="1046"/>
        <w:gridCol w:w="95"/>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Laboratory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4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504</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Computer equipment and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2,799</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Furniture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612</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626</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equipment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683</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5,224</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(4,740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(4,587</w:t>
            </w:r>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2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Depreciation and amortization expense was $0.1 and $0.2 million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respectively and $0.1 and $0.2 million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2025</w:t>
      </w:r>
      <w:r>
        <w:rPr>
          <w:rFonts w:ascii="Arial;Helvetica;sans-serif" w:hAnsi="Arial;Helvetica;sans-serif"/>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13</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9</w:t>
      </w:r>
      <w:r>
        <w:rPr>
          <w:rFonts w:ascii="Arial;Helvetica;sans-serif" w:hAnsi="Arial;Helvetica;sans-serif"/>
          <w:b/>
          <w:caps w:val="false"/>
          <w:smallCaps w:val="false"/>
          <w:sz w:val="20"/>
        </w:rPr>
        <w:t xml:space="preserve">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Prepaid Forward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March 2021, </w:t>
      </w:r>
      <w:r>
        <w:rPr>
          <w:rFonts w:ascii="Arial;Helvetica;sans-serif" w:hAnsi="Arial;Helvetica;sans-serif"/>
          <w:caps w:val="false"/>
          <w:smallCaps w:val="false"/>
          <w:sz w:val="20"/>
        </w:rPr>
        <w:t>the Company entered into a prepaid forward agreement with RTW Investments (“RTW”). Under the terms of the RTW Transaction, the Company received $75.0 million (</w:t>
      </w:r>
      <w:r>
        <w:rPr>
          <w:rFonts w:ascii="Arial;Helvetica;sans-serif" w:hAnsi="Arial;Helvetica;sans-serif"/>
          <w:caps w:val="false"/>
          <w:smallCaps w:val="false"/>
          <w:sz w:val="20"/>
          <w:shd w:fill="FFFFFF" w:val="clear"/>
        </w:rPr>
        <w:t>$72.4</w:t>
      </w:r>
      <w:r>
        <w:rPr>
          <w:rFonts w:ascii="Arial;Helvetica;sans-serif" w:hAnsi="Arial;Helvetica;sans-serif"/>
          <w:caps w:val="false"/>
          <w:smallCaps w:val="false"/>
          <w:sz w:val="20"/>
        </w:rPr>
        <w:t xml:space="preserve"> million net of transaction costs) to support the launch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the development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In return for the transferred funds, RTW is entitled to receive tiered, future cash payments based on aggregate worldwide annual net product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subject to FDA approval, UGN-</w:t>
      </w:r>
      <w:r>
        <w:rPr>
          <w:rStyle w:val="Emphasis"/>
          <w:rFonts w:ascii="Arial;Helvetica;sans-serif" w:hAnsi="Arial;Helvetica;sans-serif"/>
          <w:caps w:val="false"/>
          <w:smallCaps w:val="false"/>
          <w:sz w:val="20"/>
        </w:rPr>
        <w:t>104,</w:t>
      </w:r>
      <w:r>
        <w:rPr>
          <w:rFonts w:ascii="Arial;Helvetica;sans-serif" w:hAnsi="Arial;Helvetica;sans-serif"/>
          <w:caps w:val="false"/>
          <w:smallCaps w:val="false"/>
          <w:sz w:val="20"/>
        </w:rPr>
        <w:t xml:space="preserve"> in an amount equal to: (i) 9.5% of annual net sales up to </w:t>
      </w:r>
      <w:r>
        <w:rPr>
          <w:rStyle w:val="Emphasis"/>
          <w:rFonts w:ascii="Arial;Helvetica;sans-serif" w:hAnsi="Arial;Helvetica;sans-serif"/>
          <w:caps w:val="false"/>
          <w:smallCaps w:val="false"/>
          <w:sz w:val="20"/>
        </w:rPr>
        <w:t>$200</w:t>
      </w:r>
      <w:r>
        <w:rPr>
          <w:rFonts w:ascii="Arial;Helvetica;sans-serif" w:hAnsi="Arial;Helvetica;sans-serif"/>
          <w:caps w:val="false"/>
          <w:smallCaps w:val="false"/>
          <w:sz w:val="20"/>
        </w:rPr>
        <w:t xml:space="preserve"> million, (ii) 3.0% of annual net sales for annual net sales between </w:t>
      </w:r>
      <w:r>
        <w:rPr>
          <w:rStyle w:val="Emphasis"/>
          <w:rFonts w:ascii="Arial;Helvetica;sans-serif" w:hAnsi="Arial;Helvetica;sans-serif"/>
          <w:caps w:val="false"/>
          <w:smallCaps w:val="false"/>
          <w:sz w:val="20"/>
        </w:rPr>
        <w:t>$200</w:t>
      </w:r>
      <w:r>
        <w:rPr>
          <w:rFonts w:ascii="Arial;Helvetica;sans-serif" w:hAnsi="Arial;Helvetica;sans-serif"/>
          <w:caps w:val="false"/>
          <w:smallCaps w:val="false"/>
          <w:sz w:val="20"/>
        </w:rPr>
        <w:t xml:space="preserve"> million and </w:t>
      </w:r>
      <w:r>
        <w:rPr>
          <w:rStyle w:val="Emphasis"/>
          <w:rFonts w:ascii="Arial;Helvetica;sans-serif" w:hAnsi="Arial;Helvetica;sans-serif"/>
          <w:caps w:val="false"/>
          <w:smallCaps w:val="false"/>
          <w:sz w:val="20"/>
        </w:rPr>
        <w:t>$300</w:t>
      </w:r>
      <w:r>
        <w:rPr>
          <w:rFonts w:ascii="Arial;Helvetica;sans-serif" w:hAnsi="Arial;Helvetica;sans-serif"/>
          <w:caps w:val="false"/>
          <w:smallCaps w:val="false"/>
          <w:sz w:val="20"/>
        </w:rPr>
        <w:t xml:space="preserve"> million, and (iii) 1.0% of annual net sales for annual net sales above </w:t>
      </w:r>
      <w:r>
        <w:rPr>
          <w:rStyle w:val="Emphasis"/>
          <w:rFonts w:ascii="Arial;Helvetica;sans-serif" w:hAnsi="Arial;Helvetica;sans-serif"/>
          <w:caps w:val="false"/>
          <w:smallCaps w:val="false"/>
          <w:sz w:val="20"/>
        </w:rPr>
        <w:t>$300</w:t>
      </w:r>
      <w:r>
        <w:rPr>
          <w:rFonts w:ascii="Arial;Helvetica;sans-serif" w:hAnsi="Arial;Helvetica;sans-serif"/>
          <w:caps w:val="false"/>
          <w:smallCaps w:val="false"/>
          <w:sz w:val="20"/>
        </w:rPr>
        <w:t xml:space="preserve"> million. If certain revenue thresholds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aggregate worldwide annual net sales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met, the future cash payments to RTW with respect to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annual net sales up to $200 million will increase by 3.5%, and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decrease back to 9.5% dependent on the Company meeting certain subsequent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aggregate worldwide annual net sales thresholds. The rate in effect for the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for annual net sales up to $200 million was 13.0%. RTW is entitled to receive tiered, future cash payments based on aggregate worldwide annual net product sales of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and, subject to FDA approval, UGN-</w:t>
      </w:r>
      <w:r>
        <w:rPr>
          <w:rStyle w:val="Emphasis"/>
          <w:rFonts w:ascii="Arial;Helvetica;sans-serif" w:hAnsi="Arial;Helvetica;sans-serif"/>
          <w:caps w:val="false"/>
          <w:smallCaps w:val="false"/>
          <w:sz w:val="20"/>
        </w:rPr>
        <w:t>103,</w:t>
      </w:r>
      <w:r>
        <w:rPr>
          <w:rFonts w:ascii="Arial;Helvetica;sans-serif" w:hAnsi="Arial;Helvetica;sans-serif"/>
          <w:caps w:val="false"/>
          <w:smallCaps w:val="false"/>
          <w:sz w:val="20"/>
        </w:rPr>
        <w:t xml:space="preserve"> in an amount equal to: (i) 2.5% of annual net sales up to </w:t>
      </w:r>
      <w:r>
        <w:rPr>
          <w:rStyle w:val="Emphasis"/>
          <w:rFonts w:ascii="Arial;Helvetica;sans-serif" w:hAnsi="Arial;Helvetica;sans-serif"/>
          <w:caps w:val="false"/>
          <w:smallCaps w:val="false"/>
          <w:sz w:val="20"/>
        </w:rPr>
        <w:t>$200</w:t>
      </w:r>
      <w:r>
        <w:rPr>
          <w:rFonts w:ascii="Arial;Helvetica;sans-serif" w:hAnsi="Arial;Helvetica;sans-serif"/>
          <w:caps w:val="false"/>
          <w:smallCaps w:val="false"/>
          <w:sz w:val="20"/>
        </w:rPr>
        <w:t xml:space="preserve"> million, (ii) 1.0% of annual net sales for annual net sales between </w:t>
      </w:r>
      <w:r>
        <w:rPr>
          <w:rStyle w:val="Emphasis"/>
          <w:rFonts w:ascii="Arial;Helvetica;sans-serif" w:hAnsi="Arial;Helvetica;sans-serif"/>
          <w:caps w:val="false"/>
          <w:smallCaps w:val="false"/>
          <w:sz w:val="20"/>
        </w:rPr>
        <w:t>$200</w:t>
      </w:r>
      <w:r>
        <w:rPr>
          <w:rFonts w:ascii="Arial;Helvetica;sans-serif" w:hAnsi="Arial;Helvetica;sans-serif"/>
          <w:caps w:val="false"/>
          <w:smallCaps w:val="false"/>
          <w:sz w:val="20"/>
        </w:rPr>
        <w:t xml:space="preserve"> million and </w:t>
      </w:r>
      <w:r>
        <w:rPr>
          <w:rStyle w:val="Emphasis"/>
          <w:rFonts w:ascii="Arial;Helvetica;sans-serif" w:hAnsi="Arial;Helvetica;sans-serif"/>
          <w:caps w:val="false"/>
          <w:smallCaps w:val="false"/>
          <w:sz w:val="20"/>
        </w:rPr>
        <w:t>$300</w:t>
      </w:r>
      <w:r>
        <w:rPr>
          <w:rFonts w:ascii="Arial;Helvetica;sans-serif" w:hAnsi="Arial;Helvetica;sans-serif"/>
          <w:caps w:val="false"/>
          <w:smallCaps w:val="false"/>
          <w:sz w:val="20"/>
        </w:rPr>
        <w:t xml:space="preserve"> million, and (iii) 0.5% of annual net sales for annual net sales above </w:t>
      </w:r>
      <w:r>
        <w:rPr>
          <w:rStyle w:val="Emphasis"/>
          <w:rFonts w:ascii="Arial;Helvetica;sans-serif" w:hAnsi="Arial;Helvetica;sans-serif"/>
          <w:caps w:val="false"/>
          <w:smallCaps w:val="false"/>
          <w:sz w:val="20"/>
        </w:rPr>
        <w:t>$300</w:t>
      </w:r>
      <w:r>
        <w:rPr>
          <w:rFonts w:ascii="Arial;Helvetica;sans-serif" w:hAnsi="Arial;Helvetica;sans-serif"/>
          <w:caps w:val="false"/>
          <w:smallCaps w:val="false"/>
          <w:sz w:val="20"/>
        </w:rPr>
        <w:t xml:space="preserve">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accordance with the prepaid forward agreement, the Company will be required to make payments of amounts owed to RTW each calendar quarter, through and until the quarter in which the aggregate cash payments received by RTW are equal to or greater than </w:t>
      </w:r>
      <w:r>
        <w:rPr>
          <w:rStyle w:val="Emphasis"/>
          <w:rFonts w:ascii="Arial;Helvetica;sans-serif" w:hAnsi="Arial;Helvetica;sans-serif"/>
          <w:caps w:val="false"/>
          <w:smallCaps w:val="false"/>
          <w:sz w:val="20"/>
        </w:rPr>
        <w:t>$300</w:t>
      </w:r>
      <w:r>
        <w:rPr>
          <w:rFonts w:ascii="Arial;Helvetica;sans-serif" w:hAnsi="Arial;Helvetica;sans-serif"/>
          <w:caps w:val="false"/>
          <w:smallCaps w:val="false"/>
          <w:sz w:val="20"/>
        </w:rPr>
        <w:t xml:space="preserve"> million.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the cumulative amounts paid and payable by the Company were $55.1 million. As security for the payment and fulfilment of these amounts throughout the arrangement, the Company has granted RTW a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priority security interest in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UGN-</w:t>
      </w:r>
      <w:r>
        <w:rPr>
          <w:rStyle w:val="Emphasis"/>
          <w:rFonts w:ascii="Arial;Helvetica;sans-serif" w:hAnsi="Arial;Helvetica;sans-serif"/>
          <w:caps w:val="false"/>
          <w:smallCaps w:val="false"/>
          <w:sz w:val="20"/>
        </w:rPr>
        <w:t>103</w:t>
      </w:r>
      <w:r>
        <w:rPr>
          <w:rFonts w:ascii="Arial;Helvetica;sans-serif" w:hAnsi="Arial;Helvetica;sans-serif"/>
          <w:caps w:val="false"/>
          <w:smallCaps w:val="false"/>
          <w:sz w:val="20"/>
        </w:rPr>
        <w:t xml:space="preserve"> and UGN-</w:t>
      </w:r>
      <w:r>
        <w:rPr>
          <w:rStyle w:val="Emphasis"/>
          <w:rFonts w:ascii="Arial;Helvetica;sans-serif" w:hAnsi="Arial;Helvetica;sans-serif"/>
          <w:caps w:val="false"/>
          <w:smallCaps w:val="false"/>
          <w:sz w:val="20"/>
        </w:rPr>
        <w:t>104,</w:t>
      </w:r>
      <w:r>
        <w:rPr>
          <w:rFonts w:ascii="Arial;Helvetica;sans-serif" w:hAnsi="Arial;Helvetica;sans-serif"/>
          <w:caps w:val="false"/>
          <w:smallCaps w:val="false"/>
          <w:sz w:val="20"/>
        </w:rPr>
        <w:t xml:space="preserve"> including the regulatory approvals, intellectual property, material agreements, proceeds and accounts receivable related to these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May 2021</w:t>
      </w:r>
      <w:r>
        <w:rPr>
          <w:rFonts w:ascii="Arial;Helvetica;sans-serif" w:hAnsi="Arial;Helvetica;sans-serif"/>
          <w:i/>
          <w:caps w:val="false"/>
          <w:smallCaps w:val="false"/>
          <w:sz w:val="20"/>
        </w:rPr>
        <w:t>,</w:t>
      </w:r>
      <w:r>
        <w:rPr>
          <w:rFonts w:ascii="Arial;Helvetica;sans-serif" w:hAnsi="Arial;Helvetica;sans-serif"/>
          <w:caps w:val="false"/>
          <w:smallCaps w:val="false"/>
          <w:sz w:val="20"/>
        </w:rPr>
        <w:t> following the receipt of necessary regulatory approvals, the Company received the $75.0 million prepaid forward payment ($72.4 million net of transaction costs) from RTW and recognized an associated prepaid forward obligation liability. Each period the Company makes a payment to RTW, an expense is recognized related to financing on the prepaid forward obligation based on an imputed rate derived from the expected future payments. Management reassesses the effective rate each period based on the current carrying value of the obligation and the revised estimated future payments. Changes in future payments from previous estimates are included in future financing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following table shows the activity with respect to the carrying value of the prepaid forward liability for the year ended </w:t>
      </w:r>
      <w:r>
        <w:rPr>
          <w:rStyle w:val="Emphasis"/>
          <w:rFonts w:ascii="Arial;Helvetica;sans-serif" w:hAnsi="Arial;Helvetica;sans-serif"/>
          <w:caps w:val="false"/>
          <w:smallCaps w:val="false"/>
          <w:sz w:val="20"/>
        </w:rPr>
        <w:t>December 31, 2025 </w:t>
      </w:r>
      <w:r>
        <w:rPr>
          <w:rFonts w:ascii="Arial;Helvetica;sans-serif" w:hAnsi="Arial;Helvetica;sans-serif"/>
          <w:caps w:val="false"/>
          <w:smallCaps w:val="false"/>
          <w:sz w:val="20"/>
        </w:rPr>
        <w:t xml:space="preserve">and for the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6005"/>
        <w:gridCol w:w="60"/>
        <w:gridCol w:w="125"/>
        <w:gridCol w:w="710"/>
        <w:gridCol w:w="80"/>
      </w:tblGrid>
      <w:tr>
        <w:trPr/>
        <w:tc>
          <w:tcPr>
            <w:tcW w:w="60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Carrying value of prepaid forward obligation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121,387</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18,503</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Amounts paid and payable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(12,614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00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Carrying value of prepaid forward obligation as of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127,276</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on prepaid forward obligation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9,051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005"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Amounts paid and payable (1)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(11,192</w:t>
            </w:r>
          </w:p>
        </w:tc>
        <w:tc>
          <w:tcPr>
            <w:tcW w:w="80" w:type="dxa"/>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60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Carrying value of prepaid forward obligation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$7.7 million and $3.4 million were classified as the current portion of the prepaid forward obligation and are included within other current liabilities on the condensed consolidated balance sheets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 xml:space="preserve">December 31, 2025, </w:t>
      </w:r>
      <w:r>
        <w:rPr>
          <w:rFonts w:ascii="Arial;Helvetica;sans-serif" w:hAnsi="Arial;Helvetica;sans-serif"/>
          <w:caps w:val="false"/>
          <w:smallCaps w:val="false"/>
          <w:sz w:val="20"/>
        </w:rPr>
        <w:t xml:space="preserve">respectively. The remaining $3.5 million of the $11.2 million of Amounts paid and payable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represents the expected decrease in the carrying amount of the prepaid forward obligation over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and is included within other current liabilities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14</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10</w:t>
      </w:r>
      <w:r>
        <w:rPr>
          <w:rFonts w:ascii="Arial;Helvetica;sans-serif" w:hAnsi="Arial;Helvetica;sans-serif"/>
          <w:b/>
          <w:caps w:val="false"/>
          <w:smallCaps w:val="false"/>
          <w:sz w:val="20"/>
        </w:rPr>
        <w:t xml:space="preserve"> –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March 7, 2022,</w:t>
      </w:r>
      <w:r>
        <w:rPr>
          <w:rFonts w:ascii="Arial;Helvetica;sans-serif" w:hAnsi="Arial;Helvetica;sans-serif"/>
          <w:caps w:val="false"/>
          <w:smallCaps w:val="false"/>
          <w:sz w:val="20"/>
        </w:rPr>
        <w:t xml:space="preserve"> the Company entered into a loan agreement with Pharmakon (the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Loan Agreement") for a senior secured term loan of up to $100 million in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tranches.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tranche of $75 million was funded in </w:t>
      </w:r>
      <w:r>
        <w:rPr>
          <w:rStyle w:val="Emphasis"/>
          <w:rFonts w:ascii="Arial;Helvetica;sans-serif" w:hAnsi="Arial;Helvetica;sans-serif"/>
          <w:caps w:val="false"/>
          <w:smallCaps w:val="false"/>
          <w:sz w:val="20"/>
        </w:rPr>
        <w:t xml:space="preserve"> March 2022.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tranche of $25 million was funded in </w:t>
      </w:r>
      <w:r>
        <w:rPr>
          <w:rStyle w:val="Emphasis"/>
          <w:rFonts w:ascii="Arial;Helvetica;sans-serif" w:hAnsi="Arial;Helvetica;sans-serif"/>
          <w:caps w:val="false"/>
          <w:smallCaps w:val="false"/>
          <w:sz w:val="20"/>
        </w:rPr>
        <w:t xml:space="preserve"> December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June 29, 2023,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Loan Agreement with Pharmakon was amended to replace the benchmark governing the interest rate with a rate based on the secured overnight financing rate ("SOFR") published by the Federal Reserve Bank of New York. Effective </w:t>
      </w:r>
      <w:r>
        <w:rPr>
          <w:rStyle w:val="Emphasis"/>
          <w:rFonts w:ascii="Arial;Helvetica;sans-serif" w:hAnsi="Arial;Helvetica;sans-serif"/>
          <w:caps w:val="false"/>
          <w:smallCaps w:val="false"/>
          <w:sz w:val="20"/>
        </w:rPr>
        <w:t xml:space="preserve">July 2023, </w:t>
      </w:r>
      <w:r>
        <w:rPr>
          <w:rFonts w:ascii="Arial;Helvetica;sans-serif" w:hAnsi="Arial;Helvetica;sans-serif"/>
          <w:caps w:val="false"/>
          <w:smallCaps w:val="false"/>
          <w:sz w:val="20"/>
        </w:rPr>
        <w:t xml:space="preserve">the loan accrued interest using a benchmark rate of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-month SOFR plus 8.25% plus an additional adjustment of 0.26161%.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March 13, 2024, </w:t>
      </w:r>
      <w:r>
        <w:rPr>
          <w:rFonts w:ascii="Arial;Helvetica;sans-serif" w:hAnsi="Arial;Helvetica;sans-serif"/>
          <w:caps w:val="false"/>
          <w:smallCaps w:val="false"/>
          <w:sz w:val="20"/>
        </w:rPr>
        <w:t xml:space="preserve">the Company entered into an amended and restated loan agreement with Pharmakon, which replaced the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Loan Agreement, for an additional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tranche of senior secured loan (the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Loan Agreement").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tranche of $25.0 million was funded in </w:t>
      </w:r>
      <w:r>
        <w:rPr>
          <w:rStyle w:val="Emphasis"/>
          <w:rFonts w:ascii="Arial;Helvetica;sans-serif" w:hAnsi="Arial;Helvetica;sans-serif"/>
          <w:caps w:val="false"/>
          <w:smallCaps w:val="false"/>
          <w:sz w:val="20"/>
        </w:rPr>
        <w:t xml:space="preserve"> September 2024.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tranche of $75.0 million became available at the Company's option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later than </w:t>
      </w:r>
      <w:r>
        <w:rPr>
          <w:rStyle w:val="Emphasis"/>
          <w:rFonts w:ascii="Arial;Helvetica;sans-serif" w:hAnsi="Arial;Helvetica;sans-serif"/>
          <w:caps w:val="false"/>
          <w:smallCaps w:val="false"/>
          <w:sz w:val="20"/>
        </w:rPr>
        <w:t xml:space="preserve">August 29, 2025, </w:t>
      </w:r>
      <w:r>
        <w:rPr>
          <w:rFonts w:ascii="Arial;Helvetica;sans-serif" w:hAnsi="Arial;Helvetica;sans-serif"/>
          <w:caps w:val="false"/>
          <w:smallCaps w:val="false"/>
          <w:sz w:val="20"/>
        </w:rPr>
        <w:t xml:space="preserve">based upon having received FDA approval of a new drug application (“NDA”)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by </w:t>
      </w:r>
      <w:r>
        <w:rPr>
          <w:rStyle w:val="Emphasis"/>
          <w:rFonts w:ascii="Arial;Helvetica;sans-serif" w:hAnsi="Arial;Helvetica;sans-serif"/>
          <w:caps w:val="false"/>
          <w:smallCaps w:val="false"/>
          <w:sz w:val="20"/>
        </w:rPr>
        <w:t xml:space="preserve">June 30, 2025. </w:t>
      </w:r>
      <w:r>
        <w:rPr>
          <w:rFonts w:ascii="Arial;Helvetica;sans-serif" w:hAnsi="Arial;Helvetica;sans-serif"/>
          <w:caps w:val="false"/>
          <w:smallCaps w:val="false"/>
          <w:sz w:val="20"/>
        </w:rPr>
        <w:t xml:space="preserve">The Company elected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draw down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tranche. Under the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Loan Agreement, prior to the refinancing described in the immediately following paragraph, all outstanding loans accrued interest using a benchmark rate of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-month SOFR plus 7.25% plus an additional adjustment of 0.26161%.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February 26, 2026 (</w:t>
      </w:r>
      <w:r>
        <w:rPr>
          <w:rFonts w:ascii="Arial;Helvetica;sans-serif" w:hAnsi="Arial;Helvetica;sans-serif"/>
          <w:caps w:val="false"/>
          <w:smallCaps w:val="false"/>
          <w:sz w:val="20"/>
        </w:rPr>
        <w:t>the "Closing Date"), the Company entered into a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amended and restated loan agreement with Pharmakon, which replaced the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Loan Agreement, providing for a senior secured term loan facility of up to $250.0 million, consisting of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tranches (the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Loan Agreement”).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tranche of $200.0 million was advanced on the Closing Date and refinanced the Company's term loan facility under the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Loan Agreement which had $125.0 million of outstanding principal, with the remaining proceeds available for general corporate purposes and working capital. The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tranche of $50.0 million </w:t>
      </w:r>
      <w:r>
        <w:rPr>
          <w:rStyle w:val="Emphasis"/>
          <w:rFonts w:ascii="Arial;Helvetica;sans-serif" w:hAnsi="Arial;Helvetica;sans-serif"/>
          <w:caps w:val="false"/>
          <w:smallCaps w:val="false"/>
          <w:sz w:val="20"/>
        </w:rPr>
        <w:t xml:space="preserve"> may, </w:t>
      </w:r>
      <w:r>
        <w:rPr>
          <w:rFonts w:ascii="Arial;Helvetica;sans-serif" w:hAnsi="Arial;Helvetica;sans-serif"/>
          <w:caps w:val="false"/>
          <w:smallCaps w:val="false"/>
          <w:sz w:val="20"/>
        </w:rPr>
        <w:t>at the Company's option, be requested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later than </w:t>
      </w:r>
      <w:r>
        <w:rPr>
          <w:rStyle w:val="Emphasis"/>
          <w:rFonts w:ascii="Arial;Helvetica;sans-serif" w:hAnsi="Arial;Helvetica;sans-serif"/>
          <w:caps w:val="false"/>
          <w:smallCaps w:val="false"/>
          <w:sz w:val="20"/>
        </w:rPr>
        <w:t xml:space="preserve"> June 30, 2027 </w:t>
      </w:r>
      <w:r>
        <w:rPr>
          <w:rFonts w:ascii="Arial;Helvetica;sans-serif" w:hAnsi="Arial;Helvetica;sans-serif"/>
          <w:caps w:val="false"/>
          <w:smallCaps w:val="false"/>
          <w:sz w:val="20"/>
        </w:rPr>
        <w:t>for funding to occur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later than </w:t>
      </w:r>
      <w:r>
        <w:rPr>
          <w:rStyle w:val="Emphasis"/>
          <w:rFonts w:ascii="Arial;Helvetica;sans-serif" w:hAnsi="Arial;Helvetica;sans-serif"/>
          <w:caps w:val="false"/>
          <w:smallCaps w:val="false"/>
          <w:sz w:val="20"/>
        </w:rPr>
        <w:t xml:space="preserve"> August 29, 2027, </w:t>
      </w:r>
      <w:r>
        <w:rPr>
          <w:rFonts w:ascii="Arial;Helvetica;sans-serif" w:hAnsi="Arial;Helvetica;sans-serif"/>
          <w:caps w:val="false"/>
          <w:smallCaps w:val="false"/>
          <w:sz w:val="20"/>
        </w:rPr>
        <w:t xml:space="preserve">subject to customary conditions. The term loans mature on the </w:t>
      </w:r>
      <w:r>
        <w:rPr>
          <w:rStyle w:val="Emphasis"/>
          <w:rFonts w:ascii="Arial;Helvetica;sans-serif" w:hAnsi="Arial;Helvetica;sans-serif"/>
          <w:caps w:val="false"/>
          <w:smallCaps w:val="false"/>
          <w:sz w:val="20"/>
        </w:rPr>
        <w:t>fifth</w:t>
      </w:r>
      <w:r>
        <w:rPr>
          <w:rFonts w:ascii="Arial;Helvetica;sans-serif" w:hAnsi="Arial;Helvetica;sans-serif"/>
          <w:caps w:val="false"/>
          <w:smallCaps w:val="false"/>
          <w:sz w:val="20"/>
        </w:rPr>
        <w:t xml:space="preserve">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All outstanding loans with Pharmakon pursuant to the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Loan Agreement accrue interest at a fixed rate of 8.25%. The principal amount of the loans outstanding under the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Loan Agreement shall be repayable in </w:t>
      </w:r>
      <w:r>
        <w:rPr>
          <w:rStyle w:val="Emphasis"/>
          <w:rFonts w:ascii="Arial;Helvetica;sans-serif" w:hAnsi="Arial;Helvetica;sans-serif"/>
          <w:caps w:val="false"/>
          <w:smallCaps w:val="false"/>
          <w:sz w:val="20"/>
        </w:rPr>
        <w:t>four</w:t>
      </w:r>
      <w:r>
        <w:rPr>
          <w:rFonts w:ascii="Arial;Helvetica;sans-serif" w:hAnsi="Arial;Helvetica;sans-serif"/>
          <w:caps w:val="false"/>
          <w:smallCaps w:val="false"/>
          <w:sz w:val="20"/>
        </w:rPr>
        <w:t> equal quarterly payments commencing in the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2030,</w:t>
      </w:r>
      <w:r>
        <w:rPr>
          <w:rFonts w:ascii="Arial;Helvetica;sans-serif" w:hAnsi="Arial;Helvetica;sans-serif"/>
          <w:caps w:val="false"/>
          <w:smallCaps w:val="false"/>
          <w:sz w:val="20"/>
        </w:rPr>
        <w:t xml:space="preserve"> which are subject to an exit fee of 1% of the principal amount being repaid. The Company </w:t>
      </w:r>
      <w:r>
        <w:rPr>
          <w:rStyle w:val="Emphasis"/>
          <w:rFonts w:ascii="Arial;Helvetica;sans-serif" w:hAnsi="Arial;Helvetica;sans-serif"/>
          <w:caps w:val="false"/>
          <w:smallCaps w:val="false"/>
          <w:sz w:val="20"/>
        </w:rPr>
        <w:t xml:space="preserve"> may </w:t>
      </w:r>
      <w:r>
        <w:rPr>
          <w:rFonts w:ascii="Arial;Helvetica;sans-serif" w:hAnsi="Arial;Helvetica;sans-serif"/>
          <w:caps w:val="false"/>
          <w:smallCaps w:val="false"/>
          <w:sz w:val="20"/>
        </w:rPr>
        <w:t>prepay the full outstanding principal amount of the loans in whole at the Company's discretion at any time, together with accrued but unpaid interest thereon and subject to prepayment premiums, make-whole amounts, as applicable,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obligations of UroGen Pharma, Inc., as the borrower under the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Loan Agreement, are guaranteed by UroGen Pharma Ltd., subject to customary limitations on parent guarantees under Israeli law, and are secured by substantially all of the tangible and intangible assets and property, including intellectual property, of UroGen Pharma, Inc. and UroGen Pharma Ltd., subject to certain exceptions.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refinancing of the Company's term loan facility with the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xml:space="preserve"> Loan Agreement was accounted for by the Company as a debt modification under ASC </w:t>
      </w:r>
      <w:r>
        <w:rPr>
          <w:rStyle w:val="Emphasis"/>
          <w:rFonts w:ascii="Arial;Helvetica;sans-serif" w:hAnsi="Arial;Helvetica;sans-serif"/>
          <w:caps w:val="false"/>
          <w:smallCaps w:val="false"/>
          <w:sz w:val="20"/>
        </w:rPr>
        <w:t>470,</w:t>
      </w:r>
      <w:r>
        <w:rPr>
          <w:rFonts w:ascii="Arial;Helvetica;sans-serif" w:hAnsi="Arial;Helvetica;sans-serif"/>
          <w:caps w:val="false"/>
          <w:smallCaps w:val="false"/>
          <w:sz w:val="20"/>
        </w:rPr>
        <w:t xml:space="preserve"> as the terms of the new arrangement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considered substantially different from those of the existing debt. Accordingly, the Company did not recognize a gain or loss on extinguishment, and existing unamortized debt issuance costs associated with the prior term loan were carried forward and continue to be amortized over the term of the modified debt using the effective interest method. The Company incurred financing expenses of $9.7 million related to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tranche of the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xml:space="preserve"> Loan Agreement funded in </w:t>
      </w:r>
      <w:r>
        <w:rPr>
          <w:rStyle w:val="Emphasis"/>
          <w:rFonts w:ascii="Arial;Helvetica;sans-serif" w:hAnsi="Arial;Helvetica;sans-serif"/>
          <w:caps w:val="false"/>
          <w:smallCaps w:val="false"/>
          <w:sz w:val="20"/>
        </w:rPr>
        <w:t xml:space="preserve">February 2026, </w:t>
      </w:r>
      <w:r>
        <w:rPr>
          <w:rFonts w:ascii="Arial;Helvetica;sans-serif" w:hAnsi="Arial;Helvetica;sans-serif"/>
          <w:caps w:val="false"/>
          <w:smallCaps w:val="false"/>
          <w:sz w:val="20"/>
        </w:rPr>
        <w:t>which are recognized as a direct offset to the long-term debt on the Company's condensed consolidated balance sheets. These debt issuance costs are amortized over the term of the debt using the effective interest method, and are recorded in the condensed consolidated statements of operations as "Interest expense on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the activity with respect to the carrying value of the long-term debt, in thousands:</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7145"/>
        <w:gridCol w:w="60"/>
        <w:gridCol w:w="125"/>
        <w:gridCol w:w="710"/>
        <w:gridCol w:w="80"/>
      </w:tblGrid>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Carrying value of Pharmakon loan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121,734</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15,345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Amounts paid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(14,869</w:t>
            </w:r>
          </w:p>
        </w:tc>
        <w:tc>
          <w:tcPr>
            <w:tcW w:w="80" w:type="dxa"/>
            <w:tcBorders/>
            <w:shd w:fill="CCEE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Carrying value of Pharmakon loan as of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122,210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Carrying value of Pharmakon loan as of February 26, 2026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124,748</w:t>
            </w:r>
          </w:p>
        </w:tc>
        <w:tc>
          <w:tcPr>
            <w:tcW w:w="80" w:type="dxa"/>
            <w:tcBorders/>
            <w:shd w:fill="FFFFFF" w:val="clear"/>
            <w:vAlign w:val="center"/>
          </w:tcPr>
          <w:p>
            <w:pPr>
              <w:pStyle w:val="TableContents"/>
              <w:bidi w:val="0"/>
              <w:spacing w:before="0" w:after="0"/>
              <w:jc w:val="left"/>
              <w:rPr/>
            </w:pPr>
            <w:r>
              <w:rPr/>
              <w:t> </w:t>
            </w:r>
          </w:p>
        </w:tc>
      </w:tr>
      <w:tr>
        <w:trPr/>
        <w:tc>
          <w:tcPr>
            <w:tcW w:w="7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Modification of Pharmakon loan: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borrowing of Pharmakon loan (2026 Loan Agreement - first tranche),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75,000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Capitalized costs and discounts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(9,654</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amount paid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(2,211</w:t>
            </w:r>
          </w:p>
        </w:tc>
        <w:tc>
          <w:tcPr>
            <w:tcW w:w="80" w:type="dxa"/>
            <w:tcBorders/>
            <w:shd w:fill="CCEE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Carrying value of Pharmakon loan as of February 27,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187,883</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6,534</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Amounts paid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(5,683</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1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Carrying value of Pharmakon loan as of June 30,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188,734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20"/>
        </w:rPr>
        <w:t xml:space="preserve">The aggregate principal maturities of long-term debt as of </w:t>
      </w:r>
      <w:r>
        <w:rPr>
          <w:rStyle w:val="Emphasis"/>
          <w:rFonts w:ascii="Arial;Helvetica;sans-serif" w:hAnsi="Arial;Helvetica;sans-serif"/>
          <w:sz w:val="20"/>
        </w:rPr>
        <w:t>June 30, 2026</w:t>
      </w:r>
      <w:r>
        <w:rPr>
          <w:rFonts w:ascii="Arial;Helvetica;sans-serif" w:hAnsi="Arial;Helvetica;sans-serif"/>
          <w:sz w:val="20"/>
        </w:rPr>
        <w:t> are as follows, in thousands:</w:t>
      </w:r>
    </w:p>
    <w:p>
      <w:pPr>
        <w:pStyle w:val="TextBody"/>
        <w:bidi w:val="0"/>
        <w:spacing w:before="0" w:after="0"/>
        <w:ind w:left="0" w:right="0" w:hanging="0"/>
        <w:jc w:val="left"/>
        <w:rPr/>
      </w:pPr>
      <w:r>
        <w:rPr/>
        <w:t> </w:t>
      </w:r>
    </w:p>
    <w:tbl>
      <w:tblPr>
        <w:tblW w:w="2409" w:type="dxa"/>
        <w:jc w:val="left"/>
        <w:tblInd w:w="0" w:type="dxa"/>
        <w:tblLayout w:type="fixed"/>
        <w:tblCellMar>
          <w:top w:w="0" w:type="dxa"/>
          <w:left w:w="0" w:type="dxa"/>
          <w:bottom w:w="0" w:type="dxa"/>
          <w:right w:w="0" w:type="dxa"/>
        </w:tblCellMar>
      </w:tblPr>
      <w:tblGrid>
        <w:gridCol w:w="455"/>
        <w:gridCol w:w="60"/>
        <w:gridCol w:w="272"/>
        <w:gridCol w:w="1562"/>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Principal Payments</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5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5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5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5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56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150,000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2031</w:t>
            </w:r>
          </w:p>
        </w:tc>
        <w:tc>
          <w:tcPr>
            <w:tcW w:w="60" w:type="dxa"/>
            <w:tcBorders/>
            <w:shd w:fill="FFFFFF" w:val="clear"/>
            <w:vAlign w:val="center"/>
          </w:tcPr>
          <w:p>
            <w:pPr>
              <w:pStyle w:val="TableContents"/>
              <w:bidi w:val="0"/>
              <w:spacing w:before="0" w:after="0"/>
              <w:ind w:left="0" w:right="0" w:hanging="0"/>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50,000</w:t>
            </w:r>
          </w:p>
        </w:tc>
        <w:tc>
          <w:tcPr>
            <w:tcW w:w="60" w:type="dxa"/>
            <w:tcBorders/>
            <w:shd w:fill="FFFFFF" w:val="clear"/>
            <w:vAlign w:val="center"/>
          </w:tcPr>
          <w:p>
            <w:pPr>
              <w:pStyle w:val="TableContents"/>
              <w:bidi w:val="0"/>
              <w:spacing w:before="0" w:after="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had the following office and laboratory facility leases during the periods covered by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pPr>
            <w:r>
              <w:rPr>
                <w:rFonts w:ascii="Arial" w:hAnsi="Arial"/>
                <w:caps w:val="false"/>
                <w:smallCaps w:val="false"/>
                <w:sz w:val="20"/>
              </w:rPr>
              <w:t xml:space="preserve">In </w:t>
            </w:r>
            <w:r>
              <w:rPr>
                <w:rStyle w:val="Emphasis"/>
                <w:rFonts w:ascii="Arial" w:hAnsi="Arial"/>
                <w:caps w:val="false"/>
                <w:smallCaps w:val="false"/>
                <w:sz w:val="20"/>
              </w:rPr>
              <w:t xml:space="preserve">April 2016, </w:t>
            </w:r>
            <w:r>
              <w:rPr>
                <w:rFonts w:ascii="Arial" w:hAnsi="Arial"/>
                <w:caps w:val="false"/>
                <w:smallCaps w:val="false"/>
                <w:sz w:val="20"/>
              </w:rPr>
              <w:t xml:space="preserve">UPL signed an addendum to its </w:t>
            </w:r>
            <w:r>
              <w:rPr>
                <w:rStyle w:val="Emphasis"/>
                <w:rFonts w:ascii="Arial" w:hAnsi="Arial"/>
                <w:caps w:val="false"/>
                <w:smallCaps w:val="false"/>
                <w:sz w:val="20"/>
              </w:rPr>
              <w:t xml:space="preserve">November 2014 </w:t>
            </w:r>
            <w:r>
              <w:rPr>
                <w:rFonts w:ascii="Arial" w:hAnsi="Arial"/>
                <w:caps w:val="false"/>
                <w:smallCaps w:val="false"/>
                <w:sz w:val="20"/>
              </w:rPr>
              <w:t xml:space="preserve">lease agreement for the Company’s offices located in Israel, in order to increase the office space rented and to extend the rent period until </w:t>
            </w:r>
            <w:r>
              <w:rPr>
                <w:rStyle w:val="Emphasis"/>
                <w:rFonts w:ascii="Arial" w:hAnsi="Arial"/>
                <w:caps w:val="false"/>
                <w:smallCaps w:val="false"/>
                <w:sz w:val="20"/>
              </w:rPr>
              <w:t>2019.</w:t>
            </w:r>
            <w:r>
              <w:rPr>
                <w:rFonts w:ascii="Arial" w:hAnsi="Arial"/>
                <w:caps w:val="false"/>
                <w:smallCaps w:val="false"/>
                <w:sz w:val="20"/>
              </w:rPr>
              <w:t xml:space="preserve"> In </w:t>
            </w:r>
            <w:r>
              <w:rPr>
                <w:rStyle w:val="Emphasis"/>
                <w:rFonts w:ascii="Arial" w:hAnsi="Arial"/>
                <w:caps w:val="false"/>
                <w:smallCaps w:val="false"/>
                <w:sz w:val="20"/>
              </w:rPr>
              <w:t xml:space="preserve">March 2019, </w:t>
            </w:r>
            <w:r>
              <w:rPr>
                <w:rFonts w:ascii="Arial" w:hAnsi="Arial"/>
                <w:caps w:val="false"/>
                <w:smallCaps w:val="false"/>
                <w:sz w:val="20"/>
              </w:rPr>
              <w:t xml:space="preserve">UPL utilized the agreement extension option and extended the rent period for an additional </w:t>
            </w:r>
            <w:r>
              <w:rPr>
                <w:rStyle w:val="Emphasis"/>
                <w:rFonts w:ascii="Arial" w:hAnsi="Arial"/>
                <w:caps w:val="false"/>
                <w:smallCaps w:val="false"/>
                <w:sz w:val="20"/>
              </w:rPr>
              <w:t>three</w:t>
            </w:r>
            <w:r>
              <w:rPr>
                <w:rFonts w:ascii="Arial" w:hAnsi="Arial"/>
                <w:caps w:val="false"/>
                <w:smallCaps w:val="false"/>
                <w:sz w:val="20"/>
              </w:rPr>
              <w:t xml:space="preserve"> years until </w:t>
            </w:r>
            <w:r>
              <w:rPr>
                <w:rStyle w:val="Emphasis"/>
                <w:rFonts w:ascii="Arial" w:hAnsi="Arial"/>
                <w:caps w:val="false"/>
                <w:smallCaps w:val="false"/>
                <w:sz w:val="20"/>
              </w:rPr>
              <w:t xml:space="preserve">August 2022. </w:t>
            </w:r>
            <w:r>
              <w:rPr>
                <w:rFonts w:ascii="Arial" w:hAnsi="Arial"/>
                <w:caps w:val="false"/>
                <w:smallCaps w:val="false"/>
                <w:sz w:val="20"/>
              </w:rPr>
              <w:t>In </w:t>
            </w:r>
            <w:r>
              <w:rPr>
                <w:rStyle w:val="Emphasis"/>
                <w:rFonts w:ascii="Arial" w:hAnsi="Arial"/>
                <w:caps w:val="false"/>
                <w:smallCaps w:val="false"/>
                <w:sz w:val="20"/>
              </w:rPr>
              <w:t xml:space="preserve"> July 2022, </w:t>
            </w:r>
            <w:r>
              <w:rPr>
                <w:rFonts w:ascii="Arial" w:hAnsi="Arial"/>
                <w:caps w:val="false"/>
                <w:smallCaps w:val="false"/>
                <w:sz w:val="20"/>
              </w:rPr>
              <w:t>UPL signed a lease extension agreement for the Company’s offices located in Israel, extending the term of the lease through </w:t>
            </w:r>
            <w:r>
              <w:rPr>
                <w:rStyle w:val="Emphasis"/>
                <w:rFonts w:ascii="Arial" w:hAnsi="Arial"/>
                <w:caps w:val="false"/>
                <w:smallCaps w:val="false"/>
                <w:sz w:val="20"/>
              </w:rPr>
              <w:t xml:space="preserve"> September 2025, </w:t>
            </w:r>
            <w:r>
              <w:rPr>
                <w:rFonts w:ascii="Arial" w:hAnsi="Arial"/>
                <w:caps w:val="false"/>
                <w:smallCaps w:val="false"/>
                <w:sz w:val="20"/>
              </w:rPr>
              <w:t xml:space="preserve">and, effective as of </w:t>
            </w:r>
            <w:r>
              <w:rPr>
                <w:rStyle w:val="Emphasis"/>
                <w:rFonts w:ascii="Arial" w:hAnsi="Arial"/>
                <w:caps w:val="false"/>
                <w:smallCaps w:val="false"/>
                <w:sz w:val="20"/>
              </w:rPr>
              <w:t xml:space="preserve">June 2025, </w:t>
            </w:r>
            <w:r>
              <w:rPr>
                <w:rFonts w:ascii="Arial" w:hAnsi="Arial"/>
                <w:caps w:val="false"/>
                <w:smallCaps w:val="false"/>
                <w:sz w:val="20"/>
              </w:rPr>
              <w:t xml:space="preserve">the lease was renewed through </w:t>
            </w:r>
            <w:r>
              <w:rPr>
                <w:rStyle w:val="Emphasis"/>
                <w:rFonts w:ascii="Arial" w:hAnsi="Arial"/>
                <w:caps w:val="false"/>
                <w:smallCaps w:val="false"/>
                <w:sz w:val="20"/>
              </w:rPr>
              <w:t>September 2028. </w:t>
            </w:r>
            <w:r>
              <w:rPr>
                <w:rFonts w:ascii="Arial" w:hAnsi="Arial"/>
                <w:caps w:val="false"/>
                <w:smallCaps w:val="false"/>
                <w:sz w:val="20"/>
              </w:rPr>
              <w:t>The Company's remaining contractual obligation under this lease is approximately $0.9 million as of </w:t>
            </w:r>
            <w:r>
              <w:rPr>
                <w:rStyle w:val="Emphasis"/>
                <w:rFonts w:ascii="Arial" w:hAnsi="Arial"/>
                <w:caps w:val="false"/>
                <w:smallCaps w:val="false"/>
                <w:sz w:val="20"/>
              </w:rPr>
              <w:t xml:space="preserve"> June 30, 2026</w:t>
            </w:r>
            <w:r>
              <w:rPr>
                <w:rFonts w:ascii="Arial" w:hAnsi="Arial"/>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pPr>
            <w:r>
              <w:rPr>
                <w:rFonts w:ascii="Arial" w:hAnsi="Arial"/>
                <w:caps w:val="false"/>
                <w:smallCaps w:val="false"/>
                <w:sz w:val="20"/>
              </w:rPr>
              <w:t xml:space="preserve">In </w:t>
            </w:r>
            <w:r>
              <w:rPr>
                <w:rStyle w:val="Emphasis"/>
                <w:rFonts w:ascii="Arial" w:hAnsi="Arial"/>
                <w:caps w:val="false"/>
                <w:smallCaps w:val="false"/>
                <w:sz w:val="20"/>
              </w:rPr>
              <w:t xml:space="preserve">November 2019, </w:t>
            </w:r>
            <w:r>
              <w:rPr>
                <w:rFonts w:ascii="Arial" w:hAnsi="Arial"/>
                <w:caps w:val="false"/>
                <w:smallCaps w:val="false"/>
                <w:sz w:val="20"/>
              </w:rPr>
              <w:t xml:space="preserve">UPI entered into a new lease agreement for an office in Princeton, New Jersey, which the Company now uses as its headquarters. The lease commencement date was </w:t>
            </w:r>
            <w:r>
              <w:rPr>
                <w:rStyle w:val="Emphasis"/>
                <w:rFonts w:ascii="Arial" w:hAnsi="Arial"/>
                <w:caps w:val="false"/>
                <w:smallCaps w:val="false"/>
                <w:sz w:val="20"/>
              </w:rPr>
              <w:t>November 29, 2019 </w:t>
            </w:r>
            <w:r>
              <w:rPr>
                <w:rFonts w:ascii="Arial" w:hAnsi="Arial"/>
                <w:caps w:val="false"/>
                <w:smallCaps w:val="false"/>
                <w:sz w:val="20"/>
              </w:rPr>
              <w:t xml:space="preserve">with an original lease term of 38 months, expiring </w:t>
            </w:r>
            <w:r>
              <w:rPr>
                <w:rStyle w:val="Emphasis"/>
                <w:rFonts w:ascii="Arial" w:hAnsi="Arial"/>
                <w:caps w:val="false"/>
                <w:smallCaps w:val="false"/>
                <w:sz w:val="20"/>
              </w:rPr>
              <w:t xml:space="preserve">January 31, 2023. </w:t>
            </w:r>
            <w:r>
              <w:rPr>
                <w:rFonts w:ascii="Arial" w:hAnsi="Arial"/>
                <w:caps w:val="false"/>
                <w:smallCaps w:val="false"/>
                <w:sz w:val="20"/>
              </w:rPr>
              <w:t xml:space="preserve">In </w:t>
            </w:r>
            <w:r>
              <w:rPr>
                <w:rStyle w:val="Emphasis"/>
                <w:rFonts w:ascii="Arial" w:hAnsi="Arial"/>
                <w:caps w:val="false"/>
                <w:smallCaps w:val="false"/>
                <w:sz w:val="20"/>
              </w:rPr>
              <w:t>June 2022,</w:t>
            </w:r>
            <w:r>
              <w:rPr>
                <w:rFonts w:ascii="Arial" w:hAnsi="Arial"/>
                <w:caps w:val="false"/>
                <w:smallCaps w:val="false"/>
                <w:sz w:val="20"/>
              </w:rPr>
              <w:t xml:space="preserve"> the Company signed a lease extension for the Princeton office, extending the term of the lease through </w:t>
            </w:r>
            <w:r>
              <w:rPr>
                <w:rStyle w:val="Emphasis"/>
                <w:rFonts w:ascii="Arial" w:hAnsi="Arial"/>
                <w:caps w:val="false"/>
                <w:smallCaps w:val="false"/>
                <w:sz w:val="20"/>
              </w:rPr>
              <w:t xml:space="preserve">January 31, 2026. </w:t>
            </w:r>
            <w:r>
              <w:rPr>
                <w:rFonts w:ascii="Arial" w:hAnsi="Arial"/>
                <w:caps w:val="false"/>
                <w:smallCaps w:val="false"/>
                <w:sz w:val="20"/>
              </w:rPr>
              <w:t xml:space="preserve">In </w:t>
            </w:r>
            <w:r>
              <w:rPr>
                <w:rStyle w:val="Emphasis"/>
                <w:rFonts w:ascii="Arial" w:hAnsi="Arial"/>
                <w:caps w:val="false"/>
                <w:smallCaps w:val="false"/>
                <w:sz w:val="20"/>
              </w:rPr>
              <w:t xml:space="preserve">August 2025, </w:t>
            </w:r>
            <w:r>
              <w:rPr>
                <w:rFonts w:ascii="Arial" w:hAnsi="Arial"/>
                <w:caps w:val="false"/>
                <w:smallCaps w:val="false"/>
                <w:sz w:val="20"/>
              </w:rPr>
              <w:t xml:space="preserve">the Company signed an additional lease extension for the Princeton office, extending the term of the lease through </w:t>
            </w:r>
            <w:r>
              <w:rPr>
                <w:rStyle w:val="Emphasis"/>
                <w:rFonts w:ascii="Arial" w:hAnsi="Arial"/>
                <w:caps w:val="false"/>
                <w:smallCaps w:val="false"/>
                <w:sz w:val="20"/>
              </w:rPr>
              <w:t xml:space="preserve">April 30, 2031. </w:t>
            </w:r>
            <w:r>
              <w:rPr>
                <w:rFonts w:ascii="Arial" w:hAnsi="Arial"/>
                <w:caps w:val="false"/>
                <w:smallCaps w:val="false"/>
                <w:sz w:val="20"/>
              </w:rPr>
              <w:t>The Company concluded that the lease renewal option in the agreement is </w:t>
            </w:r>
            <w:r>
              <w:rPr>
                <w:rStyle w:val="Emphasis"/>
                <w:rFonts w:ascii="Arial" w:hAnsi="Arial"/>
                <w:caps w:val="false"/>
                <w:smallCaps w:val="false"/>
                <w:sz w:val="20"/>
              </w:rPr>
              <w:t>not</w:t>
            </w:r>
            <w:r>
              <w:rPr>
                <w:rFonts w:ascii="Arial" w:hAnsi="Arial"/>
                <w:caps w:val="false"/>
                <w:smallCaps w:val="false"/>
                <w:sz w:val="20"/>
              </w:rPr>
              <w:t xml:space="preserve"> reasonably certain to be exercised. The modification did </w:t>
            </w:r>
            <w:r>
              <w:rPr>
                <w:rStyle w:val="Emphasis"/>
                <w:rFonts w:ascii="Arial" w:hAnsi="Arial"/>
                <w:caps w:val="false"/>
                <w:smallCaps w:val="false"/>
                <w:sz w:val="20"/>
              </w:rPr>
              <w:t>not</w:t>
            </w:r>
            <w:r>
              <w:rPr>
                <w:rFonts w:ascii="Arial" w:hAnsi="Arial"/>
                <w:caps w:val="false"/>
                <w:smallCaps w:val="false"/>
                <w:sz w:val="20"/>
              </w:rPr>
              <w:t xml:space="preserve"> result in a separate lease under ASC </w:t>
            </w:r>
            <w:r>
              <w:rPr>
                <w:rStyle w:val="Emphasis"/>
                <w:rFonts w:ascii="Arial" w:hAnsi="Arial"/>
                <w:caps w:val="false"/>
                <w:smallCaps w:val="false"/>
                <w:sz w:val="20"/>
              </w:rPr>
              <w:t>842.</w:t>
            </w:r>
            <w:r>
              <w:rPr>
                <w:rFonts w:ascii="Arial" w:hAnsi="Arial"/>
                <w:caps w:val="false"/>
                <w:smallCaps w:val="false"/>
                <w:sz w:val="20"/>
              </w:rPr>
              <w:t xml:space="preserve"> As a result, the Company remeasured its lease liability and corresponding right-of-use asset using its incremental borrowing rate at the modification date. The Company’s remaining contractual obligation under this lease is approximately $2.9 million as of </w:t>
            </w:r>
            <w:r>
              <w:rPr>
                <w:rStyle w:val="Emphasis"/>
                <w:rFonts w:ascii="Arial" w:hAnsi="Arial"/>
                <w:caps w:val="false"/>
                <w:smallCaps w:val="false"/>
                <w:sz w:val="20"/>
              </w:rPr>
              <w:t>June 30, 2026</w:t>
            </w:r>
            <w:r>
              <w:rPr>
                <w:rFonts w:ascii="Arial" w:hAnsi="Arial"/>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15</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Finance</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pPr>
            <w:r>
              <w:rPr>
                <w:rFonts w:ascii="Arial" w:hAnsi="Arial"/>
                <w:caps w:val="false"/>
                <w:smallCaps w:val="false"/>
                <w:sz w:val="20"/>
              </w:rPr>
              <w:t>In </w:t>
            </w:r>
            <w:r>
              <w:rPr>
                <w:rStyle w:val="Emphasis"/>
                <w:rFonts w:ascii="Arial" w:hAnsi="Arial"/>
                <w:caps w:val="false"/>
                <w:smallCaps w:val="false"/>
                <w:sz w:val="20"/>
              </w:rPr>
              <w:t xml:space="preserve"> July 2024,</w:t>
            </w:r>
            <w:r>
              <w:rPr>
                <w:rFonts w:ascii="Arial" w:hAnsi="Arial"/>
                <w:caps w:val="false"/>
                <w:smallCaps w:val="false"/>
                <w:sz w:val="20"/>
              </w:rPr>
              <w:t> UPI entered into a new master lease agreement for vehicles, primarily for use by employees in sales, field services, and roles that require regular travel. Under the terms of the master lease agreement, the Company will lease various vehicles from time to time with an initial lease term of 48 months commencing on the delivery date of the vehicle with an option to continue month-to-month for an unlimited period of time. Lease payments are fixed, with payments due monthly in advance, and include charges for depreciation, maintenance, and other related services. At the end of each lease term, the Company is required to make a terminal rental adjustment based on the difference between the vehicle’s contractual book value and its estimated wholesale value, which </w:t>
            </w:r>
            <w:r>
              <w:rPr>
                <w:rStyle w:val="Emphasis"/>
                <w:rFonts w:ascii="Arial" w:hAnsi="Arial"/>
                <w:caps w:val="false"/>
                <w:smallCaps w:val="false"/>
                <w:sz w:val="20"/>
              </w:rPr>
              <w:t xml:space="preserve"> may </w:t>
            </w:r>
            <w:r>
              <w:rPr>
                <w:rFonts w:ascii="Arial" w:hAnsi="Arial"/>
                <w:caps w:val="false"/>
                <w:smallCaps w:val="false"/>
                <w:sz w:val="20"/>
              </w:rPr>
              <w:t>result in additional payments or refunds. The Company </w:t>
            </w:r>
            <w:r>
              <w:rPr>
                <w:rStyle w:val="Emphasis"/>
                <w:rFonts w:ascii="Arial" w:hAnsi="Arial"/>
                <w:caps w:val="false"/>
                <w:smallCaps w:val="false"/>
                <w:sz w:val="20"/>
              </w:rPr>
              <w:t xml:space="preserve"> may </w:t>
            </w:r>
            <w:r>
              <w:rPr>
                <w:rFonts w:ascii="Arial" w:hAnsi="Arial"/>
                <w:caps w:val="false"/>
                <w:smallCaps w:val="false"/>
                <w:sz w:val="20"/>
              </w:rPr>
              <w:t>also be required to pay additional rent if the vehicle exceeds certain mileage limits or shows abnormal wear and tear during the lease term. The Company’s remaining contractual obligation relating to the leases entered into under this master agreement is approximately $5.3 million as of </w:t>
            </w:r>
            <w:r>
              <w:rPr>
                <w:rStyle w:val="Emphasis"/>
                <w:rFonts w:ascii="Arial" w:hAnsi="Arial"/>
                <w:caps w:val="false"/>
                <w:smallCaps w:val="false"/>
                <w:sz w:val="20"/>
              </w:rPr>
              <w:t xml:space="preserve"> June 30, 2026</w:t>
            </w:r>
            <w:r>
              <w:rPr>
                <w:rFonts w:ascii="Arial" w:hAnsi="Arial"/>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addition, the Company has other operating office equipment and vehicle leases. The Company’s operating leases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require minimum rent payments, contingent rent payments adjusted periodically for inflation, or rent payments equal to the greater of a minimum rent or contingent rent. The Company’s leases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contain any residual value guarantees or material restrictive covenants. The Company’s leases expire at various dates from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xml:space="preserve"> through </w:t>
      </w:r>
      <w:r>
        <w:rPr>
          <w:rStyle w:val="Emphasis"/>
          <w:rFonts w:ascii="Arial;Helvetica;sans-serif" w:hAnsi="Arial;Helvetica;sans-serif"/>
          <w:caps w:val="false"/>
          <w:smallCaps w:val="false"/>
          <w:sz w:val="20"/>
        </w:rPr>
        <w:t>2031,</w:t>
      </w:r>
      <w:r>
        <w:rPr>
          <w:rFonts w:ascii="Arial;Helvetica;sans-serif" w:hAnsi="Arial;Helvetica;sans-serif"/>
          <w:caps w:val="false"/>
          <w:smallCaps w:val="false"/>
          <w:sz w:val="20"/>
        </w:rPr>
        <w:t xml:space="preserve"> with varying renewal and termination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the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xml:space="preserve"> the Company began presenting right-of-use operating lease assets and lease liabilities separately from right-of-use finance lease assets and lease liabilities on the balance sheet and has adjusted the prior period presentation to conform. The Company previously reported all right-of-use assets within the financial statement line item “Right of use assets”, all long-term lease liabilities in the financial statement line item “Long-term lease liabilities”, and all short-term lease liabilities in the financial statement line item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components of lease cost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936" w:type="dxa"/>
        <w:jc w:val="left"/>
        <w:tblInd w:w="0" w:type="dxa"/>
        <w:tblLayout w:type="fixed"/>
        <w:tblCellMar>
          <w:top w:w="0" w:type="dxa"/>
          <w:left w:w="0" w:type="dxa"/>
          <w:bottom w:w="0" w:type="dxa"/>
          <w:right w:w="0" w:type="dxa"/>
        </w:tblCellMar>
      </w:tblPr>
      <w:tblGrid>
        <w:gridCol w:w="3020"/>
        <w:gridCol w:w="60"/>
        <w:gridCol w:w="234"/>
        <w:gridCol w:w="629"/>
        <w:gridCol w:w="112"/>
        <w:gridCol w:w="112"/>
        <w:gridCol w:w="234"/>
        <w:gridCol w:w="629"/>
        <w:gridCol w:w="60"/>
        <w:gridCol w:w="60"/>
        <w:gridCol w:w="157"/>
        <w:gridCol w:w="631"/>
        <w:gridCol w:w="75"/>
        <w:gridCol w:w="75"/>
        <w:gridCol w:w="157"/>
        <w:gridCol w:w="631"/>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 cost: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440</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on lease liabilities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477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452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Variable lease cost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cost</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948</w:t>
            </w:r>
          </w:p>
        </w:tc>
        <w:tc>
          <w:tcPr>
            <w:tcW w:w="112" w:type="dxa"/>
            <w:tcBorders/>
            <w:shd w:fill="FFFFFF" w:val="clear"/>
            <w:vAlign w:val="center"/>
          </w:tcPr>
          <w:p>
            <w:pPr>
              <w:pStyle w:val="TableContents"/>
              <w:bidi w:val="0"/>
              <w:spacing w:before="0" w:after="0"/>
              <w:ind w:left="0" w:right="0" w:hanging="0"/>
              <w:jc w:val="left"/>
              <w:rPr/>
            </w:pPr>
            <w:r>
              <w:rPr/>
              <w:t> </w:t>
            </w:r>
          </w:p>
        </w:tc>
        <w:tc>
          <w:tcPr>
            <w:tcW w:w="112"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1,830</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1,232</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20"/>
        </w:rPr>
        <w:t xml:space="preserve">As of </w:t>
      </w:r>
      <w:r>
        <w:rPr>
          <w:rStyle w:val="Emphasis"/>
          <w:rFonts w:ascii="Arial;Helvetica;sans-serif" w:hAnsi="Arial;Helvetica;sans-serif"/>
          <w:sz w:val="20"/>
        </w:rPr>
        <w:t>June 30, 2026</w:t>
      </w:r>
      <w:r>
        <w:rPr>
          <w:rFonts w:ascii="Arial;Helvetica;sans-serif" w:hAnsi="Arial;Helvetica;sans-serif"/>
          <w:sz w:val="20"/>
        </w:rPr>
        <w:t xml:space="preserve">, </w:t>
      </w:r>
      <w:r>
        <w:rPr>
          <w:rStyle w:val="Emphasis"/>
          <w:rFonts w:ascii="Arial;Helvetica;sans-serif" w:hAnsi="Arial;Helvetica;sans-serif"/>
          <w:sz w:val="20"/>
        </w:rPr>
        <w:t>no</w:t>
      </w:r>
      <w:r>
        <w:rPr>
          <w:rFonts w:ascii="Arial;Helvetica;sans-serif" w:hAnsi="Arial;Helvetica;sans-serif"/>
          <w:sz w:val="20"/>
        </w:rPr>
        <w:t xml:space="preserve"> impairment losses have been recognized.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16</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caps w:val="false"/>
          <w:smallCaps w:val="false"/>
          <w:sz w:val="20"/>
        </w:rPr>
        <w:t xml:space="preserve">Supplemental information related to leases for the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is as follows (in thousands, except for lease terms and discount rate amounts):</w:t>
      </w:r>
    </w:p>
    <w:p>
      <w:pPr>
        <w:pStyle w:val="TextBody"/>
        <w:bidi w:val="0"/>
        <w:spacing w:before="0" w:after="0"/>
        <w:jc w:val="left"/>
        <w:rPr/>
      </w:pPr>
      <w:r>
        <w:rPr/>
        <w:t xml:space="preserve">  </w:t>
      </w:r>
    </w:p>
    <w:tbl>
      <w:tblPr>
        <w:tblW w:w="8352" w:type="dxa"/>
        <w:jc w:val="left"/>
        <w:tblInd w:w="0" w:type="dxa"/>
        <w:tblLayout w:type="fixed"/>
        <w:tblCellMar>
          <w:top w:w="0" w:type="dxa"/>
          <w:left w:w="0" w:type="dxa"/>
          <w:bottom w:w="0" w:type="dxa"/>
          <w:right w:w="0" w:type="dxa"/>
        </w:tblCellMar>
      </w:tblPr>
      <w:tblGrid>
        <w:gridCol w:w="6350"/>
        <w:gridCol w:w="60"/>
        <w:gridCol w:w="143"/>
        <w:gridCol w:w="572"/>
        <w:gridCol w:w="229"/>
        <w:gridCol w:w="68"/>
        <w:gridCol w:w="143"/>
        <w:gridCol w:w="572"/>
        <w:gridCol w:w="215"/>
      </w:tblGrid>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7" w:type="dxa"/>
            <w:gridSpan w:val="6"/>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Six Months Ended</w:t>
            </w:r>
          </w:p>
        </w:tc>
        <w:tc>
          <w:tcPr>
            <w:tcW w:w="215" w:type="dxa"/>
            <w:tcBorders/>
            <w:shd w:fill="FFFF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215" w:type="dxa"/>
            <w:tcBorders/>
            <w:shd w:fill="FFFF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22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21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Financing cash flows from finance leases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7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708</w:t>
            </w:r>
          </w:p>
        </w:tc>
        <w:tc>
          <w:tcPr>
            <w:tcW w:w="22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7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688</w:t>
            </w:r>
          </w:p>
        </w:tc>
        <w:tc>
          <w:tcPr>
            <w:tcW w:w="21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7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339</w:t>
            </w:r>
          </w:p>
        </w:tc>
        <w:tc>
          <w:tcPr>
            <w:tcW w:w="22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7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220</w:t>
            </w:r>
          </w:p>
        </w:tc>
        <w:tc>
          <w:tcPr>
            <w:tcW w:w="21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Right-of-use assets obtained in exchange for new finance lease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7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310</w:t>
            </w:r>
          </w:p>
        </w:tc>
        <w:tc>
          <w:tcPr>
            <w:tcW w:w="22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7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2,045</w:t>
            </w:r>
          </w:p>
        </w:tc>
        <w:tc>
          <w:tcPr>
            <w:tcW w:w="21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remaining lease term of finance leases (in years)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2.74</w:t>
            </w:r>
          </w:p>
        </w:tc>
        <w:tc>
          <w:tcPr>
            <w:tcW w:w="22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3.58</w:t>
            </w:r>
          </w:p>
        </w:tc>
        <w:tc>
          <w:tcPr>
            <w:tcW w:w="21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remaining lease term of operating leases (in years)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4.07</w:t>
            </w:r>
          </w:p>
        </w:tc>
        <w:tc>
          <w:tcPr>
            <w:tcW w:w="22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0.78</w:t>
            </w:r>
          </w:p>
        </w:tc>
        <w:tc>
          <w:tcPr>
            <w:tcW w:w="21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discount rate of finance leases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13.82</w:t>
            </w:r>
          </w:p>
        </w:tc>
        <w:tc>
          <w:tcPr>
            <w:tcW w:w="229"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13.82</w:t>
            </w:r>
          </w:p>
        </w:tc>
        <w:tc>
          <w:tcPr>
            <w:tcW w:w="21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3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discount rate of operating leases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11.81</w:t>
            </w:r>
          </w:p>
        </w:tc>
        <w:tc>
          <w:tcPr>
            <w:tcW w:w="229"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10.23</w:t>
            </w:r>
          </w:p>
        </w:tc>
        <w:tc>
          <w:tcPr>
            <w:tcW w:w="21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maturities of lease liabilities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3320"/>
        <w:gridCol w:w="60"/>
        <w:gridCol w:w="292"/>
        <w:gridCol w:w="1168"/>
        <w:gridCol w:w="95"/>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Finance Leases</w:t>
            </w:r>
          </w:p>
        </w:tc>
        <w:tc>
          <w:tcPr>
            <w:tcW w:w="9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Years ending December 31,</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Remainder of 2026</w:t>
            </w:r>
          </w:p>
        </w:tc>
        <w:tc>
          <w:tcPr>
            <w:tcW w:w="60" w:type="dxa"/>
            <w:tcBorders/>
            <w:shd w:fill="FFFFFF" w:val="clear"/>
            <w:vAlign w:val="center"/>
          </w:tcPr>
          <w:p>
            <w:pPr>
              <w:pStyle w:val="TableContents"/>
              <w:bidi w:val="0"/>
              <w:spacing w:before="0" w:after="283"/>
              <w:ind w:left="0" w:right="0" w:hanging="0"/>
              <w:jc w:val="left"/>
              <w:rPr/>
            </w:pPr>
            <w:r>
              <w:rPr/>
              <w:t> </w:t>
            </w:r>
          </w:p>
        </w:tc>
        <w:tc>
          <w:tcPr>
            <w:tcW w:w="292"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963</w:t>
            </w:r>
          </w:p>
        </w:tc>
        <w:tc>
          <w:tcPr>
            <w:tcW w:w="9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1,926</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1,882</w:t>
            </w:r>
          </w:p>
        </w:tc>
        <w:tc>
          <w:tcPr>
            <w:tcW w:w="9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470</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2030 and thereafter</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9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5,263</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(911</w:t>
            </w:r>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4,351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3305"/>
        <w:gridCol w:w="60"/>
        <w:gridCol w:w="187"/>
        <w:gridCol w:w="748"/>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Years ending December 31,</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Remainder of 2026</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496</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998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748"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w:t>
            </w:r>
          </w:p>
        </w:tc>
        <w:tc>
          <w:tcPr>
            <w:tcW w:w="80" w:type="dxa"/>
            <w:tcBorders/>
            <w:shd w:fill="FFFFFF" w:val="clear"/>
            <w:vAlign w:val="center"/>
          </w:tcPr>
          <w:p>
            <w:pPr>
              <w:pStyle w:val="TableContents"/>
              <w:bidi w:val="0"/>
              <w:spacing w:before="0" w:after="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2030</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613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2031 and 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w:t>
            </w:r>
          </w:p>
        </w:tc>
        <w:tc>
          <w:tcPr>
            <w:tcW w:w="80" w:type="dxa"/>
            <w:tcBorders/>
            <w:shd w:fill="CCEEFF" w:val="clear"/>
            <w:vAlign w:val="center"/>
          </w:tcPr>
          <w:p>
            <w:pPr>
              <w:pStyle w:val="TableContents"/>
              <w:bidi w:val="0"/>
              <w:spacing w:before="0" w:after="0"/>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future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3,828</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Interest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Present value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17</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12</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Revenue From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Net product sales consist of the following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199" w:type="dxa"/>
        <w:jc w:val="left"/>
        <w:tblInd w:w="0" w:type="dxa"/>
        <w:tblLayout w:type="fixed"/>
        <w:tblCellMar>
          <w:top w:w="0" w:type="dxa"/>
          <w:left w:w="0" w:type="dxa"/>
          <w:bottom w:w="0" w:type="dxa"/>
          <w:right w:w="0" w:type="dxa"/>
        </w:tblCellMar>
      </w:tblPr>
      <w:tblGrid>
        <w:gridCol w:w="1280"/>
        <w:gridCol w:w="60"/>
        <w:gridCol w:w="154"/>
        <w:gridCol w:w="748"/>
        <w:gridCol w:w="74"/>
        <w:gridCol w:w="74"/>
        <w:gridCol w:w="154"/>
        <w:gridCol w:w="748"/>
        <w:gridCol w:w="60"/>
        <w:gridCol w:w="60"/>
        <w:gridCol w:w="128"/>
        <w:gridCol w:w="728"/>
        <w:gridCol w:w="61"/>
        <w:gridCol w:w="61"/>
        <w:gridCol w:w="128"/>
        <w:gridCol w:w="621"/>
        <w:gridCol w:w="60"/>
      </w:tblGrid>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2"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Jelmyto</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22,028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43,741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44,469</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Zusduri</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50,429</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79,675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72,456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123,415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44,469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All product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are recognized through the Company's arrangements with two customers as defined by ASC </w:t>
      </w:r>
      <w:r>
        <w:rPr>
          <w:rStyle w:val="Emphasis"/>
          <w:rFonts w:ascii="Arial;Helvetica;sans-serif" w:hAnsi="Arial;Helvetica;sans-serif"/>
          <w:caps w:val="false"/>
          <w:smallCaps w:val="false"/>
          <w:sz w:val="20"/>
        </w:rPr>
        <w:t>606,</w:t>
      </w:r>
      <w:r>
        <w:rPr>
          <w:rFonts w:ascii="Arial;Helvetica;sans-serif" w:hAnsi="Arial;Helvetica;sans-serif"/>
          <w:caps w:val="false"/>
          <w:smallCaps w:val="false"/>
          <w:sz w:val="20"/>
        </w:rPr>
        <w:t> both of which are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national specialty distributors. The Company's largest customer comprised approximately 52% and over 75% of product sales for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 xml:space="preserve">June 30, 2025, </w:t>
      </w:r>
      <w:r>
        <w:rPr>
          <w:rFonts w:ascii="Arial;Helvetica;sans-serif" w:hAnsi="Arial;Helvetica;sans-serif"/>
          <w:caps w:val="false"/>
          <w:smallCaps w:val="false"/>
          <w:sz w:val="20"/>
        </w:rPr>
        <w:t>respectively, and approximately 52% and over 80% of product sales for the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 xml:space="preserve">June 30, 2025, </w:t>
      </w:r>
      <w:r>
        <w:rPr>
          <w:rFonts w:ascii="Arial;Helvetica;sans-serif" w:hAnsi="Arial;Helvetica;sans-serif"/>
          <w:caps w:val="false"/>
          <w:smallCaps w:val="false"/>
          <w:sz w:val="20"/>
        </w:rPr>
        <w:t xml:space="preserve">respectively. The Company's largest customer comprised approximately 34% and 59% of accounts receivable at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 xml:space="preserve"> December 31, 2025, </w:t>
      </w:r>
      <w:r>
        <w:rPr>
          <w:rFonts w:ascii="Arial;Helvetica;sans-serif" w:hAnsi="Arial;Helvetica;sans-serif"/>
          <w:caps w:val="false"/>
          <w:smallCaps w:val="false"/>
          <w:sz w:val="20"/>
        </w:rPr>
        <w:t>respectively. Net revenue recognized includes gross revenue and management’s estimate of returns, consideration paid to the customers, such as rebates, chargebacks relating to differences between the wholesale acquisition cost and the contracted price offered to the end consumer, chargebacks relating to </w:t>
      </w:r>
      <w:r>
        <w:rPr>
          <w:rStyle w:val="Emphasis"/>
          <w:rFonts w:ascii="Arial;Helvetica;sans-serif" w:hAnsi="Arial;Helvetica;sans-serif"/>
          <w:caps w:val="false"/>
          <w:smallCaps w:val="false"/>
          <w:sz w:val="20"/>
        </w:rPr>
        <w:t>340B</w:t>
      </w:r>
      <w:r>
        <w:rPr>
          <w:rFonts w:ascii="Arial;Helvetica;sans-serif" w:hAnsi="Arial;Helvetica;sans-serif"/>
          <w:caps w:val="false"/>
          <w:smallCaps w:val="false"/>
          <w:sz w:val="20"/>
        </w:rPr>
        <w:t xml:space="preserve"> drug pricing programs and other government sponsored programs, Medicaid drug rebate programs, the Company’s copay assistance program, and Medicare refunds for discarded drug.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anticipate any Medicare refunds for discarded drug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The Company estimates these elements of variable consideration based on the contractual or statutory terms governing the arrangements and the Company’s historical experience, and constrains the net revenue recognized for product sales to the value that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probable to be reversed when the uncertainty associated with the variable consideration is subsequently resolved. Reserves for chargebacks and returns are net settled and recognized as contra accounts receivable while the remaining reserves are recognized within other current liabilities on the condensed consolidated balance sheets. The following table shows the activity with respect to sales reserves for the period ended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9"/>
        <w:gridCol w:w="60"/>
        <w:gridCol w:w="441"/>
        <w:gridCol w:w="2362"/>
        <w:gridCol w:w="80"/>
        <w:gridCol w:w="60"/>
        <w:gridCol w:w="424"/>
        <w:gridCol w:w="1909"/>
        <w:gridCol w:w="80"/>
        <w:gridCol w:w="60"/>
        <w:gridCol w:w="164"/>
        <w:gridCol w:w="883"/>
        <w:gridCol w:w="80"/>
        <w:gridCol w:w="60"/>
        <w:gridCol w:w="253"/>
        <w:gridCol w:w="1357"/>
        <w:gridCol w:w="83"/>
      </w:tblGrid>
      <w:tr>
        <w:trPr/>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Reserves related to government sponsored programs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Medicare refunds for discarded drug reserve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Other reserves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 accrued sales reserves</w:t>
            </w:r>
          </w:p>
        </w:tc>
        <w:tc>
          <w:tcPr>
            <w:tcW w:w="83" w:type="dxa"/>
            <w:tcBorders/>
            <w:shd w:fill="FFFFFF" w:val="clear"/>
            <w:vAlign w:val="center"/>
          </w:tcPr>
          <w:p>
            <w:pPr>
              <w:pStyle w:val="TableContents"/>
              <w:bidi w:val="0"/>
              <w:spacing w:before="0" w:after="283"/>
              <w:jc w:val="left"/>
              <w:rPr/>
            </w:pPr>
            <w:r>
              <w:rPr/>
              <w:t> </w:t>
            </w:r>
          </w:p>
        </w:tc>
      </w:tr>
      <w:tr>
        <w:trPr/>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23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84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36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909"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8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5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9,401</w:t>
            </w:r>
          </w:p>
        </w:tc>
        <w:tc>
          <w:tcPr>
            <w:tcW w:w="83" w:type="dxa"/>
            <w:tcBorders/>
            <w:shd w:fill="CCEEFF" w:val="clear"/>
            <w:vAlign w:val="center"/>
          </w:tcPr>
          <w:p>
            <w:pPr>
              <w:pStyle w:val="TableContents"/>
              <w:bidi w:val="0"/>
              <w:spacing w:before="0" w:after="283"/>
              <w:jc w:val="left"/>
              <w:rPr/>
            </w:pPr>
            <w:r>
              <w:rPr/>
              <w:t> </w:t>
            </w:r>
          </w:p>
        </w:tc>
      </w:tr>
      <w:tr>
        <w:trPr/>
        <w:tc>
          <w:tcPr>
            <w:tcW w:w="1849"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Accruals</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ind w:left="0" w:right="0" w:hanging="0"/>
              <w:jc w:val="left"/>
              <w:rPr/>
            </w:pPr>
            <w:r>
              <w:rPr/>
              <w:t> </w:t>
            </w:r>
          </w:p>
        </w:tc>
        <w:tc>
          <w:tcPr>
            <w:tcW w:w="236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ind w:left="0" w:right="0" w:hanging="0"/>
              <w:jc w:val="left"/>
              <w:rPr/>
            </w:pPr>
            <w:r>
              <w:rPr/>
              <w:t> </w:t>
            </w:r>
          </w:p>
        </w:tc>
        <w:tc>
          <w:tcPr>
            <w:tcW w:w="1909"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35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29,919</w:t>
            </w:r>
          </w:p>
        </w:tc>
        <w:tc>
          <w:tcPr>
            <w:tcW w:w="83" w:type="dxa"/>
            <w:tcBorders/>
            <w:shd w:fill="FFFFFF" w:val="clear"/>
            <w:vAlign w:val="center"/>
          </w:tcPr>
          <w:p>
            <w:pPr>
              <w:pStyle w:val="TableContents"/>
              <w:bidi w:val="0"/>
              <w:spacing w:before="0" w:after="283"/>
              <w:jc w:val="left"/>
              <w:rPr/>
            </w:pPr>
            <w:r>
              <w:rPr/>
              <w:t> </w:t>
            </w:r>
          </w:p>
        </w:tc>
      </w:tr>
      <w:tr>
        <w:trPr/>
        <w:tc>
          <w:tcPr>
            <w:tcW w:w="1849"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Utilizations</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(12,354</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(11,627</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(23,981</w:t>
            </w:r>
          </w:p>
        </w:tc>
        <w:tc>
          <w:tcPr>
            <w:tcW w:w="83"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84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3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3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15,339</w:t>
            </w:r>
          </w:p>
        </w:tc>
        <w:tc>
          <w:tcPr>
            <w:tcW w:w="83" w:type="dxa"/>
            <w:tcBorders/>
            <w:shd w:fill="FFFFFF" w:val="clear"/>
            <w:vAlign w:val="center"/>
          </w:tcPr>
          <w:p>
            <w:pPr>
              <w:pStyle w:val="TableContents"/>
              <w:bidi w:val="0"/>
              <w:spacing w:before="0" w:after="283"/>
              <w:jc w:val="left"/>
              <w:rPr/>
            </w:pPr>
            <w:r>
              <w:rPr/>
              <w:t> </w:t>
            </w:r>
          </w:p>
        </w:tc>
      </w:tr>
      <w:tr>
        <w:trPr/>
        <w:tc>
          <w:tcPr>
            <w:tcW w:w="1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23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849"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236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909"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8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357"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10,562</w:t>
            </w:r>
          </w:p>
        </w:tc>
        <w:tc>
          <w:tcPr>
            <w:tcW w:w="83" w:type="dxa"/>
            <w:tcBorders/>
            <w:shd w:fill="FFFFFF" w:val="clear"/>
            <w:vAlign w:val="center"/>
          </w:tcPr>
          <w:p>
            <w:pPr>
              <w:pStyle w:val="TableContents"/>
              <w:bidi w:val="0"/>
              <w:spacing w:before="0" w:after="283"/>
              <w:jc w:val="left"/>
              <w:rPr/>
            </w:pPr>
            <w:r>
              <w:rPr/>
              <w:t> </w:t>
            </w:r>
          </w:p>
        </w:tc>
      </w:tr>
      <w:tr>
        <w:trPr/>
        <w:tc>
          <w:tcPr>
            <w:tcW w:w="1849" w:type="dxa"/>
            <w:tcBorders/>
            <w:shd w:fill="CCEEFF" w:val="clear"/>
            <w:vAlign w:val="center"/>
          </w:tcPr>
          <w:p>
            <w:pPr>
              <w:pStyle w:val="TableContents"/>
              <w:bidi w:val="0"/>
              <w:spacing w:before="0" w:after="0"/>
              <w:ind w:left="0" w:right="0" w:firstLine="180"/>
              <w:jc w:val="left"/>
              <w:rPr>
                <w:rFonts w:ascii="Arial;Helvetica;sans-serif" w:hAnsi="Arial;Helvetica;sans-serif"/>
                <w:sz w:val="20"/>
              </w:rPr>
            </w:pPr>
            <w:r>
              <w:rPr>
                <w:rFonts w:ascii="Arial;Helvetica;sans-serif" w:hAnsi="Arial;Helvetica;sans-serif"/>
                <w:sz w:val="20"/>
              </w:rPr>
              <w:t>Accruals</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236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909"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15,603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1849"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Utilizations</w:t>
            </w:r>
          </w:p>
        </w:tc>
        <w:tc>
          <w:tcPr>
            <w:tcW w:w="60" w:type="dxa"/>
            <w:tcBorders/>
            <w:shd w:fill="FFFF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3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(6,924</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(3,809</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(5,437</w:t>
            </w:r>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(16,170</w:t>
            </w:r>
          </w:p>
        </w:tc>
        <w:tc>
          <w:tcPr>
            <w:tcW w:w="83"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84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4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3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9,995</w:t>
            </w:r>
          </w:p>
        </w:tc>
        <w:tc>
          <w:tcPr>
            <w:tcW w:w="83"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13</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License and Collaboration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Agenus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November 2019, </w:t>
      </w:r>
      <w:r>
        <w:rPr>
          <w:rFonts w:ascii="Arial;Helvetica;sans-serif" w:hAnsi="Arial;Helvetica;sans-serif"/>
          <w:caps w:val="false"/>
          <w:smallCaps w:val="false"/>
          <w:sz w:val="20"/>
        </w:rPr>
        <w:t>the Company entered into a license agreement with Agenus Inc. ("Agenus"), pursuant to which Agenus granted to the Company an exclusive, worldwide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w:t>
      </w:r>
      <w:r>
        <w:rPr>
          <w:rStyle w:val="Emphasis"/>
          <w:rFonts w:ascii="Arial;Helvetica;sans-serif" w:hAnsi="Arial;Helvetica;sans-serif"/>
          <w:caps w:val="false"/>
          <w:smallCaps w:val="false"/>
          <w:sz w:val="20"/>
        </w:rPr>
        <w:t>AGEN1884</w:t>
      </w:r>
      <w:r>
        <w:rPr>
          <w:rFonts w:ascii="Arial;Helvetica;sans-serif" w:hAnsi="Arial;Helvetica;sans-serif"/>
          <w:caps w:val="false"/>
          <w:smallCaps w:val="false"/>
          <w:sz w:val="20"/>
        </w:rPr>
        <w:t> (zalifrelimab), an anti-CTLA-</w:t>
      </w:r>
      <w:r>
        <w:rPr>
          <w:rStyle w:val="Emphasis"/>
          <w:rFonts w:ascii="Arial;Helvetica;sans-serif" w:hAnsi="Arial;Helvetica;sans-serif"/>
          <w:caps w:val="false"/>
          <w:smallCaps w:val="false"/>
          <w:sz w:val="20"/>
        </w:rPr>
        <w:t>4</w:t>
      </w:r>
      <w:r>
        <w:rPr>
          <w:rFonts w:ascii="Arial;Helvetica;sans-serif" w:hAnsi="Arial;Helvetica;sans-serif"/>
          <w:caps w:val="false"/>
          <w:smallCaps w:val="false"/>
          <w:sz w:val="20"/>
        </w:rPr>
        <w:t> antagonist, for the treatment of cancers of the urinary tract via intravesical delivery. UGN-</w:t>
      </w:r>
      <w:r>
        <w:rPr>
          <w:rStyle w:val="Emphasis"/>
          <w:rFonts w:ascii="Arial;Helvetica;sans-serif" w:hAnsi="Arial;Helvetica;sans-serif"/>
          <w:caps w:val="false"/>
          <w:smallCaps w:val="false"/>
          <w:sz w:val="20"/>
        </w:rPr>
        <w:t>301</w:t>
      </w:r>
      <w:r>
        <w:rPr>
          <w:rFonts w:ascii="Arial;Helvetica;sans-serif" w:hAnsi="Arial;Helvetica;sans-serif"/>
          <w:caps w:val="false"/>
          <w:smallCaps w:val="false"/>
          <w:sz w:val="20"/>
        </w:rPr>
        <w:t> is a formulation of zalifrelimab administered using </w:t>
      </w:r>
      <w:r>
        <w:rPr>
          <w:rFonts w:ascii="Arial;Helvetica;sans-serif" w:hAnsi="Arial;Helvetica;sans-serif"/>
          <w:i/>
          <w:caps w:val="false"/>
          <w:smallCaps w:val="false"/>
          <w:sz w:val="20"/>
        </w:rPr>
        <w:t>RTGel </w:t>
      </w:r>
      <w:r>
        <w:rPr>
          <w:rFonts w:ascii="Arial;Helvetica;sans-serif" w:hAnsi="Arial;Helvetica;sans-serif"/>
          <w:caps w:val="false"/>
          <w:smallCaps w:val="false"/>
          <w:sz w:val="20"/>
        </w:rPr>
        <w:t>technology that was in Phase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clinical development for high-grade NMIBC.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November 2025, </w:t>
      </w:r>
      <w:r>
        <w:rPr>
          <w:rFonts w:ascii="Arial;Helvetica;sans-serif" w:hAnsi="Arial;Helvetica;sans-serif"/>
          <w:caps w:val="false"/>
          <w:smallCaps w:val="false"/>
          <w:sz w:val="20"/>
        </w:rPr>
        <w:t>the Company provided notice to terminate the license agreement with Agenus in connection with its decision to discontinue development of UGN-</w:t>
      </w:r>
      <w:r>
        <w:rPr>
          <w:rStyle w:val="Emphasis"/>
          <w:rFonts w:ascii="Arial;Helvetica;sans-serif" w:hAnsi="Arial;Helvetica;sans-serif"/>
          <w:caps w:val="false"/>
          <w:smallCaps w:val="false"/>
          <w:sz w:val="20"/>
        </w:rPr>
        <w:t>301.</w:t>
      </w:r>
      <w:r>
        <w:rPr>
          <w:rFonts w:ascii="Arial;Helvetica;sans-serif" w:hAnsi="Arial;Helvetica;sans-serif"/>
          <w:caps w:val="false"/>
          <w:smallCaps w:val="false"/>
          <w:sz w:val="20"/>
        </w:rPr>
        <w:t> Under the terms of the license agreement, following notice of termination, the agreement will terminate upon the later of (a) the expiration of a </w:t>
      </w:r>
      <w:r>
        <w:rPr>
          <w:rStyle w:val="Emphasis"/>
          <w:rFonts w:ascii="Arial;Helvetica;sans-serif" w:hAnsi="Arial;Helvetica;sans-serif"/>
          <w:caps w:val="false"/>
          <w:smallCaps w:val="false"/>
          <w:sz w:val="20"/>
        </w:rPr>
        <w:t>180</w:t>
      </w:r>
      <w:r>
        <w:rPr>
          <w:rFonts w:ascii="Arial;Helvetica;sans-serif" w:hAnsi="Arial;Helvetica;sans-serif"/>
          <w:caps w:val="false"/>
          <w:smallCaps w:val="false"/>
          <w:sz w:val="20"/>
        </w:rPr>
        <w:t>-day notice period; or (b) completion of all wind-down activities and delivery of all Agenus Improvements (as defined in the license agreement) to Agenus.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expect to incur significant additional costs related to this program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18</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Note</w:t>
      </w:r>
      <w:r>
        <w:rPr>
          <w:rFonts w:ascii="Arial;Helvetica;sans-serif" w:hAnsi="Arial;Helvetica;sans-serif"/>
          <w:caps w:val="false"/>
          <w:smallCaps w:val="false"/>
          <w:sz w:val="20"/>
        </w:rPr>
        <w:t> </w:t>
      </w:r>
      <w:r>
        <w:rPr>
          <w:rStyle w:val="Emphasis"/>
          <w:rFonts w:ascii="Arial;Helvetica;sans-serif" w:hAnsi="Arial;Helvetica;sans-serif"/>
          <w:b/>
          <w:caps w:val="false"/>
          <w:smallCaps w:val="false"/>
          <w:sz w:val="20"/>
        </w:rPr>
        <w:t>14</w:t>
      </w:r>
      <w:r>
        <w:rPr>
          <w:rFonts w:ascii="Arial;Helvetica;sans-serif" w:hAnsi="Arial;Helvetica;sans-serif"/>
          <w:caps w:val="false"/>
          <w:smallCaps w:val="false"/>
          <w:sz w:val="20"/>
        </w:rPr>
        <w:t> – </w:t>
      </w:r>
      <w:r>
        <w:rPr>
          <w:rFonts w:ascii="Arial;Helvetica;sans-serif" w:hAnsi="Arial;Helvetica;sans-serif"/>
          <w:b/>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February 14, 2025 (</w:t>
      </w:r>
      <w:r>
        <w:rPr>
          <w:rFonts w:ascii="Arial;Helvetica;sans-serif" w:hAnsi="Arial;Helvetica;sans-serif"/>
          <w:caps w:val="false"/>
          <w:smallCaps w:val="false"/>
          <w:sz w:val="20"/>
        </w:rPr>
        <w:t>the “APA Closing Date”), the Company entered into an Asset Purchase Agreement (as amended, the “Agreement”) with IconOVir Bio, Inc. (“IconOVir”), pursuant to which the Company purchased and acquired certain assets of IconOVir (the “Transferred Assets”), including the product candidate ICVB-</w:t>
      </w:r>
      <w:r>
        <w:rPr>
          <w:rStyle w:val="Emphasis"/>
          <w:rFonts w:ascii="Arial;Helvetica;sans-serif" w:hAnsi="Arial;Helvetica;sans-serif"/>
          <w:caps w:val="false"/>
          <w:smallCaps w:val="false"/>
          <w:sz w:val="20"/>
        </w:rPr>
        <w:t>1042</w:t>
      </w:r>
      <w:r>
        <w:rPr>
          <w:rFonts w:ascii="Arial;Helvetica;sans-serif" w:hAnsi="Arial;Helvetica;sans-serif"/>
          <w:caps w:val="false"/>
          <w:smallCaps w:val="false"/>
          <w:sz w:val="20"/>
        </w:rPr>
        <w:t> and certain contracts, intellectual property rights, regulatory applications, submissions and registrations, and data and other rights related thereto, and assumed certain liabilities and obligations of IconOVir arising under certain contracts of IconOVir acquired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As consideration for the Transferred Assets and subject to the terms and conditions of the Agreement, on the APA Closing Date, the Company (i) issued 374,843 ordinary shares of the Company (the “Company Shares”) to IconOVir, which represented a purchase price of $4.0 million divided by the volume-weighted average closing price of the Company Shares on The Nasdaq Stock Market over the </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consecutive trading days ending on (and including) the trading day immediately prior to the APA Closing Date, (ii) agreed to pay IconOVir a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-time payment of $15.0 million in cash upon the achievement of a cumulative aggregate worldwide net sales milestone for all products, including combination products, that incorporate or comprise ICVB-</w:t>
      </w:r>
      <w:r>
        <w:rPr>
          <w:rStyle w:val="Emphasis"/>
          <w:rFonts w:ascii="Arial;Helvetica;sans-serif" w:hAnsi="Arial;Helvetica;sans-serif"/>
          <w:caps w:val="false"/>
          <w:smallCaps w:val="false"/>
          <w:sz w:val="20"/>
        </w:rPr>
        <w:t>1042</w:t>
      </w:r>
      <w:r>
        <w:rPr>
          <w:rFonts w:ascii="Arial;Helvetica;sans-serif" w:hAnsi="Arial;Helvetica;sans-serif"/>
          <w:caps w:val="false"/>
          <w:smallCaps w:val="false"/>
          <w:sz w:val="20"/>
        </w:rPr>
        <w:t> (“ICVB Products”), (iii) agreed to pay IconOVir a low, single-digit percentage royalty, on an ICVB Product-by-ICVB Product basis, on the annual, worldwide net sales of such ICVB Product during the royalty term, subject to certain reductions as set forth in the Agreement, and (iv) agreed to assume certain immaterial liabilities arising under certain acquired contracts ((i), (ii), (iii), and (iv) collectively, the “Purchase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Entities affiliated with Arie Belldegrun, M.D., the Chair of the Board of Directors of the Company, held certain promissory notes of IconOVir at the time, that </w:t>
      </w:r>
      <w:r>
        <w:rPr>
          <w:rStyle w:val="Emphasis"/>
          <w:rFonts w:ascii="Arial;Helvetica;sans-serif" w:hAnsi="Arial;Helvetica;sans-serif"/>
          <w:caps w:val="false"/>
          <w:smallCaps w:val="false"/>
          <w:sz w:val="20"/>
        </w:rPr>
        <w:t xml:space="preserve"> may </w:t>
      </w:r>
      <w:r>
        <w:rPr>
          <w:rFonts w:ascii="Arial;Helvetica;sans-serif" w:hAnsi="Arial;Helvetica;sans-serif"/>
          <w:caps w:val="false"/>
          <w:smallCaps w:val="false"/>
          <w:sz w:val="20"/>
        </w:rPr>
        <w:t>entitle such entities to receive, in the aggregate, approximately 28.3% of the Purchase Price paid to IconOVir pursuant to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 evaluates acquisitions of assets and other similar transactions to assess whether the transaction should be accounted for as a business combination or asset acquisition by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applying a screen test to determine whether substantially all of the fair value of the gross assets acquired is concentrated in a single identifiable asset or group of similar identifiable assets. If so, the transaction is accounted for as an asset acquisition. The cost of an asset acquisition is allocated to identifiable assets acquired and liabilities assumed based on a relative fair value basis. Goodwill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recognized in an asset acquisition. Any contingent consideration in an asset acquisition is recognized only when amounts are both probable and estimable, at which point the consideration is allocated to the assets acquired on a relative fair value basis. Based on the Company's assessment of the value of the assets acquired as well as consideration of the inputs, processes and outputs, the Company concluded that this represented an asset acquisition. When a transaction accounted for as an asset acquisition includes IPR&amp;D, the IPR&amp;D asset is only capitalized as an intangible asset if it is determined to have an alternative future use other than in a particular research and development project. Otherwise, amounts allocated to the IPR&amp;D are recognized as research and development expenses in the period. The Company accounted for the acquisition of the Transferred Assets from IconOVir as an asset acquisition. The Company determined the fair value of the consideration transferred was $3.1 million, which represented the fair value of the unregistered shares at issuance date. Given the early-stage nature of such assets and level of further development necessary to produce an output, the Company recognized the cost of the acquisition as a research and development expense in </w:t>
      </w:r>
      <w:r>
        <w:rPr>
          <w:rStyle w:val="Emphasis"/>
          <w:rFonts w:ascii="Arial;Helvetica;sans-serif" w:hAnsi="Arial;Helvetica;sans-serif"/>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19</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15</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Shareholders</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had 100.0 million ordinary shares authorized for issuance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xml:space="preserve">. The Company had 48.9 million and 48.4 million ordinary shares issued and outstanding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xml:space="preserve">, respectively. Each ordinary share is entitled to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vote. The holders of ordinary shares are also entitled to receive dividends whenever funds are legally available, when and if declared by the Board of Directors (the “Board”). Since the Company's inception, the Board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declared any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ATM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December 2019, </w:t>
      </w:r>
      <w:r>
        <w:rPr>
          <w:rFonts w:ascii="Arial;Helvetica;sans-serif" w:hAnsi="Arial;Helvetica;sans-serif"/>
          <w:caps w:val="false"/>
          <w:smallCaps w:val="false"/>
          <w:sz w:val="20"/>
        </w:rPr>
        <w:t>the Company entered into a sales agreement (the “ATM Sales Agreement”) with TD Securities (USA) LLC (f/k/a Cowen and Company, LLC) (“TD Cowen”), pursuant to which the Company </w:t>
      </w:r>
      <w:r>
        <w:rPr>
          <w:rStyle w:val="Emphasis"/>
          <w:rFonts w:ascii="Arial;Helvetica;sans-serif" w:hAnsi="Arial;Helvetica;sans-serif"/>
          <w:caps w:val="false"/>
          <w:smallCaps w:val="false"/>
          <w:sz w:val="20"/>
        </w:rPr>
        <w:t xml:space="preserve"> may </w:t>
      </w:r>
      <w:r>
        <w:rPr>
          <w:rFonts w:ascii="Arial;Helvetica;sans-serif" w:hAnsi="Arial;Helvetica;sans-serif"/>
          <w:caps w:val="false"/>
          <w:smallCaps w:val="false"/>
          <w:sz w:val="20"/>
        </w:rPr>
        <w:t>from time to time offer and sell its ordinary shares having an aggregate offering price of up to $100.0 million, to or through TD Cowen, acting as sales agent or principal, in any manner deemed to be an “at-the-market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During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quarter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the Company sold 3,400,468 ordinary shares under the ATM Sales Agreement for net proceeds to the Company of approximately $54.7 million after deducting sales commissions to TD Cowen of up to 3%. During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quarter of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the Company sold 416,248 ordinary shares under the ATM Sales Agreement for net proceeds to the Company of approximately $8.0 million after deducting sales commissions to TD Cowen of up to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November 2025, </w:t>
      </w:r>
      <w:r>
        <w:rPr>
          <w:rFonts w:ascii="Arial;Helvetica;sans-serif" w:hAnsi="Arial;Helvetica;sans-serif"/>
          <w:caps w:val="false"/>
          <w:smallCaps w:val="false"/>
          <w:sz w:val="20"/>
        </w:rPr>
        <w:t>the Company amended the ATM Sales Agreement to remove the aggregate offering price limit of $100.0 million and filed a registration statement on Form S-</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providing for the offer and sale of ordinary shares pursuant to the ATM Sales Agreement having an aggregate offering price of up to $75.0 million, which became effective automatically (the “ATM Prospectus”). Following the amendment, 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quarter of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the Company sold 1,370,962 ordinary shares pursuant to the ATM Prospectus for net proceeds to the Company of approximately $31.8 million after deducting sales commissions to TD Cowen of up to 3%.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the remaining capacity under the ATM Prospectus was approximately $42.4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July 26,</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the Company entered into a Securities Purchase Agreement (the “Purchase Agreement”) with certain institutional and other accredited investors (the “Purchasers”), pursuant to which the Company agreed to sell and issue to the Purchasers 7,300,380 ordinary shares of the Company (“Shares”) and 5,278,776 of pre-funded warrants to purchase ordinary shares of the Company at a purchase price of $9.54 per Share or $9.539 for each ordinary share underlying a pre-funded warrant, in a private placement transaction that closed on </w:t>
      </w:r>
      <w:r>
        <w:rPr>
          <w:rStyle w:val="Emphasis"/>
          <w:rFonts w:ascii="Arial;Helvetica;sans-serif" w:hAnsi="Arial;Helvetica;sans-serif"/>
          <w:caps w:val="false"/>
          <w:smallCaps w:val="false"/>
          <w:sz w:val="20"/>
        </w:rPr>
        <w:t xml:space="preserve">July 28,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August 9, 2023 (</w:t>
      </w:r>
      <w:r>
        <w:rPr>
          <w:rFonts w:ascii="Arial;Helvetica;sans-serif" w:hAnsi="Arial;Helvetica;sans-serif"/>
          <w:caps w:val="false"/>
          <w:smallCaps w:val="false"/>
          <w:sz w:val="20"/>
        </w:rPr>
        <w:t xml:space="preserve">the “Private Placement”) for aggregate gross proceeds of $120.0 million, before deducting fees to placement agents and financial advisors and before other expenses paid by the Company. Each pre-funded warrant has an exercise price of $0.001 per ordinary share, subject to customary adjustments, became exercisable upon original issuance and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expire until exercised in full. The pre-funded warrants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exercised if the aggregate number of ordinary shares beneficially owned by the holder thereof immediately following such exercise would exceed a specified beneficial ownership limitation. The aggregate fee paid by the Company to placement agents and financial advisors was $3.6 million, plus the reimbursement of certain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Resales of the Shares and the ordinary shares issuable upon exercise of the pre-funded warrants were registered pursuant to the Company’s registration statement on Form S-</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(File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333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274423</w:t>
      </w:r>
      <w:r>
        <w:rPr>
          <w:rFonts w:ascii="Arial;Helvetica;sans-serif" w:hAnsi="Arial;Helvetica;sans-serif"/>
          <w:caps w:val="false"/>
          <w:smallCaps w:val="false"/>
          <w:sz w:val="20"/>
        </w:rPr>
        <w:t xml:space="preserve">) filed with the SEC on </w:t>
      </w:r>
      <w:r>
        <w:rPr>
          <w:rStyle w:val="Emphasis"/>
          <w:rFonts w:ascii="Arial;Helvetica;sans-serif" w:hAnsi="Arial;Helvetica;sans-serif"/>
          <w:caps w:val="false"/>
          <w:smallCaps w:val="false"/>
          <w:sz w:val="20"/>
        </w:rPr>
        <w:t xml:space="preserve">September 8, 2023, </w:t>
      </w:r>
      <w:r>
        <w:rPr>
          <w:rFonts w:ascii="Arial;Helvetica;sans-serif" w:hAnsi="Arial;Helvetica;sans-serif"/>
          <w:caps w:val="false"/>
          <w:smallCaps w:val="false"/>
          <w:sz w:val="20"/>
        </w:rPr>
        <w:t xml:space="preserve">which was declared effective on </w:t>
      </w:r>
      <w:r>
        <w:rPr>
          <w:rStyle w:val="Emphasis"/>
          <w:rFonts w:ascii="Arial;Helvetica;sans-serif" w:hAnsi="Arial;Helvetica;sans-serif"/>
          <w:caps w:val="false"/>
          <w:smallCaps w:val="false"/>
          <w:sz w:val="20"/>
        </w:rPr>
        <w:t>September 15,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December 20, 2023, </w:t>
      </w:r>
      <w:r>
        <w:rPr>
          <w:rFonts w:ascii="Arial;Helvetica;sans-serif" w:hAnsi="Arial;Helvetica;sans-serif"/>
          <w:caps w:val="false"/>
          <w:smallCaps w:val="false"/>
          <w:sz w:val="20"/>
        </w:rPr>
        <w:t>the Company issued 1,599,733 ordinary shares through a cashless exercise of 1,599,840 pre-funded warrants for the purchase of ordinary shares of the Company. On </w:t>
      </w:r>
      <w:r>
        <w:rPr>
          <w:rStyle w:val="Emphasis"/>
          <w:rFonts w:ascii="Arial;Helvetica;sans-serif" w:hAnsi="Arial;Helvetica;sans-serif"/>
          <w:caps w:val="false"/>
          <w:smallCaps w:val="false"/>
          <w:sz w:val="20"/>
        </w:rPr>
        <w:t xml:space="preserve"> January 24,</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the Company issued 3,206,271 ordinary shares upon exercise of 3,206,271 pre-funded warrants for the purchase of ordinary shares of the Company. As of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472,665 pre-funded warrants from the Purchase Agreement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Monograph Capital Partners I, L.P. (“Monograph”), a life sciences venture firm that is affiliated with Fred Cohen, M.D., purchased 1,572,327 of the Shares in the Private Placement, for an aggregate purchase price of $15.0 million. Dr. Cohen was a director of the Company and the Chair and Chief Investment Officer of Monograph at the time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Underwritten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June 17,</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the Company entered into an underwriting agreement with TD Securities (USA) LLC and Guggenheim Securities, LLC, as representatives of the several underwriters named therein (collectively, the “Underwriters”), relating to the issuance and sale in a public offering of 5,000,000 ordinary shares of the Company for $17.50 per share and pre-funded warrants to purchase 1,142,857 ordinary shares of the Company for $17.499 per pre-funded warrant. The offering closed on </w:t>
      </w:r>
      <w:r>
        <w:rPr>
          <w:rStyle w:val="Emphasis"/>
          <w:rFonts w:ascii="Arial;Helvetica;sans-serif" w:hAnsi="Arial;Helvetica;sans-serif"/>
          <w:caps w:val="false"/>
          <w:smallCaps w:val="false"/>
          <w:sz w:val="20"/>
        </w:rPr>
        <w:t xml:space="preserve"> June 20, 2024. </w:t>
      </w:r>
      <w:r>
        <w:rPr>
          <w:rFonts w:ascii="Arial;Helvetica;sans-serif" w:hAnsi="Arial;Helvetica;sans-serif"/>
          <w:caps w:val="false"/>
          <w:smallCaps w:val="false"/>
          <w:sz w:val="20"/>
        </w:rPr>
        <w:t>The gross proceeds to the Company from this closing of the offering were $107.5 million, before deducting underwriting discounts and commissions and offering expenses paid by the Company of $7.3 million. Each pre-funded warrant has an exercise price of $0.001 per ordinary share, subject to customary adjustments, is exercisable at any time and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expire until exercised in full. The pre-funded warrants </w:t>
      </w:r>
      <w:r>
        <w:rPr>
          <w:rStyle w:val="Emphasis"/>
          <w:rFonts w:ascii="Arial;Helvetica;sans-serif" w:hAnsi="Arial;Helvetica;sans-serif"/>
          <w:caps w:val="false"/>
          <w:smallCaps w:val="false"/>
          <w:sz w:val="20"/>
        </w:rPr>
        <w:t xml:space="preserve"> may not</w:t>
      </w:r>
      <w:r>
        <w:rPr>
          <w:rFonts w:ascii="Arial;Helvetica;sans-serif" w:hAnsi="Arial;Helvetica;sans-serif"/>
          <w:caps w:val="false"/>
          <w:smallCaps w:val="false"/>
          <w:sz w:val="20"/>
        </w:rPr>
        <w:t xml:space="preserve"> be exercised if the aggregate number of ordinary shares beneficially owned by the holder thereof immediately following such exercise would exceed a specified beneficial ownership limitation.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all 1,142,857 pre-funded warrants remain outstanding. In addition, the Underwriters were granted an option exercisable for </w:t>
      </w:r>
      <w:r>
        <w:rPr>
          <w:rStyle w:val="Emphasis"/>
          <w:rFonts w:ascii="Arial;Helvetica;sans-serif" w:hAnsi="Arial;Helvetica;sans-serif"/>
          <w:caps w:val="false"/>
          <w:smallCaps w:val="false"/>
          <w:sz w:val="20"/>
        </w:rPr>
        <w:t>30</w:t>
      </w:r>
      <w:r>
        <w:rPr>
          <w:rFonts w:ascii="Arial;Helvetica;sans-serif" w:hAnsi="Arial;Helvetica;sans-serif"/>
          <w:caps w:val="false"/>
          <w:smallCaps w:val="false"/>
          <w:sz w:val="20"/>
        </w:rPr>
        <w:t> days, to purchase up to 921,428 additional shares at the public offering price, less the underwriting discounts and commissions. On </w:t>
      </w:r>
      <w:r>
        <w:rPr>
          <w:rStyle w:val="Emphasis"/>
          <w:rFonts w:ascii="Arial;Helvetica;sans-serif" w:hAnsi="Arial;Helvetica;sans-serif"/>
          <w:caps w:val="false"/>
          <w:smallCaps w:val="false"/>
          <w:sz w:val="20"/>
        </w:rPr>
        <w:t xml:space="preserve"> July 18, 2024, </w:t>
      </w:r>
      <w:r>
        <w:rPr>
          <w:rFonts w:ascii="Arial;Helvetica;sans-serif" w:hAnsi="Arial;Helvetica;sans-serif"/>
          <w:caps w:val="false"/>
          <w:smallCaps w:val="false"/>
          <w:sz w:val="20"/>
        </w:rPr>
        <w:t>the Company completed the closing of the sale of 921,428 additional shares in the offering following the exercise in full of the Underwriters’ option to purchase additional shares, which resulted in additional gross proceeds to the Company of $16.1 million before deducting underwriting discounts and commissions and offering expenses paid by the Company of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20</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16</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October 2010, </w:t>
      </w:r>
      <w:r>
        <w:rPr>
          <w:rFonts w:ascii="Arial;Helvetica;sans-serif" w:hAnsi="Arial;Helvetica;sans-serif"/>
          <w:caps w:val="false"/>
          <w:smallCaps w:val="false"/>
          <w:sz w:val="20"/>
        </w:rPr>
        <w:t xml:space="preserve">the Board approved a share option plan (the </w:t>
      </w:r>
      <w:r>
        <w:rPr>
          <w:rStyle w:val="Emphasis"/>
          <w:rFonts w:ascii="Arial;Helvetica;sans-serif" w:hAnsi="Arial;Helvetica;sans-serif"/>
          <w:caps w:val="false"/>
          <w:smallCaps w:val="false"/>
          <w:sz w:val="20"/>
        </w:rPr>
        <w:t>"2010</w:t>
      </w:r>
      <w:r>
        <w:rPr>
          <w:rFonts w:ascii="Arial;Helvetica;sans-serif" w:hAnsi="Arial;Helvetica;sans-serif"/>
          <w:caps w:val="false"/>
          <w:smallCaps w:val="false"/>
          <w:sz w:val="20"/>
        </w:rPr>
        <w:t xml:space="preserve"> Plan") for grants to Company employees, consultants, directors, and other service providers. Subsequently, in </w:t>
      </w:r>
      <w:r>
        <w:rPr>
          <w:rStyle w:val="Emphasis"/>
          <w:rFonts w:ascii="Arial;Helvetica;sans-serif" w:hAnsi="Arial;Helvetica;sans-serif"/>
          <w:caps w:val="false"/>
          <w:smallCaps w:val="false"/>
          <w:sz w:val="20"/>
        </w:rPr>
        <w:t xml:space="preserve">March 2017, </w:t>
      </w:r>
      <w:r>
        <w:rPr>
          <w:rFonts w:ascii="Arial;Helvetica;sans-serif" w:hAnsi="Arial;Helvetica;sans-serif"/>
          <w:caps w:val="false"/>
          <w:smallCaps w:val="false"/>
          <w:sz w:val="20"/>
        </w:rPr>
        <w:t xml:space="preserve">the Board adopted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xml:space="preserve"> Equity Incentive Plan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xml:space="preserve"> Plan" and, together with the </w:t>
      </w:r>
      <w:r>
        <w:rPr>
          <w:rStyle w:val="Emphasis"/>
          <w:rFonts w:ascii="Arial;Helvetica;sans-serif" w:hAnsi="Arial;Helvetica;sans-serif"/>
          <w:caps w:val="false"/>
          <w:smallCaps w:val="false"/>
          <w:sz w:val="20"/>
        </w:rPr>
        <w:t>2010</w:t>
      </w:r>
      <w:r>
        <w:rPr>
          <w:rFonts w:ascii="Arial;Helvetica;sans-serif" w:hAnsi="Arial;Helvetica;sans-serif"/>
          <w:caps w:val="false"/>
          <w:smallCaps w:val="false"/>
          <w:sz w:val="20"/>
        </w:rPr>
        <w:t xml:space="preserve"> Plan, the "Plans"), which was approved by the shareholders in </w:t>
      </w:r>
      <w:r>
        <w:rPr>
          <w:rStyle w:val="Emphasis"/>
          <w:rFonts w:ascii="Arial;Helvetica;sans-serif" w:hAnsi="Arial;Helvetica;sans-serif"/>
          <w:caps w:val="false"/>
          <w:smallCaps w:val="false"/>
          <w:sz w:val="20"/>
        </w:rPr>
        <w:t xml:space="preserve">April 2017.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xml:space="preserve"> Plan provides for the grant of stock options, stock appreciation rights, restricted stock awards, RSU awards, performance share awards, performance cash awards, and other forms of share awards to the Company's employees, directors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grant of options to Israeli employees under the Plans is subject to the terms stipulated by Section </w:t>
      </w:r>
      <w:r>
        <w:rPr>
          <w:rStyle w:val="Emphasis"/>
          <w:rFonts w:ascii="Arial;Helvetica;sans-serif" w:hAnsi="Arial;Helvetica;sans-serif"/>
          <w:caps w:val="false"/>
          <w:smallCaps w:val="false"/>
          <w:sz w:val="20"/>
        </w:rPr>
        <w:t>102</w:t>
      </w:r>
      <w:r>
        <w:rPr>
          <w:rFonts w:ascii="Arial;Helvetica;sans-serif" w:hAnsi="Arial;Helvetica;sans-serif"/>
          <w:caps w:val="false"/>
          <w:smallCaps w:val="false"/>
          <w:sz w:val="20"/>
        </w:rPr>
        <w:t xml:space="preserve"> of the Israeli Income Tax Ordinance (“Section </w:t>
      </w:r>
      <w:r>
        <w:rPr>
          <w:rStyle w:val="Emphasis"/>
          <w:rFonts w:ascii="Arial;Helvetica;sans-serif" w:hAnsi="Arial;Helvetica;sans-serif"/>
          <w:caps w:val="false"/>
          <w:smallCaps w:val="false"/>
          <w:sz w:val="20"/>
        </w:rPr>
        <w:t>102”</w:t>
      </w:r>
      <w:r>
        <w:rPr>
          <w:rFonts w:ascii="Arial;Helvetica;sans-serif" w:hAnsi="Arial;Helvetica;sans-serif"/>
          <w:caps w:val="false"/>
          <w:smallCaps w:val="false"/>
          <w:sz w:val="20"/>
        </w:rPr>
        <w:t xml:space="preserve">). The option grants are subject to the track chosen by the Company, either the “regular income” track or the “capital gains” track, as set out in Section </w:t>
      </w:r>
      <w:r>
        <w:rPr>
          <w:rStyle w:val="Emphasis"/>
          <w:rFonts w:ascii="Arial;Helvetica;sans-serif" w:hAnsi="Arial;Helvetica;sans-serif"/>
          <w:caps w:val="false"/>
          <w:smallCaps w:val="false"/>
          <w:sz w:val="20"/>
        </w:rPr>
        <w:t>102.</w:t>
      </w:r>
      <w:r>
        <w:rPr>
          <w:rFonts w:ascii="Arial;Helvetica;sans-serif" w:hAnsi="Arial;Helvetica;sans-serif"/>
          <w:caps w:val="false"/>
          <w:smallCaps w:val="false"/>
          <w:sz w:val="20"/>
        </w:rPr>
        <w:t xml:space="preserve"> The Company registered the Plans under the capital gains track, which offers more favorable tax rates to the employees. As a result, and pursuant to the terms of Section </w:t>
      </w:r>
      <w:r>
        <w:rPr>
          <w:rStyle w:val="Emphasis"/>
          <w:rFonts w:ascii="Arial;Helvetica;sans-serif" w:hAnsi="Arial;Helvetica;sans-serif"/>
          <w:caps w:val="false"/>
          <w:smallCaps w:val="false"/>
          <w:sz w:val="20"/>
        </w:rPr>
        <w:t>102,</w:t>
      </w:r>
      <w:r>
        <w:rPr>
          <w:rFonts w:ascii="Arial;Helvetica;sans-serif" w:hAnsi="Arial;Helvetica;sans-serif"/>
          <w:caps w:val="false"/>
          <w:smallCaps w:val="false"/>
          <w:sz w:val="20"/>
        </w:rPr>
        <w:t xml:space="preserve"> the Company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allowed to claim as an expense for tax purposes the amounts credited to the employees in respect of options granted to them under the Plans, including amounts recorded as salary benefits in the Company’s accounts, with the exception of the work-income benefit component, if any, determined on grant date. For non-employees and for non-Israeli employees, the Plans are subject to Section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(i) of the Israeli Income Tax Ordinance.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Employees are typically granted stock options and/or RSUs, upon commencement of employment. Also, eligible employees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receive an annual grant of options, RSUs and/or PSUs. Non-employee members of the Board typically receive a grant of stock options or a mix of options and RSUs upon initial appointment to the Board, and stock options or a mix of stock options and RSUs annually. The term of any option granted under the Plans cannot exceed 10 years. Options shall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an exercise price less than 100% of the fair market value of the Company’s ordinary shares on the grant date, and generally vest over a period of three years. If the individual possesses more than 10% of the combined voting power of all classes of equity of the Company, the exercise price shall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less than 110% of the fair market value of an ordinary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pPr>
      <w:r>
        <w:rPr>
          <w:rFonts w:ascii="Arial;Helvetica;sans-serif" w:hAnsi="Arial;Helvetica;sans-serif"/>
          <w:caps w:val="false"/>
          <w:smallCaps w:val="false"/>
          <w:sz w:val="20"/>
        </w:rPr>
        <w:t>The Company’s RSU and option grants provide for accelerated or continued vesting in certain circumstances as defined in the Plans and related grant agreements, including a termination in connection with a change in control. RSUs generally vest in a 33% increment upon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anniversary of grant, and in either equal quarterly or annual amounts for the two years following the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-year anniversary of the grant date. Options generally vest in a 33% increment upon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anniversary of the grant date, and in either equal quarterly or annual amounts for the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years following the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-year anniversary of the grant date. The Company also grants PSUs to certain employees. The PSUs granted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vested upon U.S. regulatory approval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The PSUs granted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vested upon the achievement of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commercial sale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in the United States following receipt of U.S. regulatory approval. The PSUs granted in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vest based on both performance and service conditions, with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of each award vesting upon the filing of financial statements reflecting the achievement of a net product sales target and with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vesting on </w:t>
      </w:r>
      <w:r>
        <w:rPr>
          <w:rStyle w:val="Emphasis"/>
          <w:rFonts w:ascii="Arial;Helvetica;sans-serif" w:hAnsi="Arial;Helvetica;sans-serif"/>
          <w:caps w:val="false"/>
          <w:smallCaps w:val="false"/>
          <w:sz w:val="20"/>
        </w:rPr>
        <w:t>January 31</w:t>
      </w:r>
      <w:r>
        <w:rPr>
          <w:rFonts w:ascii="Arial;Helvetica;sans-serif" w:hAnsi="Arial;Helvetica;sans-serif"/>
          <w:caps w:val="false"/>
          <w:smallCaps w:val="false"/>
          <w:sz w:val="20"/>
        </w:rPr>
        <w:t xml:space="preserve">st of each of the next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 calendar years following such achievement, subject to continued service on each vesting date. The PSUs granted in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xml:space="preserve"> vest based upon U.S. regulatory approval of UGN-</w:t>
      </w:r>
      <w:r>
        <w:rPr>
          <w:rStyle w:val="Emphasis"/>
          <w:rFonts w:ascii="Arial;Helvetica;sans-serif" w:hAnsi="Arial;Helvetica;sans-serif"/>
          <w:caps w:val="false"/>
          <w:smallCaps w:val="false"/>
          <w:sz w:val="20"/>
        </w:rPr>
        <w:t>103</w:t>
      </w:r>
      <w:r>
        <w:rPr>
          <w:rFonts w:ascii="Arial;Helvetica;sans-serif" w:hAnsi="Arial;Helvetica;sans-serif"/>
          <w:caps w:val="false"/>
          <w:smallCaps w:val="false"/>
          <w:sz w:val="20"/>
        </w:rPr>
        <w:t xml:space="preserve"> and represent 336,411 units with a total grant-date fair value of approximately $6.6 million. In </w:t>
      </w:r>
      <w:r>
        <w:rPr>
          <w:rStyle w:val="Emphasis"/>
          <w:rFonts w:ascii="Arial;Helvetica;sans-serif" w:hAnsi="Arial;Helvetica;sans-serif"/>
          <w:caps w:val="false"/>
          <w:smallCaps w:val="false"/>
          <w:sz w:val="20"/>
        </w:rPr>
        <w:t xml:space="preserve"> June 2024, </w:t>
      </w:r>
      <w:r>
        <w:rPr>
          <w:rFonts w:ascii="Arial;Helvetica;sans-serif" w:hAnsi="Arial;Helvetica;sans-serif"/>
          <w:caps w:val="false"/>
          <w:smallCaps w:val="false"/>
          <w:sz w:val="20"/>
        </w:rPr>
        <w:t>the Company amended certain RSU and PSU awards granted to its chief executive officer to defer vesting until the end of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In </w:t>
      </w:r>
      <w:r>
        <w:rPr>
          <w:rStyle w:val="Emphasis"/>
          <w:rFonts w:ascii="Arial;Helvetica;sans-serif" w:hAnsi="Arial;Helvetica;sans-serif"/>
          <w:caps w:val="false"/>
          <w:smallCaps w:val="false"/>
          <w:sz w:val="20"/>
        </w:rPr>
        <w:t xml:space="preserve"> December 2025, </w:t>
      </w:r>
      <w:r>
        <w:rPr>
          <w:rFonts w:ascii="Arial;Helvetica;sans-serif" w:hAnsi="Arial;Helvetica;sans-serif"/>
          <w:caps w:val="false"/>
          <w:smallCaps w:val="false"/>
          <w:sz w:val="20"/>
        </w:rPr>
        <w:t>the Company further amended certain RSU and PSU awards granted to its chief executive officer to defer vesting until the end of </w:t>
      </w:r>
      <w:r>
        <w:rPr>
          <w:rStyle w:val="Emphasis"/>
          <w:rFonts w:ascii="Arial;Helvetica;sans-serif" w:hAnsi="Arial;Helvetica;sans-serif"/>
          <w:caps w:val="false"/>
          <w:smallCaps w:val="false"/>
          <w:sz w:val="20"/>
        </w:rPr>
        <w:t>2026.</w:t>
      </w:r>
      <w:r>
        <w:rPr>
          <w:rFonts w:ascii="Arial;Helvetica;sans-serif" w:hAnsi="Arial;Helvetica;sans-serif"/>
          <w:caps w:val="false"/>
          <w:smallCaps w:val="false"/>
          <w:sz w:val="20"/>
        </w:rPr>
        <w:t xml:space="preserve"> The Company accounted for the modification as a Type I probable-to-probable modification under ASC </w:t>
      </w:r>
      <w:r>
        <w:rPr>
          <w:rStyle w:val="Emphasis"/>
          <w:rFonts w:ascii="Arial;Helvetica;sans-serif" w:hAnsi="Arial;Helvetica;sans-serif"/>
          <w:caps w:val="false"/>
          <w:smallCaps w:val="false"/>
          <w:sz w:val="20"/>
        </w:rPr>
        <w:t>718.</w:t>
      </w:r>
      <w:r>
        <w:rPr>
          <w:rFonts w:ascii="Arial;Helvetica;sans-serif" w:hAnsi="Arial;Helvetica;sans-serif"/>
          <w:caps w:val="false"/>
          <w:smallCaps w:val="false"/>
          <w:sz w:val="20"/>
        </w:rPr>
        <w:t> As the modification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result in any incremental fair value at the modification dates, the Company continues to recognize the original grant-date fair value ratably over the original service period or expected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maximum number of ordinary shares that was initially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was 1,400,000. On </w:t>
      </w:r>
      <w:r>
        <w:rPr>
          <w:rStyle w:val="Emphasis"/>
          <w:rFonts w:ascii="Arial;Helvetica;sans-serif" w:hAnsi="Arial;Helvetica;sans-serif"/>
          <w:caps w:val="false"/>
          <w:smallCaps w:val="false"/>
          <w:sz w:val="20"/>
        </w:rPr>
        <w:t xml:space="preserve"> January 1, 2018, </w:t>
      </w:r>
      <w:r>
        <w:rPr>
          <w:rFonts w:ascii="Arial;Helvetica;sans-serif" w:hAnsi="Arial;Helvetica;sans-serif"/>
          <w:caps w:val="false"/>
          <w:smallCaps w:val="false"/>
          <w:sz w:val="20"/>
        </w:rPr>
        <w:t>the share reserve increased by 250,167 shares to a total share reserve of 1,650,167 shares. On </w:t>
      </w:r>
      <w:r>
        <w:rPr>
          <w:rStyle w:val="Emphasis"/>
          <w:rFonts w:ascii="Arial;Helvetica;sans-serif" w:hAnsi="Arial;Helvetica;sans-serif"/>
          <w:caps w:val="false"/>
          <w:smallCaps w:val="false"/>
          <w:sz w:val="20"/>
        </w:rPr>
        <w:t xml:space="preserve"> October 12, 2018, </w:t>
      </w:r>
      <w:r>
        <w:rPr>
          <w:rFonts w:ascii="Arial;Helvetica;sans-serif" w:hAnsi="Arial;Helvetica;sans-serif"/>
          <w:caps w:val="false"/>
          <w:smallCaps w:val="false"/>
          <w:sz w:val="20"/>
        </w:rPr>
        <w:t>the Company increased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1,900,000 shares to a total share reserve of 3,550,167 shares. On </w:t>
      </w:r>
      <w:r>
        <w:rPr>
          <w:rStyle w:val="Emphasis"/>
          <w:rFonts w:ascii="Arial;Helvetica;sans-serif" w:hAnsi="Arial;Helvetica;sans-serif"/>
          <w:caps w:val="false"/>
          <w:smallCaps w:val="false"/>
          <w:sz w:val="20"/>
        </w:rPr>
        <w:t xml:space="preserve"> June 8, 2020,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400,000 shares to a total share reserve of 3,950,167 shares. On </w:t>
      </w:r>
      <w:r>
        <w:rPr>
          <w:rStyle w:val="Emphasis"/>
          <w:rFonts w:ascii="Arial;Helvetica;sans-serif" w:hAnsi="Arial;Helvetica;sans-serif"/>
          <w:caps w:val="false"/>
          <w:smallCaps w:val="false"/>
          <w:sz w:val="20"/>
        </w:rPr>
        <w:t xml:space="preserve"> June 7, 2021,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400,000 shares to a total share reserve of 4,350,167 shares. On </w:t>
      </w:r>
      <w:r>
        <w:rPr>
          <w:rStyle w:val="Emphasis"/>
          <w:rFonts w:ascii="Arial;Helvetica;sans-serif" w:hAnsi="Arial;Helvetica;sans-serif"/>
          <w:caps w:val="false"/>
          <w:smallCaps w:val="false"/>
          <w:sz w:val="20"/>
        </w:rPr>
        <w:t xml:space="preserve"> June 8, 2022,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400,000 shares to a total share reserve of 4,750,167 shares. On </w:t>
      </w:r>
      <w:r>
        <w:rPr>
          <w:rStyle w:val="Emphasis"/>
          <w:rFonts w:ascii="Arial;Helvetica;sans-serif" w:hAnsi="Arial;Helvetica;sans-serif"/>
          <w:caps w:val="false"/>
          <w:smallCaps w:val="false"/>
          <w:sz w:val="20"/>
        </w:rPr>
        <w:t xml:space="preserve"> September 7, 2023,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450,000 shares to a total share reserve of 5,200,167 shares. On </w:t>
      </w:r>
      <w:r>
        <w:rPr>
          <w:rStyle w:val="Emphasis"/>
          <w:rFonts w:ascii="Arial;Helvetica;sans-serif" w:hAnsi="Arial;Helvetica;sans-serif"/>
          <w:caps w:val="false"/>
          <w:smallCaps w:val="false"/>
          <w:sz w:val="20"/>
        </w:rPr>
        <w:t xml:space="preserve"> August 6, 2024,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800,000 shares to a total share reserve of 6,000,167 shares. On </w:t>
      </w:r>
      <w:r>
        <w:rPr>
          <w:rStyle w:val="Emphasis"/>
          <w:rFonts w:ascii="Arial;Helvetica;sans-serif" w:hAnsi="Arial;Helvetica;sans-serif"/>
          <w:caps w:val="false"/>
          <w:smallCaps w:val="false"/>
          <w:sz w:val="20"/>
        </w:rPr>
        <w:t xml:space="preserve"> August 26, 2025,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xml:space="preserve"> Plan by 2,750,000 shares to a total share reserve of 8,750,167 shares. On </w:t>
      </w:r>
      <w:r>
        <w:rPr>
          <w:rStyle w:val="Emphasis"/>
          <w:rFonts w:ascii="Arial;Helvetica;sans-serif" w:hAnsi="Arial;Helvetica;sans-serif"/>
          <w:caps w:val="false"/>
          <w:smallCaps w:val="false"/>
          <w:sz w:val="20"/>
        </w:rPr>
        <w:t xml:space="preserve">June 22, 2026, </w:t>
      </w:r>
      <w:r>
        <w:rPr>
          <w:rFonts w:ascii="Arial;Helvetica;sans-serif" w:hAnsi="Arial;Helvetica;sans-serif"/>
          <w:caps w:val="false"/>
          <w:smallCaps w:val="false"/>
          <w:sz w:val="20"/>
        </w:rPr>
        <w:t>the Company's shareholders approved an increase to the number of ordinary shares authorized for issuance under the </w:t>
      </w:r>
      <w:r>
        <w:rPr>
          <w:rStyle w:val="Emphasis"/>
          <w:rFonts w:ascii="Arial;Helvetica;sans-serif" w:hAnsi="Arial;Helvetica;sans-serif"/>
          <w:caps w:val="false"/>
          <w:smallCaps w:val="false"/>
          <w:sz w:val="20"/>
        </w:rPr>
        <w:t>2017</w:t>
      </w:r>
      <w:r>
        <w:rPr>
          <w:rFonts w:ascii="Arial;Helvetica;sans-serif" w:hAnsi="Arial;Helvetica;sans-serif"/>
          <w:caps w:val="false"/>
          <w:smallCaps w:val="false"/>
          <w:sz w:val="20"/>
        </w:rPr>
        <w:t> Plan by 1,000,000 shares to a total share reserve of 9,750,167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May 2019, </w:t>
      </w:r>
      <w:r>
        <w:rPr>
          <w:rFonts w:ascii="Arial;Helvetica;sans-serif" w:hAnsi="Arial;Helvetica;sans-serif"/>
          <w:caps w:val="false"/>
          <w:smallCaps w:val="false"/>
          <w:sz w:val="20"/>
        </w:rPr>
        <w:t>the Company adopted the UroGen Pharma Ltd.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Inducement Plan (the “Inducement Plan”). Under the Inducement Plan, the Company is authorized to issue up to 900,000 ordinary shares pursuant to inducement awards. The only persons eligible to receive grants under the Inducement Plan are individuals who satisfy the standards for inducement grants under Nasdaq Marketplace Rule </w:t>
      </w:r>
      <w:r>
        <w:rPr>
          <w:rStyle w:val="Emphasis"/>
          <w:rFonts w:ascii="Arial;Helvetica;sans-serif" w:hAnsi="Arial;Helvetica;sans-serif"/>
          <w:caps w:val="false"/>
          <w:smallCaps w:val="false"/>
          <w:sz w:val="20"/>
        </w:rPr>
        <w:t>5635</w:t>
      </w:r>
      <w:r>
        <w:rPr>
          <w:rFonts w:ascii="Arial;Helvetica;sans-serif" w:hAnsi="Arial;Helvetica;sans-serif"/>
          <w:caps w:val="false"/>
          <w:smallCaps w:val="false"/>
          <w:sz w:val="20"/>
        </w:rPr>
        <w:t>(c)(</w:t>
      </w:r>
      <w:r>
        <w:rPr>
          <w:rStyle w:val="Emphasis"/>
          <w:rFonts w:ascii="Arial;Helvetica;sans-serif" w:hAnsi="Arial;Helvetica;sans-serif"/>
          <w:caps w:val="false"/>
          <w:smallCaps w:val="false"/>
          <w:sz w:val="20"/>
        </w:rPr>
        <w:t>4</w:t>
      </w:r>
      <w:r>
        <w:rPr>
          <w:rFonts w:ascii="Arial;Helvetica;sans-serif" w:hAnsi="Arial;Helvetica;sans-serif"/>
          <w:caps w:val="false"/>
          <w:smallCaps w:val="false"/>
          <w:sz w:val="20"/>
        </w:rPr>
        <w:t>) and the related guidance under Nasdaq IM </w:t>
      </w:r>
      <w:r>
        <w:rPr>
          <w:rStyle w:val="Emphasis"/>
          <w:rFonts w:ascii="Arial;Helvetica;sans-serif" w:hAnsi="Arial;Helvetica;sans-serif"/>
          <w:caps w:val="false"/>
          <w:smallCaps w:val="false"/>
          <w:sz w:val="20"/>
        </w:rPr>
        <w:t>5635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including individuals who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previously an employee or director of the Company or are following a bona fide period of non-employment, in each case as an inducement material to such individual’s agreement to enter into employment with the Company. In </w:t>
      </w:r>
      <w:r>
        <w:rPr>
          <w:rStyle w:val="Emphasis"/>
          <w:rFonts w:ascii="Arial;Helvetica;sans-serif" w:hAnsi="Arial;Helvetica;sans-serif"/>
          <w:caps w:val="false"/>
          <w:smallCaps w:val="false"/>
          <w:sz w:val="20"/>
        </w:rPr>
        <w:t xml:space="preserve"> December 2021, </w:t>
      </w:r>
      <w:r>
        <w:rPr>
          <w:rFonts w:ascii="Arial;Helvetica;sans-serif" w:hAnsi="Arial;Helvetica;sans-serif"/>
          <w:caps w:val="false"/>
          <w:smallCaps w:val="false"/>
          <w:sz w:val="20"/>
        </w:rPr>
        <w:t>the Board approved an increase to the number of shares authorized for issuance under the Inducement Plan of 300,000 shares. In </w:t>
      </w:r>
      <w:r>
        <w:rPr>
          <w:rStyle w:val="Emphasis"/>
          <w:rFonts w:ascii="Arial;Helvetica;sans-serif" w:hAnsi="Arial;Helvetica;sans-serif"/>
          <w:caps w:val="false"/>
          <w:smallCaps w:val="false"/>
          <w:sz w:val="20"/>
        </w:rPr>
        <w:t xml:space="preserve"> June 2024, </w:t>
      </w:r>
      <w:r>
        <w:rPr>
          <w:rFonts w:ascii="Arial;Helvetica;sans-serif" w:hAnsi="Arial;Helvetica;sans-serif"/>
          <w:caps w:val="false"/>
          <w:smallCaps w:val="false"/>
          <w:sz w:val="20"/>
        </w:rPr>
        <w:t>the Board approved an increase to the number of shares authorized for issuance under the Inducement Plan of 600,000 shares to a total share reserve of 1,800,000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As of </w:t>
      </w:r>
      <w:r>
        <w:rPr>
          <w:rStyle w:val="Emphasis"/>
          <w:rFonts w:ascii="Arial;Helvetica;sans-serif" w:hAnsi="Arial;Helvetica;sans-serif"/>
          <w:caps w:val="false"/>
          <w:smallCaps w:val="false"/>
          <w:sz w:val="20"/>
        </w:rPr>
        <w:t xml:space="preserve"> June 30, 2026</w:t>
      </w:r>
      <w:r>
        <w:rPr>
          <w:rFonts w:ascii="Arial;Helvetica;sans-serif" w:hAnsi="Arial;Helvetica;sans-serif"/>
          <w:caps w:val="false"/>
          <w:smallCaps w:val="false"/>
          <w:sz w:val="20"/>
        </w:rPr>
        <w:t>, 5,328,864 ordinary shares are subject to outstanding awards under the Company's share-based compensation plans and 2,926,039 ordinary shares remain available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21</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illustrates the effect of share-based compensation on the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7823" w:type="dxa"/>
        <w:jc w:val="left"/>
        <w:tblInd w:w="0" w:type="dxa"/>
        <w:tblLayout w:type="fixed"/>
        <w:tblCellMar>
          <w:top w:w="0" w:type="dxa"/>
          <w:left w:w="0" w:type="dxa"/>
          <w:bottom w:w="0" w:type="dxa"/>
          <w:right w:w="0" w:type="dxa"/>
        </w:tblCellMar>
      </w:tblPr>
      <w:tblGrid>
        <w:gridCol w:w="3905"/>
        <w:gridCol w:w="60"/>
        <w:gridCol w:w="178"/>
        <w:gridCol w:w="713"/>
        <w:gridCol w:w="85"/>
        <w:gridCol w:w="85"/>
        <w:gridCol w:w="178"/>
        <w:gridCol w:w="713"/>
        <w:gridCol w:w="60"/>
        <w:gridCol w:w="60"/>
        <w:gridCol w:w="157"/>
        <w:gridCol w:w="631"/>
        <w:gridCol w:w="75"/>
        <w:gridCol w:w="75"/>
        <w:gridCol w:w="157"/>
        <w:gridCol w:w="631"/>
        <w:gridCol w:w="6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2"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1,050</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4,397</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8,255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4,752</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5,331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9,958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total unrecognized compensation cost of options, RSUs and PSUs at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is $39.0 million with a weighted average recognition period of 2.03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17</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UroGen Pharma Ltd. is taxed under Israeli tax laws.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the Company continues to maintain a full valuation allowance against deferred tax assets for all jurisdictions. In evaluating the need for a valuation allowance, the Company considers all sources of taxable income available to realize the deferred tax asset, including the future reversal of existing temporary differences, forecasts of future taxable income, and tax planning strategies. The Company has cumulative global pretax losses for the years ended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for the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The Company will continue to assess the extent to which its deferred tax assets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be realized in the future and will adjust the valuation allowance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Company has a liability for uncertain tax positions of $3.9 million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for tax positions relating to transfer pricing between affiliated entities. The Company recognizes interest accrued and penalties related to uncertain tax positions as a component of income tax expense.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the Company’s liability for uncertain tax positions includes $2.1 million of accrued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operates on a global basis and is subject to tax laws and regulations in the United States and Israel. The estimate of the Company’s tax liabilities relating to uncertain tax positions requires management to assess uncertainties and to make judgments about the application of complex tax laws and regulations, expectations regarding the outcome of tax authority examinations, as well as the ultimate measurement of potential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uncertain tax positions are reviewed quarterly and adjusted as events occur that could affect potential liabilities for additional taxes, including lapsing of applicable statutes of limitations, correspondence with tax authorities, proposed assessments by tax authorities, identification of new issues, and issuance of new legislation or regulations. The Company believes that adequate amounts of tax have been provided in income tax expense for any adjustments that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result from its uncertain tax positions. The current balance of the uncertain tax position relates to tax years for which the statute of limitations will expire within the next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months.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See Note </w:t>
      </w:r>
      <w:r>
        <w:rPr>
          <w:rStyle w:val="Emphasis"/>
          <w:rFonts w:ascii="Arial;Helvetica;sans-serif" w:hAnsi="Arial;Helvetica;sans-serif"/>
          <w:caps w:val="false"/>
          <w:smallCaps w:val="false"/>
          <w:sz w:val="20"/>
        </w:rPr>
        <w:t>14</w:t>
      </w:r>
      <w:r>
        <w:rPr>
          <w:rFonts w:ascii="Arial;Helvetica;sans-serif" w:hAnsi="Arial;Helvetica;sans-serif"/>
          <w:caps w:val="false"/>
          <w:smallCaps w:val="false"/>
          <w:sz w:val="20"/>
        </w:rPr>
        <w:t> for discussion related to an asset purchase in </w:t>
      </w:r>
      <w:r>
        <w:rPr>
          <w:rStyle w:val="Emphasis"/>
          <w:rFonts w:ascii="Arial;Helvetica;sans-serif" w:hAnsi="Arial;Helvetica;sans-serif"/>
          <w:caps w:val="false"/>
          <w:smallCaps w:val="false"/>
          <w:sz w:val="20"/>
        </w:rPr>
        <w:t xml:space="preserve"> February 2025 </w:t>
      </w:r>
      <w:r>
        <w:rPr>
          <w:rFonts w:ascii="Arial;Helvetica;sans-serif" w:hAnsi="Arial;Helvetica;sans-serif"/>
          <w:caps w:val="false"/>
          <w:smallCaps w:val="false"/>
          <w:sz w:val="20"/>
        </w:rPr>
        <w:t xml:space="preserve">which involved a related party. There were no further related party transactions during the </w:t>
      </w:r>
      <w:r>
        <w:rPr>
          <w:rStyle w:val="Emphasis"/>
          <w:rFonts w:ascii="Arial;Helvetica;sans-serif" w:hAnsi="Arial;Helvetica;sans-serif"/>
          <w:caps w:val="false"/>
          <w:smallCaps w:val="false"/>
          <w:sz w:val="20"/>
        </w:rPr>
        <w:t>six</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or </w:t>
      </w:r>
      <w:r>
        <w:rPr>
          <w:rStyle w:val="Emphasis"/>
          <w:rFonts w:ascii="Arial;Helvetica;sans-serif" w:hAnsi="Arial;Helvetica;sans-serif"/>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19</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 xml:space="preserve">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w:t>
      </w:r>
      <w:r>
        <w:rPr>
          <w:rStyle w:val="Emphasis"/>
          <w:rFonts w:ascii="Arial;Helvetica;sans-serif" w:hAnsi="Arial;Helvetica;sans-serif"/>
          <w:caps w:val="false"/>
          <w:smallCaps w:val="false"/>
          <w:sz w:val="20"/>
        </w:rPr>
        <w:t>June 30, 2026</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December 31, 2025</w:t>
      </w:r>
      <w:r>
        <w:rPr>
          <w:rFonts w:ascii="Arial;Helvetica;sans-serif" w:hAnsi="Arial;Helvetica;sans-serif"/>
          <w:caps w:val="false"/>
          <w:smallCaps w:val="false"/>
          <w:sz w:val="20"/>
        </w:rPr>
        <w:t xml:space="preserve">. The Company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anticipate recognizing any significant losses relating to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On </w:t>
      </w:r>
      <w:r>
        <w:rPr>
          <w:rStyle w:val="Emphasis"/>
          <w:rFonts w:ascii="Arial;Helvetica;sans-serif" w:hAnsi="Arial;Helvetica;sans-serif"/>
          <w:caps w:val="false"/>
          <w:smallCaps w:val="false"/>
          <w:sz w:val="20"/>
        </w:rPr>
        <w:t xml:space="preserve"> April 2, 2024, </w:t>
      </w:r>
      <w:r>
        <w:rPr>
          <w:rFonts w:ascii="Arial;Helvetica;sans-serif" w:hAnsi="Arial;Helvetica;sans-serif"/>
          <w:caps w:val="false"/>
          <w:smallCaps w:val="false"/>
          <w:sz w:val="20"/>
        </w:rPr>
        <w:t>the Company filed a lawsuit in the U.S. District Court for the District of Delaware against Teva Pharmaceuticals, Inc., Teva Pharmaceuticals USA, Inc. (together with Teva Pharmaceuticals, Inc., “Teva”), and Teva Pharmaceutical Industries, Ltd., alleging infringement of U.S. Patent Numbers </w:t>
      </w:r>
      <w:r>
        <w:rPr>
          <w:rStyle w:val="Emphasis"/>
          <w:rFonts w:ascii="Arial;Helvetica;sans-serif" w:hAnsi="Arial;Helvetica;sans-serif"/>
          <w:caps w:val="false"/>
          <w:smallCaps w:val="false"/>
          <w:sz w:val="20"/>
        </w:rPr>
        <w:t>9,040,074</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9,950,069</w:t>
      </w:r>
      <w:r>
        <w:rPr>
          <w:rFonts w:ascii="Arial;Helvetica;sans-serif" w:hAnsi="Arial;Helvetica;sans-serif"/>
          <w:caps w:val="false"/>
          <w:smallCaps w:val="false"/>
          <w:sz w:val="20"/>
        </w:rPr>
        <w:t xml:space="preserve"> in response to Teva’s submission of an Abbreviated New Drug Application to the FDA seeking approval to manufacture, use, or sell a generic version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in the United States prior to the expiration of such patents. The Company sought a permanent injunction preventing U.S. market entry of Teva’s generic product prior to the expiration of such patents. By written stipulation dated </w:t>
      </w:r>
      <w:r>
        <w:rPr>
          <w:rStyle w:val="Emphasis"/>
          <w:rFonts w:ascii="Arial;Helvetica;sans-serif" w:hAnsi="Arial;Helvetica;sans-serif"/>
          <w:caps w:val="false"/>
          <w:smallCaps w:val="false"/>
          <w:sz w:val="20"/>
        </w:rPr>
        <w:t xml:space="preserve"> June 11, 2024, </w:t>
      </w:r>
      <w:r>
        <w:rPr>
          <w:rFonts w:ascii="Arial;Helvetica;sans-serif" w:hAnsi="Arial;Helvetica;sans-serif"/>
          <w:caps w:val="false"/>
          <w:smallCaps w:val="false"/>
          <w:sz w:val="20"/>
        </w:rPr>
        <w:t>Teva Pharmaceutical Industries, Ltd. was dismissed from the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June 2, 2026, </w:t>
      </w:r>
      <w:r>
        <w:rPr>
          <w:rFonts w:ascii="Arial;Helvetica;sans-serif" w:hAnsi="Arial;Helvetica;sans-serif"/>
          <w:caps w:val="false"/>
          <w:smallCaps w:val="false"/>
          <w:sz w:val="20"/>
        </w:rPr>
        <w:t xml:space="preserve">the Company entered into a settlement and license agreement (the “Agreement”) with Teva, resolving this litigation. Under the Agreement, the Company has agreed to grant Teva a non-exclusive license to sell its generic version of </w:t>
      </w:r>
      <w:r>
        <w:rPr>
          <w:rFonts w:ascii="Arial;Helvetica;sans-serif" w:hAnsi="Arial;Helvetica;sans-serif"/>
          <w:i/>
          <w:caps w:val="false"/>
          <w:smallCaps w:val="false"/>
          <w:sz w:val="20"/>
        </w:rPr>
        <w:t>Jelmyto </w:t>
      </w:r>
      <w:r>
        <w:rPr>
          <w:rFonts w:ascii="Arial;Helvetica;sans-serif" w:hAnsi="Arial;Helvetica;sans-serif"/>
          <w:caps w:val="false"/>
          <w:smallCaps w:val="false"/>
          <w:sz w:val="20"/>
        </w:rPr>
        <w:t>beginning on </w:t>
      </w:r>
      <w:r>
        <w:rPr>
          <w:rStyle w:val="Emphasis"/>
          <w:rFonts w:ascii="Arial;Helvetica;sans-serif" w:hAnsi="Arial;Helvetica;sans-serif"/>
          <w:caps w:val="false"/>
          <w:smallCaps w:val="false"/>
          <w:sz w:val="20"/>
        </w:rPr>
        <w:t xml:space="preserve"> September 15, 2030, </w:t>
      </w:r>
      <w:r>
        <w:rPr>
          <w:rFonts w:ascii="Arial;Helvetica;sans-serif" w:hAnsi="Arial;Helvetica;sans-serif"/>
          <w:caps w:val="false"/>
          <w:smallCaps w:val="false"/>
          <w:sz w:val="20"/>
        </w:rPr>
        <w:t>if approved by the FDA, unless certain limited circumstances customarily included in these types of agreements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June 3, 2026, </w:t>
      </w:r>
      <w:r>
        <w:rPr>
          <w:rFonts w:ascii="Arial;Helvetica;sans-serif" w:hAnsi="Arial;Helvetica;sans-serif"/>
          <w:caps w:val="false"/>
          <w:smallCaps w:val="false"/>
          <w:sz w:val="20"/>
        </w:rPr>
        <w:t>the court granted the parties' Stipulated Dismissal Order, dismissing and closing the civil action. As required by law, the parties submitted the Agreement to the U.S. Federal Trade Commission and U.S. Department of Justice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See Note </w:t>
      </w:r>
      <w:r>
        <w:rPr>
          <w:rStyle w:val="Emphasis"/>
          <w:rFonts w:ascii="Arial;Helvetica;sans-serif" w:hAnsi="Arial;Helvetica;sans-serif"/>
          <w:caps w:val="false"/>
          <w:smallCaps w:val="false"/>
          <w:sz w:val="20"/>
        </w:rPr>
        <w:t>11</w:t>
      </w:r>
      <w:r>
        <w:rPr>
          <w:rFonts w:ascii="Arial;Helvetica;sans-serif" w:hAnsi="Arial;Helvetica;sans-serif"/>
          <w:caps w:val="false"/>
          <w:smallCaps w:val="false"/>
          <w:sz w:val="20"/>
        </w:rPr>
        <w:t> for further discussion regarding lease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22</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is engaged in the development and commercialization of innovative solutions for the treatment of urothelial and specialty cancers. The Company has a single operating segment and reportable segment focused on these business activities, and its operations are managed on a consolidated basis. The primary revenue source for the segment comes from sales of the Company’s approved products,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primarily conducted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Company’s Chief Operating Decision Maker (“CODM”) is the Chief Executive Officer (“CEO”). The CODM assesses performance and allocates resources based on net income or loss, which is the primary measure of performance, as reported in the condensed consolidated statements of operations and comprehensive loss. Additionally, net income or loss is used to monitor performance relative to budgeted targets and to evaluate financial performance in relation to the Company’s strategic goals. For additional information, refer to the condensed consolidated statements of operations and comprehensive loss for detailed measures of segment revenues, expenses, and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Information about significant segment expenses regularly provided to the CODM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7"/>
        <w:gridCol w:w="60"/>
        <w:gridCol w:w="250"/>
        <w:gridCol w:w="1212"/>
        <w:gridCol w:w="119"/>
        <w:gridCol w:w="119"/>
        <w:gridCol w:w="250"/>
        <w:gridCol w:w="1212"/>
        <w:gridCol w:w="60"/>
        <w:gridCol w:w="60"/>
        <w:gridCol w:w="235"/>
        <w:gridCol w:w="1142"/>
        <w:gridCol w:w="112"/>
        <w:gridCol w:w="112"/>
        <w:gridCol w:w="235"/>
        <w:gridCol w:w="1142"/>
        <w:gridCol w:w="68"/>
      </w:tblGrid>
      <w:tr>
        <w:trPr/>
        <w:tc>
          <w:tcPr>
            <w:tcW w:w="3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For the 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For the Six Months Ended June 30,</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4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R&amp;D project materials &amp; services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1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11,446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1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14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21,151</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142"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24,710</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Acquisitions of IPR&amp;D</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3,128</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Employee compensation</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4,767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9,511</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9,125</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Rent, office, utilities &amp; technology</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865</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1,590</w:t>
            </w:r>
          </w:p>
        </w:tc>
        <w:tc>
          <w:tcPr>
            <w:tcW w:w="68" w:type="dxa"/>
            <w:tcBorders/>
            <w:shd w:fill="CCEEFF" w:val="clear"/>
            <w:vAlign w:val="center"/>
          </w:tcPr>
          <w:p>
            <w:pPr>
              <w:pStyle w:val="TableContents"/>
              <w:bidi w:val="0"/>
              <w:spacing w:before="0" w:after="283"/>
              <w:ind w:left="0" w:right="0" w:hanging="0"/>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258</w:t>
            </w:r>
          </w:p>
        </w:tc>
        <w:tc>
          <w:tcPr>
            <w:tcW w:w="119"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w:t>
            </w:r>
          </w:p>
        </w:tc>
        <w:tc>
          <w:tcPr>
            <w:tcW w:w="112" w:type="dxa"/>
            <w:tcBorders/>
            <w:shd w:fill="FFFFFF" w:val="clear"/>
            <w:vAlign w:val="center"/>
          </w:tcPr>
          <w:p>
            <w:pPr>
              <w:pStyle w:val="TableContents"/>
              <w:bidi w:val="0"/>
              <w:spacing w:before="0" w:after="0"/>
              <w:ind w:left="0" w:right="0" w:hanging="0"/>
              <w:jc w:val="left"/>
              <w:rPr/>
            </w:pPr>
            <w:r>
              <w:rPr/>
              <w:t> </w:t>
            </w:r>
          </w:p>
        </w:tc>
        <w:tc>
          <w:tcPr>
            <w:tcW w:w="112" w:type="dxa"/>
            <w:tcBorders/>
            <w:shd w:fill="FFFF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w:t>
            </w:r>
          </w:p>
        </w:tc>
        <w:tc>
          <w:tcPr>
            <w:tcW w:w="68" w:type="dxa"/>
            <w:tcBorders/>
            <w:shd w:fill="FFFFFF" w:val="clear"/>
            <w:vAlign w:val="center"/>
          </w:tcPr>
          <w:p>
            <w:pPr>
              <w:pStyle w:val="TableContents"/>
              <w:bidi w:val="0"/>
              <w:spacing w:before="0" w:after="0"/>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research and development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17,336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32,933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38,785</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Employee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25,380</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51,488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37,691</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Commercial &amp; medical affairs services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11,667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21,603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19,071</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3,687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11,212</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6,348</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Travel, meetings &amp; conferences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3,838</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8,900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9,274</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Rent, office, utilities &amp; technology</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1,510</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3,034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2,328</w:t>
            </w:r>
          </w:p>
        </w:tc>
        <w:tc>
          <w:tcPr>
            <w:tcW w:w="68" w:type="dxa"/>
            <w:tcBorders/>
            <w:shd w:fill="FFFFFF" w:val="clear"/>
            <w:vAlign w:val="center"/>
          </w:tcPr>
          <w:p>
            <w:pPr>
              <w:pStyle w:val="TableContents"/>
              <w:bidi w:val="0"/>
              <w:spacing w:before="0" w:after="283"/>
              <w:jc w:val="left"/>
              <w:rPr/>
            </w:pPr>
            <w:r>
              <w:rPr/>
              <w:t> </w:t>
            </w:r>
          </w:p>
        </w:tc>
      </w:tr>
      <w:tr>
        <w:trPr/>
        <w:tc>
          <w:tcPr>
            <w:tcW w:w="3817"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expenses (1)</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2,355</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3,686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3,454</w:t>
            </w:r>
          </w:p>
        </w:tc>
        <w:tc>
          <w:tcPr>
            <w:tcW w:w="68" w:type="dxa"/>
            <w:tcBorders/>
            <w:shd w:fill="CCEEFF" w:val="clear"/>
            <w:vAlign w:val="center"/>
          </w:tcPr>
          <w:p>
            <w:pPr>
              <w:pStyle w:val="TableContents"/>
              <w:bidi w:val="0"/>
              <w:spacing w:before="0" w:after="283"/>
              <w:jc w:val="left"/>
              <w:rPr/>
            </w:pPr>
            <w:r>
              <w:rPr/>
              <w:t> </w:t>
            </w:r>
          </w:p>
        </w:tc>
      </w:tr>
      <w:tr>
        <w:trPr/>
        <w:tc>
          <w:tcPr>
            <w:tcW w:w="3817"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selling,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48,437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99,923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78,166</w:t>
            </w:r>
          </w:p>
        </w:tc>
        <w:tc>
          <w:tcPr>
            <w:tcW w:w="6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pP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Other expenses primarily consist of insurance, publications, sponsorships, grants, other fees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b/>
          <w:caps w:val="false"/>
          <w:smallCaps w:val="false"/>
          <w:sz w:val="20"/>
        </w:rPr>
        <w:t xml:space="preserve">Note </w:t>
      </w: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w:t>
      </w:r>
      <w:r>
        <w:rPr>
          <w:rFonts w:ascii="Arial;Helvetica;sans-serif" w:hAnsi="Arial;Helvetica;sans-serif"/>
          <w:caps w:val="false"/>
          <w:smallCaps w:val="false"/>
          <w:sz w:val="20"/>
        </w:rPr>
        <w:t xml:space="preserve">– </w:t>
      </w:r>
      <w:r>
        <w:rPr>
          <w:rFonts w:ascii="Arial;Helvetica;sans-serif" w:hAnsi="Arial;Helvetica;sans-serif"/>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Company has evaluated and determined there were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23</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sz w:val="20"/>
        </w:rPr>
      </w:pPr>
      <w:bookmarkStart w:id="8" w:name="mda"/>
      <w:bookmarkEnd w:id="8"/>
      <w:r>
        <w:rPr>
          <w:rFonts w:ascii="Arial;Helvetica;sans-serif" w:hAnsi="Arial;Helvetica;sans-serif"/>
          <w:b/>
          <w:sz w:val="20"/>
        </w:rPr>
        <w:t>Item 2. Management</w:t>
      </w:r>
      <w:r>
        <w:rPr>
          <w:rFonts w:ascii="Arial;Helvetica;sans-serif" w:hAnsi="Arial;Helvetica;sans-serif"/>
          <w:sz w:val="20"/>
        </w:rPr>
        <w:t>’</w:t>
      </w:r>
      <w:r>
        <w:rPr>
          <w:rFonts w:ascii="Arial;Helvetica;sans-serif" w:hAnsi="Arial;Helvetica;sans-serif"/>
          <w:b/>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The following discussion and analysis of our financial condition and results of operations should be read in conjunction with our unaudited condensed consolidated financial statements and related notes included in this Quarterly Report and</w:t>
      </w:r>
      <w:r>
        <w:rPr>
          <w:rFonts w:ascii="Arial;Helvetica;sans-serif" w:hAnsi="Arial;Helvetica;sans-serif"/>
          <w:caps w:val="false"/>
          <w:smallCaps w:val="false"/>
          <w:sz w:val="20"/>
        </w:rPr>
        <w:t> </w:t>
      </w:r>
      <w:r>
        <w:rPr>
          <w:rFonts w:ascii="Arial;Helvetica;sans-serif" w:hAnsi="Arial;Helvetica;sans-serif"/>
          <w:i/>
          <w:caps w:val="false"/>
          <w:smallCaps w:val="false"/>
          <w:sz w:val="20"/>
        </w:rPr>
        <w:t>the audited financial statements and notes thereto as of and for the year ended December</w:t>
      </w:r>
      <w:r>
        <w:rPr>
          <w:rFonts w:ascii="Arial;Helvetica;sans-serif" w:hAnsi="Arial;Helvetica;sans-serif"/>
          <w:caps w:val="false"/>
          <w:smallCaps w:val="false"/>
          <w:sz w:val="20"/>
        </w:rPr>
        <w:t> </w:t>
      </w:r>
      <w:r>
        <w:rPr>
          <w:rFonts w:ascii="Arial;Helvetica;sans-serif" w:hAnsi="Arial;Helvetica;sans-serif"/>
          <w:i/>
          <w:caps w:val="false"/>
          <w:smallCaps w:val="false"/>
          <w:sz w:val="20"/>
        </w:rPr>
        <w:t>31, 2025 and the related Management</w:t>
      </w:r>
      <w:r>
        <w:rPr>
          <w:rFonts w:ascii="Arial;Helvetica;sans-serif" w:hAnsi="Arial;Helvetica;sans-serif"/>
          <w:caps w:val="false"/>
          <w:smallCaps w:val="false"/>
          <w:sz w:val="20"/>
        </w:rPr>
        <w:t>’</w:t>
      </w:r>
      <w:r>
        <w:rPr>
          <w:rFonts w:ascii="Arial;Helvetica;sans-serif" w:hAnsi="Arial;Helvetica;sans-serif"/>
          <w:i/>
          <w:caps w:val="false"/>
          <w:smallCaps w:val="false"/>
          <w:sz w:val="20"/>
        </w:rPr>
        <w:t>s Discussion and Analysis of Financial Condition and Results of Operations, both of which are contained in our Annual Report on Form 10-K for the year ended December 31, 2025 (</w:t>
      </w:r>
      <w:r>
        <w:rPr>
          <w:rFonts w:ascii="Arial;Helvetica;sans-serif" w:hAnsi="Arial;Helvetica;sans-serif"/>
          <w:caps w:val="false"/>
          <w:smallCaps w:val="false"/>
          <w:sz w:val="20"/>
        </w:rPr>
        <w:t>“</w:t>
      </w:r>
      <w:r>
        <w:rPr>
          <w:rFonts w:ascii="Arial;Helvetica;sans-serif" w:hAnsi="Arial;Helvetica;sans-serif"/>
          <w:i/>
          <w:caps w:val="false"/>
          <w:smallCaps w:val="false"/>
          <w:sz w:val="20"/>
        </w:rPr>
        <w:t>Annual Report</w:t>
      </w:r>
      <w:r>
        <w:rPr>
          <w:rFonts w:ascii="Arial;Helvetica;sans-serif" w:hAnsi="Arial;Helvetica;sans-serif"/>
          <w:caps w:val="false"/>
          <w:smallCaps w:val="false"/>
          <w:sz w:val="20"/>
        </w:rPr>
        <w:t>”</w:t>
      </w:r>
      <w:r>
        <w:rPr>
          <w:rFonts w:ascii="Arial;Helvetica;sans-serif" w:hAnsi="Arial;Helvetica;sans-serif"/>
          <w:i/>
          <w:caps w:val="false"/>
          <w:smallCaps w:val="false"/>
          <w:sz w:val="20"/>
        </w:rPr>
        <w:t>), which was filed with the SEC on March 2, 2026. The information in this discussion contains forward-looking statements and information within the meaning of Section 27A of the Securities Act of 1933, as amended (</w:t>
      </w:r>
      <w:r>
        <w:rPr>
          <w:rFonts w:ascii="Arial;Helvetica;sans-serif" w:hAnsi="Arial;Helvetica;sans-serif"/>
          <w:caps w:val="false"/>
          <w:smallCaps w:val="false"/>
          <w:sz w:val="20"/>
        </w:rPr>
        <w:t>“</w:t>
      </w:r>
      <w:r>
        <w:rPr>
          <w:rFonts w:ascii="Arial;Helvetica;sans-serif" w:hAnsi="Arial;Helvetica;sans-serif"/>
          <w:i/>
          <w:caps w:val="false"/>
          <w:smallCaps w:val="false"/>
          <w:sz w:val="20"/>
        </w:rPr>
        <w:t>Securities Act</w:t>
      </w:r>
      <w:r>
        <w:rPr>
          <w:rFonts w:ascii="Arial;Helvetica;sans-serif" w:hAnsi="Arial;Helvetica;sans-serif"/>
          <w:caps w:val="false"/>
          <w:smallCaps w:val="false"/>
          <w:sz w:val="20"/>
        </w:rPr>
        <w:t>”</w:t>
      </w:r>
      <w:r>
        <w:rPr>
          <w:rFonts w:ascii="Arial;Helvetica;sans-serif" w:hAnsi="Arial;Helvetica;sans-serif"/>
          <w:i/>
          <w:caps w:val="false"/>
          <w:smallCaps w:val="false"/>
          <w:sz w:val="20"/>
        </w:rPr>
        <w:t>), and Section 21E of the Securities Exchange Act of 1934, as amended (</w:t>
      </w:r>
      <w:r>
        <w:rPr>
          <w:rFonts w:ascii="Arial;Helvetica;sans-serif" w:hAnsi="Arial;Helvetica;sans-serif"/>
          <w:caps w:val="false"/>
          <w:smallCaps w:val="false"/>
          <w:sz w:val="20"/>
        </w:rPr>
        <w:t>“</w:t>
      </w:r>
      <w:r>
        <w:rPr>
          <w:rFonts w:ascii="Arial;Helvetica;sans-serif" w:hAnsi="Arial;Helvetica;sans-serif"/>
          <w:i/>
          <w:caps w:val="false"/>
          <w:smallCaps w:val="false"/>
          <w:sz w:val="20"/>
        </w:rPr>
        <w:t>Exchange Act</w:t>
      </w:r>
      <w:r>
        <w:rPr>
          <w:rFonts w:ascii="Arial;Helvetica;sans-serif" w:hAnsi="Arial;Helvetica;sans-serif"/>
          <w:caps w:val="false"/>
          <w:smallCaps w:val="false"/>
          <w:sz w:val="20"/>
        </w:rPr>
        <w:t>”</w:t>
      </w:r>
      <w:r>
        <w:rPr>
          <w:rFonts w:ascii="Arial;Helvetica;sans-serif" w:hAnsi="Arial;Helvetica;sans-serif"/>
          <w:i/>
          <w:caps w:val="false"/>
          <w:smallCaps w:val="false"/>
          <w:sz w:val="20"/>
        </w:rPr>
        <w:t xml:space="preserve">), which are subject to the </w:t>
      </w:r>
      <w:r>
        <w:rPr>
          <w:rFonts w:ascii="Arial;Helvetica;sans-serif" w:hAnsi="Arial;Helvetica;sans-serif"/>
          <w:caps w:val="false"/>
          <w:smallCaps w:val="false"/>
          <w:sz w:val="20"/>
        </w:rPr>
        <w:t>“</w:t>
      </w:r>
      <w:r>
        <w:rPr>
          <w:rFonts w:ascii="Arial;Helvetica;sans-serif" w:hAnsi="Arial;Helvetica;sans-serif"/>
          <w:i/>
          <w:caps w:val="false"/>
          <w:smallCaps w:val="false"/>
          <w:sz w:val="20"/>
        </w:rPr>
        <w:t>safe harbor</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created by those sections. These forward-looking statements include, but are not limited to, statements concerning our strategy, future operations, future financial position, future revenues, trends, projected costs, prospects and plans and objectives of management. The words </w:t>
      </w:r>
      <w:r>
        <w:rPr>
          <w:rFonts w:ascii="Arial;Helvetica;sans-serif" w:hAnsi="Arial;Helvetica;sans-serif"/>
          <w:caps w:val="false"/>
          <w:smallCaps w:val="false"/>
          <w:sz w:val="20"/>
        </w:rPr>
        <w:t>“</w:t>
      </w:r>
      <w:r>
        <w:rPr>
          <w:rFonts w:ascii="Arial;Helvetica;sans-serif" w:hAnsi="Arial;Helvetica;sans-serif"/>
          <w:i/>
          <w:caps w:val="false"/>
          <w:smallCaps w:val="false"/>
          <w:sz w:val="20"/>
        </w:rPr>
        <w:t>anticipates,</w:t>
      </w:r>
      <w:r>
        <w:rPr>
          <w:rFonts w:ascii="Arial;Helvetica;sans-serif" w:hAnsi="Arial;Helvetica;sans-serif"/>
          <w:caps w:val="false"/>
          <w:smallCaps w:val="false"/>
          <w:sz w:val="20"/>
        </w:rPr>
        <w:t>” “</w:t>
      </w:r>
      <w:r>
        <w:rPr>
          <w:rFonts w:ascii="Arial;Helvetica;sans-serif" w:hAnsi="Arial;Helvetica;sans-serif"/>
          <w:i/>
          <w:caps w:val="false"/>
          <w:smallCaps w:val="false"/>
          <w:sz w:val="20"/>
        </w:rPr>
        <w:t>believes,</w:t>
      </w:r>
      <w:r>
        <w:rPr>
          <w:rFonts w:ascii="Arial;Helvetica;sans-serif" w:hAnsi="Arial;Helvetica;sans-serif"/>
          <w:caps w:val="false"/>
          <w:smallCaps w:val="false"/>
          <w:sz w:val="20"/>
        </w:rPr>
        <w:t>” “</w:t>
      </w:r>
      <w:r>
        <w:rPr>
          <w:rFonts w:ascii="Arial;Helvetica;sans-serif" w:hAnsi="Arial;Helvetica;sans-serif"/>
          <w:i/>
          <w:caps w:val="false"/>
          <w:smallCaps w:val="false"/>
          <w:sz w:val="20"/>
        </w:rPr>
        <w:t>estimates,</w:t>
      </w:r>
      <w:r>
        <w:rPr>
          <w:rFonts w:ascii="Arial;Helvetica;sans-serif" w:hAnsi="Arial;Helvetica;sans-serif"/>
          <w:caps w:val="false"/>
          <w:smallCaps w:val="false"/>
          <w:sz w:val="20"/>
        </w:rPr>
        <w:t>” “</w:t>
      </w:r>
      <w:r>
        <w:rPr>
          <w:rFonts w:ascii="Arial;Helvetica;sans-serif" w:hAnsi="Arial;Helvetica;sans-serif"/>
          <w:i/>
          <w:caps w:val="false"/>
          <w:smallCaps w:val="false"/>
          <w:sz w:val="20"/>
        </w:rPr>
        <w:t>expects,</w:t>
      </w:r>
      <w:r>
        <w:rPr>
          <w:rFonts w:ascii="Arial;Helvetica;sans-serif" w:hAnsi="Arial;Helvetica;sans-serif"/>
          <w:caps w:val="false"/>
          <w:smallCaps w:val="false"/>
          <w:sz w:val="20"/>
        </w:rPr>
        <w:t>” “</w:t>
      </w:r>
      <w:r>
        <w:rPr>
          <w:rFonts w:ascii="Arial;Helvetica;sans-serif" w:hAnsi="Arial;Helvetica;sans-serif"/>
          <w:i/>
          <w:caps w:val="false"/>
          <w:smallCaps w:val="false"/>
          <w:sz w:val="20"/>
        </w:rPr>
        <w:t>intends,</w:t>
      </w:r>
      <w:r>
        <w:rPr>
          <w:rFonts w:ascii="Arial;Helvetica;sans-serif" w:hAnsi="Arial;Helvetica;sans-serif"/>
          <w:caps w:val="false"/>
          <w:smallCaps w:val="false"/>
          <w:sz w:val="20"/>
        </w:rPr>
        <w:t>” “</w:t>
      </w:r>
      <w:r>
        <w:rPr>
          <w:rFonts w:ascii="Arial;Helvetica;sans-serif" w:hAnsi="Arial;Helvetica;sans-serif"/>
          <w:i/>
          <w:caps w:val="false"/>
          <w:smallCaps w:val="false"/>
          <w:sz w:val="20"/>
        </w:rPr>
        <w:t>may,</w:t>
      </w:r>
      <w:r>
        <w:rPr>
          <w:rFonts w:ascii="Arial;Helvetica;sans-serif" w:hAnsi="Arial;Helvetica;sans-serif"/>
          <w:caps w:val="false"/>
          <w:smallCaps w:val="false"/>
          <w:sz w:val="20"/>
        </w:rPr>
        <w:t>” “</w:t>
      </w:r>
      <w:r>
        <w:rPr>
          <w:rFonts w:ascii="Arial;Helvetica;sans-serif" w:hAnsi="Arial;Helvetica;sans-serif"/>
          <w:i/>
          <w:caps w:val="false"/>
          <w:smallCaps w:val="false"/>
          <w:sz w:val="20"/>
        </w:rPr>
        <w:t>plans,</w:t>
      </w:r>
      <w:r>
        <w:rPr>
          <w:rFonts w:ascii="Arial;Helvetica;sans-serif" w:hAnsi="Arial;Helvetica;sans-serif"/>
          <w:caps w:val="false"/>
          <w:smallCaps w:val="false"/>
          <w:sz w:val="20"/>
        </w:rPr>
        <w:t>” “</w:t>
      </w:r>
      <w:r>
        <w:rPr>
          <w:rFonts w:ascii="Arial;Helvetica;sans-serif" w:hAnsi="Arial;Helvetica;sans-serif"/>
          <w:i/>
          <w:caps w:val="false"/>
          <w:smallCaps w:val="false"/>
          <w:sz w:val="20"/>
        </w:rPr>
        <w:t>projects,</w:t>
      </w:r>
      <w:r>
        <w:rPr>
          <w:rFonts w:ascii="Arial;Helvetica;sans-serif" w:hAnsi="Arial;Helvetica;sans-serif"/>
          <w:caps w:val="false"/>
          <w:smallCaps w:val="false"/>
          <w:sz w:val="20"/>
        </w:rPr>
        <w:t>” “</w:t>
      </w:r>
      <w:r>
        <w:rPr>
          <w:rFonts w:ascii="Arial;Helvetica;sans-serif" w:hAnsi="Arial;Helvetica;sans-serif"/>
          <w:i/>
          <w:caps w:val="false"/>
          <w:smallCaps w:val="false"/>
          <w:sz w:val="20"/>
        </w:rPr>
        <w:t>will,</w:t>
      </w:r>
      <w:r>
        <w:rPr>
          <w:rFonts w:ascii="Arial;Helvetica;sans-serif" w:hAnsi="Arial;Helvetica;sans-serif"/>
          <w:caps w:val="false"/>
          <w:smallCaps w:val="false"/>
          <w:sz w:val="20"/>
        </w:rPr>
        <w:t>” “</w:t>
      </w:r>
      <w:r>
        <w:rPr>
          <w:rFonts w:ascii="Arial;Helvetica;sans-serif" w:hAnsi="Arial;Helvetica;sans-serif"/>
          <w:i/>
          <w:caps w:val="false"/>
          <w:smallCaps w:val="false"/>
          <w:sz w:val="20"/>
        </w:rPr>
        <w:t>would</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w:t>
      </w:r>
      <w:r>
        <w:rPr>
          <w:rFonts w:ascii="Arial;Helvetica;sans-serif" w:hAnsi="Arial;Helvetica;sans-serif"/>
          <w:caps w:val="false"/>
          <w:smallCaps w:val="false"/>
          <w:sz w:val="20"/>
        </w:rPr>
        <w:t>“</w:t>
      </w:r>
      <w:r>
        <w:rPr>
          <w:rFonts w:ascii="Arial;Helvetica;sans-serif" w:hAnsi="Arial;Helvetica;sans-serif"/>
          <w:i/>
          <w:caps w:val="false"/>
          <w:smallCaps w:val="false"/>
          <w:sz w:val="20"/>
        </w:rPr>
        <w:t>Risk Factors</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in this Quarterly Report. In addition, statements indicating that </w:t>
      </w:r>
      <w:r>
        <w:rPr>
          <w:rFonts w:ascii="Arial;Helvetica;sans-serif" w:hAnsi="Arial;Helvetica;sans-serif"/>
          <w:caps w:val="false"/>
          <w:smallCaps w:val="false"/>
          <w:sz w:val="20"/>
        </w:rPr>
        <w:t>“</w:t>
      </w:r>
      <w:r>
        <w:rPr>
          <w:rFonts w:ascii="Arial;Helvetica;sans-serif" w:hAnsi="Arial;Helvetica;sans-serif"/>
          <w:i/>
          <w:caps w:val="false"/>
          <w:smallCaps w:val="false"/>
          <w:sz w:val="20"/>
        </w:rPr>
        <w:t>we believe</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The forward-looking statements are applicable only as of the date on which they are made, and we do not assume any obligation to update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a biotechnology company dedicated to developing and commercializing innovative solutions that treat urothelial and specialty cancers. We have developed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reverse-thermal hydrogel, a proprietary sustained release, hydrogel-based technology that has the potential to improve therapeutic profiles of existing drugs. Our technology is designed to enable longer exposure of urinary tract tissue to medications, making local therapy a potentially more effective treatment option. Our approved products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(mitomycin) for pyelocalyceal solution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(mitomycin) for intravesical solution are designed to ablate tumors by non-surgical means and to treat several forms of non-muscle invasive urothelial cancer, including low-grade upper tract urothelial cancer (“low-grade UTUC”) and recurrent low-grade intermediate risk non-muscle invasive bladder cancer (“low-grade intermediate risk NMIBC”), respectively. In addition, our immuno-uro-oncology pipeline includes UGN-501 (formerly known as ICVB-1042), a next-generation investigational oncolytic virus.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June 12, 2025, the U.S. Food and Drug Administration ("FDA") approved our new drug application (“NDA")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(formerly known as UGN-102) for the treatment of adults with recurrent low-grade intermediate risk NMIBC. We estimate that the annual treatable population of low-grade intermediate risk NMIBC in the United States is approximately 82,000, of which approximately 23,000 are estimated to be newly diagnosed and 59,000 are estimated to be recurrent patients. We estimate that the total addressable market opportunity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 recurrent low-grade intermediate risk NMIBC is potentially over $5.0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has the potential to become the new standard of care for adults with recurrent low-grade intermediate risk NMIBC as the first and only FDA-approved non-surgical treatment. The existing standard of care for low-grade intermediate risk NMIBC is a surgical procedure typically performed under general anesthesia called transurethral resection of bladder tumor (“TURBT”). Due to high recurrence rates of low-grade intermediate risk NMIBC following TURBT, repeat TURBTs may be necessary. We estimate that approximately 68% of low-grade intermediate risk NMIBC patients have two or more recurrences, with approximately 23% of recurrent patients having five or more recurrences. Repeated TURBT procedures to treat these recurrences can impact patients’ physical health and quality of life. Patients who have had two to four procedures have an estimated 14% greater risk of death than patients who have only had one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RTGel</w:t>
      </w:r>
      <w:r>
        <w:rPr>
          <w:rFonts w:ascii="Arial;Helvetica;sans-serif" w:hAnsi="Arial;Helvetica;sans-serif"/>
          <w:caps w:val="false"/>
          <w:smallCaps w:val="false"/>
          <w:sz w:val="20"/>
        </w:rPr>
        <w:t> is a novel proprietary polymeric biocompatible, reverse thermal gelation hydrogel technology, which, unlike the general characteristics of most forms of matter, is liquid at lower temperatures and converts into gel form when warmed to body temperature. We believe that these characteristics promote ease of delivery into and retention of drugs in body cavities, including the bladder and the upper urinary tract, forming a transient reservoir of drug that dissolves over time while preventing rapid excretion, providing for increased dwell time.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leverages the physiologic flow of urine to provide a natural exit from the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believe that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when formulated with an active drug, may allow for the improved efficacy of treatment of various types of urothelial and specialty cancers and urologic diseases without compromising the safety of the patient or interfering with the natural flow of fluids in the urinary tract.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achieves this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aqueous mitomycin formulation, currently used as adjuvant treatment, in the upper urinary tract is approximately five minutes, compared to approximately four to six hours when mitomycin is formulated with </w:t>
            </w:r>
            <w:r>
              <w:rPr>
                <w:rFonts w:ascii="Arial" w:hAnsi="Arial"/>
                <w:i/>
                <w:caps w:val="false"/>
                <w:smallCaps w:val="false"/>
                <w:sz w:val="20"/>
              </w:rPr>
              <w:t>RTGel</w:t>
            </w:r>
            <w:r>
              <w:rPr>
                <w:rFonts w:ascii="Arial" w:hAnsi="Arial"/>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administering higher doses of an active drug than would otherwise be possible using standard water-based formulations. For instance, it is only possible to dissolve 0.5 mg of mitomycin in 1 mL of water while it is possible to formulate up to 8 mg of mitomycin with 1 mL of </w:t>
            </w:r>
            <w:r>
              <w:rPr>
                <w:rFonts w:ascii="Arial" w:hAnsi="Arial"/>
                <w:i/>
                <w:caps w:val="false"/>
                <w:smallCaps w:val="false"/>
                <w:sz w:val="20"/>
              </w:rPr>
              <w:t>RTGel</w:t>
            </w:r>
            <w:r>
              <w:rPr>
                <w:rFonts w:ascii="Arial" w:hAnsi="Arial"/>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10"/>
        <w:gridCol w:w="6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maintaining the active drug’s molecular structure and mode of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These characteristics of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xml:space="preserve"> enable sustained release of mitomycin in the urinary tract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UGN-103 and UGN-104. Further,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may be particularly effective in the bladder and upper urinary tract where tumor visibility and access are challenging, and where there exists a significant amount of urine flow and voiding. We believe that these characteristics of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may prove useful for the local delivery of active drugs to other bodily cavities in addition to the bladder and upper urinary 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Jelmyto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On April 15, 2020, the FDA approved our NDA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(mitomycin) for pyelocalyceal solution, formerly known as UGN-101, for the treatment of adult patients with low-grade UTUC.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consists of mitomycin, an established chemotherapy, and sterile hydrogel, using our proprietary sustained release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xml:space="preserve"> technology. It has been designed to enable longer exposure of urinary tract tissue to mitomycin, thereby enabling the treatment of tumors by non-surgical means. New product exclusivity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expired on April 15, 2023, however, orphan drug exclusivity extends until April 15, 2027. Additionally, the main patents that protect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in the United States are set to expire in January 2031. These patents are listed in the FDA's Orange Book (Approved Drug Products with Therapeutic Equivalence Evaluations).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Low-grade UTUC is a rare cancer that develops in the lining of the upper urinary tract, which consists of the kidneys and ureters. In the United States, there are approximately 6,000 to 7,000 new or recurrent low-grade UTUC patients annually. It is a challenging condition to treat due to the complex anatomy of the urinary tract system. Prior to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the standard of care included endoscopic resection(s) and radical nephroureterectomy (“RNU”), the latter which involves the removal of the renal pelvis, kidney, ureter and bladder cuff. Treatment is further complicated by the fact that low-grade UTUC is most commonly diagnosed in patients over 70 years of age, who may already have compromised kidney function and may suffer further complications as a result of a major surgery. We are focused on changing the way urothelial cancers are treated, an area in which there has been no significant advancements in recent years.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is the first drug therapy of its kind, providing an alternative to endoscopic resection(s) and/or RNU.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FDA approval was based on results from our Phase 3 trial showing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achieved clinically significant disease eradication in adults with low-grade UTUC. Findings from the final study results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Complete response (“CR”) rate (primary endpoint) of 58% (41/71) in the intent-to-treat population and in the sub-population of patients who were deemed not capable of surgical removal at diagnosis.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At the 12-month assessment of durability, 23 of 41 total patients remained in CR, eight patients experienced recurrence of disease and ten patients were unable to be evaluated.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Durability of response ("DOR") was estimated to be 81.8% at 12 months by Kaplan-Meier analysis. The median duration of response was not reached.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most commonly reported adverse events (≥ 20%) were ureteric obstruction, flank pain, urinary tract infection, hematuria, abdominal pain, fatigue, renal dysfunction, nausea, dysuria and vomiting. Most adverse events were mild to moderate and manageable. No treatment-related deaths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February 2025, we presented additional new data from the long-term follow-up study to UroGen’s Phase 3 Olympus trial. Among patients from the trial who achieved a CR after primary chemoablation with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(n=41, 20 of whom entered the long-term follow-up study), the median duration of response was 47.8 months (median follow-up 28.1 months [95% CI 13.1, 57.5]). The study results were published in the March 2025 issue of </w:t>
      </w:r>
      <w:r>
        <w:rPr>
          <w:rFonts w:ascii="Arial;Helvetica;sans-serif" w:hAnsi="Arial;Helvetica;sans-serif"/>
          <w:i/>
          <w:caps w:val="false"/>
          <w:smallCaps w:val="false"/>
          <w:sz w:val="20"/>
        </w:rPr>
        <w:t>The Journal of Urology</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June 2020, we initiated our commercial launch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in the United States. We have staffed, trained and prepared a customer-facing team that includes territory business managers with deep experience in both urology and oncology. These territory business manager positions are led by regional business director positions, who are in turn supported by regional operations manager positions. Each region is additionally supported by clinical nurse educators to provide education and training around instillation, as well as field reimbursement managers to help ensure access and reimbursement for appropriate patients and key account directors who engage with C-suite individuals to introduce a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service line. In addition, our organization includes medical science liaisons who appropriately engage with physicians interested in learning more about UroGen,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our technology, both in person and virtually. In total, our customer-facing team comprises approximately 160 colleagues.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committed to helping patients access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Our market access teams have laid the foundation for coverage and reimbursement. Medicare patients with supplemental coverage are covered and the vast majority of commercial plans have policies in place to cover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In addition to reimbursement and access, we have also been focused on ensuring seamless integration into physician practices. We have implemented processes to help make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preparation and administration seamless for practitioners and patients, including entering into agreements with various national, regional and local mixing pharmacies under which the pharmacy, following receipt of a patient prescription, prepares and dispenses the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admixture. In September 2022, the FDA authorized an extension of the in-use period for the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admixture from eight hours to 96 hours (four days) following reconstitution of the product, adding convenience and flexibility in managing patient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October 2020, a Medicare C-Code was issued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The Centers for Medicare &amp; Medicaid Services ("CMS") established a permanent and product-specific J-code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that took effect on January 1, 2021 and replaced the C-Code. CMS has granted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 New Technology Ambulatory Payment Classification ("APC"), effective from October 1, 2023. We have also launched a registry to capture data and evaluate real world outcomes in patients with UTUC treated with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The purpose of the registry is to study the use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in clinical practice in the United States and address specific clinical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Zusduri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June 12, 2025, the FDA approved our NDA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(mitomycin) for intravesical solution, formerly known as UGN-102, for the treatment of adults with recurrent low-grade intermediate risk NMIBC.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which consists of mitomycin and sterile hydrogel, uses our proprietary sustained release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technology and is delivered directly into the bladder in an outpatient procedure by a trained healthcare professional using a urinary catheter to enable the treatment of tumors by non-surgical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estimate that the annual treatable population of low-grade intermediate risk NMIBC in the United States is approximately 82,000, of which approximately 23,000 are estimated to be newly diagnosed and 59,000 are estimated to be recurrent patients.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is administered locally using the standard practice of intravesical instillation directly into the bladder via a urinary catheter. The instillation into the bladder can take place in a physician’s office as a non-operative outpatient treatment, in comparison with TURBT or similar surgical procedures, which are operations usually conducted in an operating room under general anesthesia and may require an overnight stay. Complete surgical tumor removal often has limited success due to the inability to properly visualize, reach and resect all tumors. We believe that an effective chemoablation agent can potentially provide better eradication of tumors irrespective of the detectability and location of the tumors. In addition, by potentially reducing the need for surgery, patients may avoid potential complications associated with surgery and anesthesia. We estimate that approximately 68% of low-grade intermediate risk NMIBC patients have two or more recurrences, with approximately 23% having five or more recurrences. Repeated TURBT procedures to treat these recurrences can impact patients’ physical health and quality of life. Approximately 35% of patients will experience an adverse event within 90 days of undergoing a TURBT, and patients who have had two to four procedures have an estimated 14% greater risk of death than patients who have only had one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July 27, 2023, we announced topline data from our Phase 3 trials, ATLAS and ENVISION. In the ATLAS trial,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with or without TURBT, met its primary endpoint of disease-free survival, reducing risk of recurrence, progression, or death by 55% compared to TURBT alone. Results of the ATLAS trial also showed a 64.8% CR rate at three months for patients who only received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compared to a 63.6% CR rate at three months for patients who only received a TURBT. The ENVISION trial met its primary endpoint by demonstrating that patients treated with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had a 79.6% rate of CR at three-months following the initial instillation. In both trials, the safety profile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was acceptable, and comparable to that observed in previous clinical trials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June 2024, we announced secondary endpoint DOR data from the Phase 3 ENVISION trial investigating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for intravesical solution in patients with recurrent low-grade intermediate risk NMIBC. In the ENVISION trial, the 12-month DOR data by Kaplan-Meier estimate for patients who achieved a CR at three months after the first instillation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was 82.3% (95% CI, 75.9%, 87.1%). The ENVISION trial met its primary endpoint with patients having a 79.6% (73.9%, 84.5%) CR rate at three months after the first instillation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Among the patients in the ENVISION trial who achieved a CR at three months, 76.4% (69.8%, 82.3%) maintained a CR at 12 months. Among all 240 patients enrolled in the ENVISION trial, 60.8% (54.3%, 67.0%) were in CR at 12 months. The ENVISION trial demonstrated a similar safety profile to that observed in the OPTIMA II and ATLAS trials, with treatment-emergent adverse events typically mild-to-moderate in severity. The ENVISION trial data were published online in </w:t>
      </w:r>
      <w:r>
        <w:rPr>
          <w:rFonts w:ascii="Arial;Helvetica;sans-serif" w:hAnsi="Arial;Helvetica;sans-serif"/>
          <w:i/>
          <w:caps w:val="false"/>
          <w:smallCaps w:val="false"/>
          <w:sz w:val="20"/>
        </w:rPr>
        <w:t>The Journal of Urology</w:t>
      </w:r>
      <w:r>
        <w:rPr>
          <w:rFonts w:ascii="Arial;Helvetica;sans-serif" w:hAnsi="Arial;Helvetica;sans-serif"/>
          <w:caps w:val="false"/>
          <w:smallCaps w:val="false"/>
          <w:sz w:val="20"/>
        </w:rPr>
        <w:t> in October 2024 and were included in the February 2025 print edition.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March 2025, we announced 18-month DOR data from the Phase 3 ENVISION trial. The 18-month DOR by Kaplan-Meier estimate for patients who achieved a CR at three months after the first instillation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remained consistent with the 12-month DOR data: 80.6% (95% CI, 74.0%, 85.7%) at 18-months (n=101) compared to 82.5% (76.1%, 87.3%) at 12-months (n=146). Median follow-up time was 18.7 months after the three-month CR. In August 2025, we announced 24-month DOR data from the Phase 3 ENVISION trial. The 24-month DOR by Kaplan-Meier estimate for patients who achieved a CR at three months after the first instillation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was 72.2% (95% CI, 64.1%, 78.8%). Median follow-up time was 23.7 months after the three-month CR. The median duration of response had not yet been reached. In May 2026, we announced 36-month DOR data from the Phase 3 ENVISION trial. The 36-month DOR by Kaplan-Meier estimate for patients who achieved a CR at three months after the first instillation of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was 64.5% (95% CI, 54.6%, 72.8%). Median follow-up time was 35.5 months after the three-month CR, and the median duration of response had not been 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Additionally, in July 2025 we announced outcomes from the five-year long-term extension study of the single-arm, Phase 2b OPTIMA II study. Among the 41 patients who achieved CR at three months post-treatment with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 the OPTIMA II trial, 25 remained in CR at 12 months and 17 entered the long-term follow-up study. For the 41 patients achieving CR at three months, the median Kaplan-Meier estimate of duration of response was 24.2 months (95% CI 9.7, 42.1) with a median follow-up of 35.8 months. For the 17 patients in the long-term follow-up study, the median duration of response was 42.1 months by Kaplan-Meier estimate (95% CI: 24.2, NE), with a median follow-up of 50.4 months. Results of the long-term extension study were published online in the J</w:t>
      </w:r>
      <w:r>
        <w:rPr>
          <w:rFonts w:ascii="Arial;Helvetica;sans-serif" w:hAnsi="Arial;Helvetica;sans-serif"/>
          <w:i/>
          <w:caps w:val="false"/>
          <w:smallCaps w:val="false"/>
          <w:sz w:val="20"/>
        </w:rPr>
        <w:t>ournal of Clinical Genitourinary Cancer</w:t>
      </w:r>
      <w:r>
        <w:rPr>
          <w:rFonts w:ascii="Arial;Helvetica;sans-serif" w:hAnsi="Arial;Helvetica;sans-serif"/>
          <w:caps w:val="false"/>
          <w:smallCaps w:val="false"/>
          <w:sz w:val="20"/>
        </w:rPr>
        <w:t> in July 2025</w:t>
      </w:r>
      <w:r>
        <w:rPr>
          <w:rFonts w:ascii="Arial;Helvetica;sans-serif" w:hAnsi="Arial;Helvetica;sans-serif"/>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also completed a Phase 3b study with the objective of demonstrating whether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can be administered at home by a qualified home health professional, avoiding the need for repeated visits to a healthcare setting for instillation. Eight patients with low-grade, intermediate-risk NMIBC were enrolled, of whom six (75.0%) completed all six instillations. Preliminary results were reported through a press release in February 2023, finding that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was suitable to administer at home by a home health professional under the supervision of a treating physician and resulted in 75% of patients achieving a CR, defined as no detectable disease three months after starting treatment. Home instillation was reported as feasible for home health professionals, and three of four investigators considered at-home treatment “not different” than in-office treatment. Results of the Phase 3b study were published online in the </w:t>
      </w:r>
      <w:r>
        <w:rPr>
          <w:rFonts w:ascii="Arial;Helvetica;sans-serif" w:hAnsi="Arial;Helvetica;sans-serif"/>
          <w:i/>
          <w:caps w:val="false"/>
          <w:smallCaps w:val="false"/>
          <w:sz w:val="20"/>
        </w:rPr>
        <w:t>Reviews in Urology-LUGPA Journal</w:t>
      </w:r>
      <w:r>
        <w:rPr>
          <w:rFonts w:ascii="Arial;Helvetica;sans-serif" w:hAnsi="Arial;Helvetica;sans-serif"/>
          <w:caps w:val="false"/>
          <w:smallCaps w:val="false"/>
          <w:sz w:val="20"/>
        </w:rPr>
        <w:t> in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 approval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on June 12, 2025 was based on the results from the FDA Analysis Population (n=223) from the Phase 3 ENVISION trial demonstrating 78% of patients achieved CR at three months, and 79% of those responders maintained CR at 12 months after the three-month visit (using the observed rate). The most common (≥ 10%) adverse reactions, including laboratory abnormalities, which occurred in patients were increased creatinine, increased potassium, dysuria, decreased hemoglobin, increased aspartate aminotransferase, increased alanine aminotransferase, increased eosinophils, decreased lymphocytes, urinary tract infection, decreased neutrophils, and hematuria. Serious adverse reactions occurred in 12% of patients who received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including, urinary retention (0.8%) and urethral stenosis (0.4%).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a post-marketing commitment, we agreed with the FDA to complete the ongoing ENVISION trial to further characterize the clinical benefit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 adult patients with recurrent low-grade intermediate risk NMIBC. We committed to providing the FDA with updates on DOR for all patients with ongoing CRs. The updates will continue until all ongoing patients experience a recurrence of low-grade intermediate risk NMIBC; progression; death; loss to follow-up; or reach 63 months after the first instillation as planned in the protocol, or until the study ends,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began promotion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 the United States in late June 2025. We initiated a strategic, multi-faceted approach to promote broad adoption and patient access to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leveraging our customer-facing team of territory business managers, regional business directors, regional operations managers, clinical nurse educators and field reimbursement managers.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is now broadly accessible to patients through commercial, Medicare, and Medicaid insurance programs, with open access for more than 95% of covered lives and approximately 296 million eligible patients. In October 2025,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was assigned a unique, permanent Healthcare Common Procedure Coding System (“HCPCS”) J-code (J9282) by CMS. The J-code became effective on January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July 2026, we announced that we received a Notice of Allowance from the U.S. Patent and Trademark Office for a new U.S. patent covering methods of treating recurrent low-grade intermediate risk NMIBC without TURBT, supported by data from the ENVISION and ATLAS clinical trials. Once issued, the patent is expected to provide protection into July 2044, further strengthening the intellectual property supporting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and UGN-103, if approved, and reinforcing the long-term commercial opportunity for both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UGN-103 (mitomycin) for intravesical solution and UGN-104 (mitomycin) for pyelocalyceal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January 2024, we entered into a licensing and supply agreement with medac Gesellschaft für klinische Spezialpräparate m.b.H. (“medac”) to develop UGN-103 and UGN-104, which are next-generation investigational formulations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respectively, that combine medac’s proprietary 80 mg mitomycin formulation with our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technology, which we believe will provide advantages related to production, cost, supply and product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April 2024, we announced that the FDA accepted our Investigational New Drug Application (“IND”) for UGN-103 and we initiated our Phase 3 UTOPIA trial, a single-arm, multicenter study evaluating the efficacy and safety of UGN-103 in patients with recurrent low-grade intermediate risk NMIBC. In October 2024, we announced the first patient dosed in the UTOPIA trial, and in July 2025, we announced the completion of patient enrollment with 99 patients enrolled across multiple centers globally. Patients in the UTOPIA trial received 75 mg of mitomycin via intravesical instillation once a week for six weeks. Efficacy was assessed by the CR rate at the three-month visit. Patients who had a CR at the three-month visit, defined as having no detectable disease in the bladder, entered the follow-up period of the study. Patients will remain on study until disease recurrence, disease progression, death, or the last patient completes 12 months of follow-up (i.e., 15 months after the first instillation), whichever occurs first. A long-term follow up study will also be conducted following patients remaining in CR for up to five years after achieving CR at three months. In November 2025, we reported a three-month CR rate of 77.8% (95% CI, 68.3%, 85.5%), and in May 2026 reported six-month DOR by Kaplan-Meier estimate of 94.5% (95% CI: 86.1%, 97.9%), consistent with results from the ENVISION clinical trial. The FDA agreed with the regulatory plan to submit an NDA based on the data from our Phase 3 UTOPIA trial to support potential approval of UGN-103. We remain on track to submit an NDA for UGN-103 in the third quarter of 2026, with potential FDA approval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February 2025, the FDA accepted our IND for UGN-104, and we initiated a Phase 3 trial of UGN-104 in low-grade UTUC in June 2025. We expect to complete enrollment in the Phase 3 trial of UGN-104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UGN-501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pipeline also includes UGN-501, our investigational next-generation oncolytic virus therapy being developed as a locally administered treatment for cancer, for which we plan to initiate a Phase 1 clinical trial in NMIBC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High-grade NMIBC is a highly aggressive form of bladder cancer. TURBT followed by adjuvant intravesical immunotherapy with Bacillus of Calmette and Guerin ("BCG") is the current standard of care therapy for high-grade NMIBC. However, the high rates of recurrence and significant risk of progression to muscle-invasive tumors are particularly dangerous. Radical cystectomy, or bladder removal is strongly advocated in patients with BCG-unresponsive NMIBC (i.e., patients with BCG-refractory and BCG-relapsing tumors in whom further BCG therapy is not recommended) or for patients who cannot tolerate BCG.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February 2025, we acquired ICVB-1042 (now known as UGN-501). UGN-501 is a potent and fast-replicating investigational next generation oncolytic virus being developed as a locally administered cancer treatment. Nonclinical data to date support the potential of UGN-501 to be a best-in-class oncolytic virus, with cytotoxic activity observed across a panel of bladder cancer cell lines representing a broad range of tumor stages and grades. In July 2026, we announced that the FDA had cleared our IND for UGN-501, enabling the initiation of a Phase 1 clinical trial in patients with NMIBC. The Phase 1 trial will initially evaluate aqueous intravesical administration of UGN-501, and we plan to subsequently evaluate delivery using our proprietary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xml:space="preserve"> technology, which may enable prolonged dwell time and enhanced local activity. The initial focus is bladder cancer with the potential to expand into additional tumor types beyond the genitourinary system. The Phase 1 study is expected to begin in the fourth quarter of 2026 and will evaluate the safety, tolerability, and feasibility of intravesical administration of UGN-501.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UGN-301 (zalifrelimab) intravesical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immuno-uro-oncology pipeline previously included UGN-301, an anti-CTLA-4 monoclonal antibody, which we studied as a combination therapy with multiple agents. UGN-301 was delivered using our proprietary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technology, which has been designed to significantly improve the effectiveness of certain intravesical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March 2022, we announced FDA clearance of our IND to begin a novel Phase 1 clinical trial of UGN-301 in patients with recurrent NMIBC. The multi-arm Phase 1 study, which was expected to support the development of UGN-301 in high-grade NMIBC, was initiated in April 2022 and enrollment in the study was completed. Safety and dosing data from the first arm evaluating UGN-301 as monotherapy were presented in late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November 2025, we made the decision to discontinue development of UGN-301 based on our strategic priorities and provided Agenus, Inc. ("Agenus") notice of termination of the license agreement. Under the terms of the license agreement, following notice of termination, the agreement will terminate upon the later of (a) the expiration of a 180-day notice period; or (b) completion of all wind-down activities and delivery of all Agenus Improvements (as defined in the license agreement) to Agenus.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While the Phase 1 clinical trial of UGN-301 confirmed proof of concept for our proprietary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technology as a viable platform for local delivery of complex immunotherapies, UGN-301’s overall clinical profile did not meet our internal benchmarks for advancement to Phase 2. The program achieved key proof of concept objectives, including sustained bladder exposure with minimal systemic absorption and an acceptable safety and tolerability profile, demonstrating the ability to mitigate CTLA-4–related toxicities, and encouraging efficacy signals. These findings further reinforce the versatility and potential of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technology to enable localized delivery of immunotherapy candidates. We do not expect to incur significant additional costs related to this program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License Agreement and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Agenus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November 2019, we entered into a license agreement with Agenus, pursuant to which Agenus granted us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In November 2025, we provided notice to terminate the license agreement with Agenus in connection with our decision to discontinue development of UGN-301. Under the terms of the license agreement, following notice of termination, the agreement will terminate upon the later of (a) the expiration of a 180-day notice period; or (b) completion of all wind-down activities and delivery of all Agenus Improvements (as defined in the license agreement) to Agenus. We do not expect to incur significant additional costs related to this program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IconOVir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February 14, 2025 (the “APA Closing Date”), we entered into an asset purchase agreement (the “IconOVir Agreement”) with IconOVir Bio, Inc. (“IconOVir”), pursuant to which we purchased and acquired certain assets of IconOVir (the “Transferred Assets”), including UGN-501 (formerly ICVB-1042) and certain contracts, intellectual property rights, regulatory applications, submissions and registrations, and data and other rights related thereto, and assumed certain liabilities and obligations of IconOVir arising under certain contracts of IconOVir acquired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consideration for the Transferred Assets and subject to the terms and conditions of the IconOVir Agreement, we (i) issued 374,843 of our ordinary shares to IconOVir, which represented a purchase price of $4.0 million divided by the volume-weighted average closing price of our ordinary shares on The Nasdaq Stock Market over the 30 consecutive trading days ending on (and including) the trading day immediately prior to the APA Closing Date, (ii) agreed to pay IconOVir a one-time payment of $15.0 million in cash upon the achievement of a cumulative aggregate worldwide net sales milestone for all products, including combination products, that incorporate or comprise ICVB-1042 (“ICVB Products”), (iii) agreed to pay IconOVir a low, single-digit percentage royalty, on an ICVB Product-by-ICVB Product basis, on the annual, worldwide net sales of such ICVB Product during the royalty term, subject to certain reductions as set forth in the IconOVir Agreement, and (iv) agreed to assume certain immaterial liabilities arising under certain acquired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Pursuant to the IconOVir Agreement, from the APA Closing Date until the earlier of the 10th anniversary of the APA Closing Date and the first commercial sale of any ICVB Product in any jurisdiction, we agreed to use commercially reasonable efforts to develop and commercialize one ICVB Product. The IconOVir Agreement contains customary representations, warranties and covenants of the parties and also provides for customary indemnification rights of us and IconOVir related to breaches of certain representations, warranties and covenants of the other party and certain assumed liabilities or excluded liabilities and excluded assets,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Components of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During the three and six months ended June 30, 2026, we recognized $72.5 million and $123.4 million of revenue, respectively, from sales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Cost of revenue consists primarily of inventory and related costs associated with the manufacturing, distribution, warehousing and preparation of </w:t>
      </w:r>
      <w:r>
        <w:rPr>
          <w:rFonts w:ascii="Arial;Helvetica;sans-serif" w:hAnsi="Arial;Helvetica;sans-serif"/>
          <w:i/>
          <w:caps w:val="false"/>
          <w:smallCaps w:val="false"/>
          <w:sz w:val="20"/>
        </w:rPr>
        <w:t xml:space="preserve">Jelmyto </w:t>
      </w:r>
      <w:r>
        <w:rPr>
          <w:rFonts w:ascii="Arial;Helvetica;sans-serif" w:hAnsi="Arial;Helvetica;sans-serif"/>
          <w:caps w:val="false"/>
          <w:smallCaps w:val="false"/>
          <w:sz w:val="20"/>
        </w:rPr>
        <w:t xml:space="preserve">and </w:t>
      </w:r>
      <w:r>
        <w:rPr>
          <w:rFonts w:ascii="Arial;Helvetica;sans-serif" w:hAnsi="Arial;Helvetica;sans-serif"/>
          <w:i/>
          <w:caps w:val="false"/>
          <w:smallCaps w:val="false"/>
          <w:sz w:val="20"/>
        </w:rPr>
        <w:t>Zusduri, </w:t>
      </w:r>
      <w:r>
        <w:rPr>
          <w:rFonts w:ascii="Arial;Helvetica;sans-serif" w:hAnsi="Arial;Helvetica;sans-serif"/>
          <w:caps w:val="false"/>
          <w:smallCaps w:val="false"/>
          <w:sz w:val="20"/>
        </w:rPr>
        <w:t xml:space="preserve">including inventory write-downs. In periods prior to receiving FDA approval for </w:t>
      </w:r>
      <w:r>
        <w:rPr>
          <w:rFonts w:ascii="Arial;Helvetica;sans-serif" w:hAnsi="Arial;Helvetica;sans-serif"/>
          <w:i/>
          <w:caps w:val="false"/>
          <w:smallCaps w:val="false"/>
          <w:sz w:val="20"/>
        </w:rPr>
        <w:t xml:space="preserve">Jelmyto </w:t>
      </w:r>
      <w:r>
        <w:rPr>
          <w:rFonts w:ascii="Arial;Helvetica;sans-serif" w:hAnsi="Arial;Helvetica;sans-serif"/>
          <w:caps w:val="false"/>
          <w:smallCaps w:val="false"/>
          <w:sz w:val="20"/>
        </w:rPr>
        <w:t xml:space="preserve">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we recognized inventory and related manufacturing costs as 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expenses, net consists primarily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salaries and related costs, including share-based compensation expense, for our personnel in research and development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expense incurred under agreements with third parties, including clinical research organizations (“CROs”), subcontractors, suppliers and consultants, nonclinical studies and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10"/>
        <w:gridCol w:w="85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expense incurred to acquire, develop and manufacture nonclinical study and clinical trial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expense incurred to purchase active pharmaceutical ingredients (“APIs”) in support of R&amp;D activities and other related manufacturing costs;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facility and equipment costs, including depreciation expense, maintenance and allocated direct and indirect overhead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manage and prioritize our research and development expenses based on scientific data, probability of successful technical development and regulatory approval, market potential and unmet medical need, available human and capital resources and other considerations. We regularly review our research and development activities and, as necessary, reallocate resources among our programs, product candidates and external opportunities that we believe will best support the long-term growth of our business. We do not track total research and development expenses by program, product candidate, or development phase.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a breakout of expenses by major cost type:</w:t>
      </w:r>
    </w:p>
    <w:p>
      <w:pPr>
        <w:pStyle w:val="TextBody"/>
        <w:bidi w:val="0"/>
        <w:spacing w:before="0" w:after="0"/>
        <w:ind w:left="0" w:right="0" w:hanging="0"/>
        <w:jc w:val="left"/>
        <w:rPr>
          <w:caps w:val="false"/>
          <w:smallCaps w:val="false"/>
        </w:rPr>
      </w:pPr>
      <w:r>
        <w:rPr>
          <w:caps w:val="false"/>
          <w:smallCaps w:val="false"/>
        </w:rPr>
        <w:t> </w:t>
      </w:r>
    </w:p>
    <w:tbl>
      <w:tblPr>
        <w:tblW w:w="7928" w:type="dxa"/>
        <w:jc w:val="left"/>
        <w:tblInd w:w="0" w:type="dxa"/>
        <w:tblLayout w:type="fixed"/>
        <w:tblCellMar>
          <w:top w:w="0" w:type="dxa"/>
          <w:left w:w="0" w:type="dxa"/>
          <w:bottom w:w="0" w:type="dxa"/>
          <w:right w:w="0" w:type="dxa"/>
        </w:tblCellMar>
      </w:tblPr>
      <w:tblGrid>
        <w:gridCol w:w="5240"/>
        <w:gridCol w:w="60"/>
        <w:gridCol w:w="203"/>
        <w:gridCol w:w="984"/>
        <w:gridCol w:w="97"/>
        <w:gridCol w:w="97"/>
        <w:gridCol w:w="203"/>
        <w:gridCol w:w="984"/>
        <w:gridCol w:w="60"/>
      </w:tblGrid>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8"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Personnel, facility and equipment, and other overhead costs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10,185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9,731</w:t>
            </w:r>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Clinical and other development costs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22,748</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29,054</w:t>
            </w:r>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32,933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38,785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See Note 20 to our condensed consolidated financial statements appearing elsewhere in this Quarterly Report for additional disaggregation of significant research and development expenses. We expense all research and development costs as incurred. We estimate nonclinical study and clinical trial expense based on the services performed pursuant to contracts with research institutions and contract research organizations that conduct and manage nonclinical studies and clinical trials on our behalf based on actual time and expense incurred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recognize costs incurred as the services are being provided by monitoring the status of the trial or project and the invoices received from our external service providers. We adjust our accrual as actual costs become known. Where at risk contingent milestone payments are due to third parties under research and development and collaboration agreements, the milestone payment obligations are expensed when such development milestone results are probable of being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future research and development expenses will depend on the clinical success of our product candidates. As we continue to focus on advancing our product candidates, we expect research and development expenses to continue to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do not believe that it is possible at this time to accurately project total expenses required for us to reach commercialization of our product candidates. Due to the inherently unpredictable nature of nonclinical and clinical development, we are unable to estimate with certainty the costs we will incur and the timelines that will be required in the continued development and approval of our product candidates. Clinical and nonclinical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 We expect our research and development expenses to increase over the next several years as our clinical programs progress and as we seek to initiate clinical trials of additional product candidates. We also expect to incur increased research and development expenses as we selectively identify and develop additional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duration, costs and timing of clinical trials and development of our product candidates will depend on a variety of factors that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110"/>
        <w:gridCol w:w="1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1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per patient trial costs;</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10"/>
        <w:gridCol w:w="44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number of patients that participate in the trials;</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10"/>
        <w:gridCol w:w="3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number of sites included in the trials;</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60"/>
        <w:gridCol w:w="110"/>
        <w:gridCol w:w="40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countries in which the trials are conducted;</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60"/>
        <w:gridCol w:w="110"/>
        <w:gridCol w:w="45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length of time required to enroll eligible patients;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110"/>
        <w:gridCol w:w="36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9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number of doses that patients receive;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10"/>
        <w:gridCol w:w="41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drop-out or discontinuation rates of patients;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10"/>
        <w:gridCol w:w="7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1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potential additional safety monitoring or other studies requested by regulatory agencies;</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10"/>
        <w:gridCol w:w="3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duration of patient follow-up; and</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10"/>
        <w:gridCol w:w="49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efficacy and safety profile of the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License fees and development milestone payments related to in-licensed products and technology are expensed as incurred, or achieved in the case of milestones, if it is determined at that point that they have no established alternative future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To date, selling and marketing expenses consist primarily of commercial personnel costs (including share-based compensation) along with commercialization activities related to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 expenses consist primarily of personnel costs (including share-based compensation related to directors, executives, finance, medical affairs, business development, investor relations, and human resource functions). Other significant costs include medical affairs services, external professional service costs, facility costs, accounting and audit services, legal services, and other consulting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Financing on Prepaid Forward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 is comprised of financing expenses related to the transaction with RTW Investments ("RTW") (see Note 9 to our condensed consolidated financial statements appearing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is comprised of interest related to our long-term debt with Pharmakon Advisors, L.P. ("Pharmakon") (see Note 10 to our condensed consolidated financial statements appearing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 consisted primarily of interest income, net losses on foreign exchange and bank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have yet to generate taxable income in Israel. We have historically incurred operating losses resulting in carry forward tax losses totaling approximately $626.7 million as of December 31, 2025. We anticipate that we will continue to generate tax losses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 Income tax expense also consists of our estimate of uncertain tax positions, and related interest and penalties. See Note 17 to our condensed consolidated financial statements appearing elsewhere in this Quarterly Report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preparation of our unaudited condensed consolidated financial statements requires us to make estimates, judgments and assumptions that affect the reported amounts of assets and liabilities, disclosure of contingent assets and liabilities, and the revenue and expense incurred during the reported periods. In accordance with U.S. generally accepted accounting principles, we base our estimates on historical experience and on various other factors that we believe are reasonable under the circumstances at the time such estimates are made. Actual results may differ from these estimates under different assumptions or conditions. We discussed the critical accounting policies used in the preparation of our financial statements in </w:t>
      </w:r>
      <w:r>
        <w:rPr>
          <w:rFonts w:ascii="Arial;Helvetica;sans-serif" w:hAnsi="Arial;Helvetica;sans-serif"/>
          <w:i/>
          <w:caps w:val="false"/>
          <w:smallCaps w:val="false"/>
          <w:sz w:val="20"/>
        </w:rPr>
        <w:t>Management</w:t>
      </w:r>
      <w:r>
        <w:rPr>
          <w:rFonts w:ascii="Arial;Helvetica;sans-serif" w:hAnsi="Arial;Helvetica;sans-serif"/>
          <w:caps w:val="false"/>
          <w:smallCaps w:val="false"/>
          <w:sz w:val="20"/>
        </w:rPr>
        <w:t>’</w:t>
      </w:r>
      <w:r>
        <w:rPr>
          <w:rFonts w:ascii="Arial;Helvetica;sans-serif" w:hAnsi="Arial;Helvetica;sans-serif"/>
          <w:i/>
          <w:caps w:val="false"/>
          <w:smallCaps w:val="false"/>
          <w:sz w:val="20"/>
        </w:rPr>
        <w:t>s Discussion and Analysis of Financial Condition and Results of Operations</w:t>
      </w:r>
      <w:r>
        <w:rPr>
          <w:rFonts w:ascii="Arial;Helvetica;sans-serif" w:hAnsi="Arial;Helvetica;sans-serif"/>
          <w:caps w:val="false"/>
          <w:smallCaps w:val="false"/>
          <w:sz w:val="20"/>
        </w:rPr>
        <w:t xml:space="preserve"> included in our Annual Report as well as in the Note 3 to the condensed consolidated financial statements included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our results of operations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323" w:type="dxa"/>
        <w:jc w:val="left"/>
        <w:tblInd w:w="0" w:type="dxa"/>
        <w:tblLayout w:type="fixed"/>
        <w:tblCellMar>
          <w:top w:w="0" w:type="dxa"/>
          <w:left w:w="0" w:type="dxa"/>
          <w:bottom w:w="0" w:type="dxa"/>
          <w:right w:w="0" w:type="dxa"/>
        </w:tblCellMar>
      </w:tblPr>
      <w:tblGrid>
        <w:gridCol w:w="3395"/>
        <w:gridCol w:w="60"/>
        <w:gridCol w:w="134"/>
        <w:gridCol w:w="717"/>
        <w:gridCol w:w="86"/>
        <w:gridCol w:w="64"/>
        <w:gridCol w:w="134"/>
        <w:gridCol w:w="717"/>
        <w:gridCol w:w="86"/>
        <w:gridCol w:w="64"/>
        <w:gridCol w:w="134"/>
        <w:gridCol w:w="652"/>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8" w:type="dxa"/>
            <w:gridSpan w:val="1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72,456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24,215</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48,241</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6,572</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3,550</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3,022</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65,884</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20,665</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45,219</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17,336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18,914</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(1,578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32,918</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27,859</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5,059</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15,519</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15,340</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179</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65,773</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62,113</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(41,448</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41,559</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(4,545</w:t>
            </w:r>
          </w:p>
        </w:tc>
        <w:tc>
          <w:tcPr>
            <w:tcW w:w="8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(4,644</w:t>
            </w:r>
          </w:p>
        </w:tc>
        <w:tc>
          <w:tcPr>
            <w:tcW w:w="8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 on long-term debt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(4,887</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(4,132</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(755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599</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1,299</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(700</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(8,722</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(48,925</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40,203</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(5,629</w:t>
            </w:r>
          </w:p>
        </w:tc>
        <w:tc>
          <w:tcPr>
            <w:tcW w:w="8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(1,015</w:t>
            </w:r>
          </w:p>
        </w:tc>
        <w:tc>
          <w:tcPr>
            <w:tcW w:w="8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(4,614</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(14,351</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(49,940</w:t>
            </w:r>
          </w:p>
        </w:tc>
        <w:tc>
          <w:tcPr>
            <w:tcW w:w="8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35,589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 was $72.5 million and $24.2 million for the three months ended June 30, 2026 and 2025, respectively. The increase in revenue of $48.3 million primarily reflects the volume of sales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which was launched late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 was $6.6 million and $3.6 million for the three months ended June 30, 2026 and 2025, respectively. The increase in cost of revenue of $3.0 million is primarily attributable to increased sales volumes, partially offset given that in periods prior to receiving FDA approval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we recognized inventory and related costs associated with the manufacture of </w:t>
      </w:r>
      <w:r>
        <w:rPr>
          <w:rFonts w:ascii="Arial;Helvetica;sans-serif" w:hAnsi="Arial;Helvetica;sans-serif"/>
          <w:i/>
          <w:caps w:val="false"/>
          <w:smallCaps w:val="false"/>
          <w:sz w:val="20"/>
        </w:rPr>
        <w:t>Zusduri </w:t>
      </w:r>
      <w:r>
        <w:rPr>
          <w:rFonts w:ascii="Arial;Helvetica;sans-serif" w:hAnsi="Arial;Helvetica;sans-serif"/>
          <w:caps w:val="false"/>
          <w:smallCaps w:val="false"/>
          <w:sz w:val="20"/>
        </w:rPr>
        <w:t xml:space="preserve">as research and development expenses. We expect this to continue to favorably impact cost of revenue into early 2027 as we deplete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inventories that we expensed prior to receiving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Research and development expenses were $17.3 million and $18.9 million for the three months ended June 30, 2026 and 2025, respectively. The decrease in research and development expenses of $1.6 million is primarily attributable to costs related to manufacturing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which were recognized as research and development expenses prior to receiving FDA approval in June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and marketing expenses were $32.9 milli</w:t>
      </w:r>
      <w:r>
        <w:rPr>
          <w:rFonts w:ascii="Arial;Helvetica;sans-serif" w:hAnsi="Arial;Helvetica;sans-serif"/>
          <w:caps w:val="false"/>
          <w:smallCaps w:val="false"/>
          <w:sz w:val="20"/>
          <w:shd w:fill="FFFFFF" w:val="clear"/>
        </w:rPr>
        <w:t xml:space="preserve">on and $27.9 million for the three months ended </w:t>
      </w:r>
      <w:r>
        <w:rPr>
          <w:rFonts w:ascii="Arial;Helvetica;sans-serif" w:hAnsi="Arial;Helvetica;sans-serif"/>
          <w:caps w:val="false"/>
          <w:smallCaps w:val="false"/>
          <w:sz w:val="20"/>
        </w:rPr>
        <w:t>June 30, 2026 and 2025</w:t>
      </w:r>
      <w:r>
        <w:rPr>
          <w:rFonts w:ascii="Arial;Helvetica;sans-serif" w:hAnsi="Arial;Helvetica;sans-serif"/>
          <w:caps w:val="false"/>
          <w:smallCaps w:val="false"/>
          <w:sz w:val="20"/>
          <w:shd w:fill="FFFFFF" w:val="clear"/>
        </w:rPr>
        <w:t xml:space="preserve">, respectively. The increase in selling and marketing expenses of $5.0 million is primarily attributable to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commercial activities, including expansion of the sales force and higher brand marketing expenses, as well as an increase in overall commercial operation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General and </w:t>
      </w:r>
      <w:r>
        <w:rPr>
          <w:rFonts w:ascii="Arial;Helvetica;sans-serif" w:hAnsi="Arial;Helvetica;sans-serif"/>
          <w:caps w:val="false"/>
          <w:smallCaps w:val="false"/>
          <w:sz w:val="20"/>
          <w:shd w:fill="FFFFFF" w:val="clear"/>
        </w:rPr>
        <w:t xml:space="preserve">administrative expenses were $15.5 million and $15.3 million for the three months ended </w:t>
      </w:r>
      <w:r>
        <w:rPr>
          <w:rFonts w:ascii="Arial;Helvetica;sans-serif" w:hAnsi="Arial;Helvetica;sans-serif"/>
          <w:caps w:val="false"/>
          <w:smallCaps w:val="false"/>
          <w:sz w:val="20"/>
        </w:rPr>
        <w:t>June 30, 2026 and 2025</w:t>
      </w:r>
      <w:r>
        <w:rPr>
          <w:rFonts w:ascii="Arial;Helvetica;sans-serif" w:hAnsi="Arial;Helvetica;sans-serif"/>
          <w:caps w:val="false"/>
          <w:smallCaps w:val="false"/>
          <w:sz w:val="20"/>
          <w:shd w:fill="FFFFFF" w:val="clear"/>
        </w:rPr>
        <w:t>, respectively. </w:t>
      </w:r>
      <w:r>
        <w:rPr>
          <w:rFonts w:ascii="Arial;Helvetica;sans-serif" w:hAnsi="Arial;Helvetica;sans-serif"/>
          <w:caps w:val="false"/>
          <w:smallCaps w:val="false"/>
          <w:sz w:val="20"/>
        </w:rPr>
        <w:t>The increase in general and administrative expenses of $0.2 million is primarily attributable to slightly higher spending on third-party 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Financing on Prepaid Forward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 was $4.5 million and $4.6 million for the three months ended June 30, 2026 and 2025, respectively. The measurement of financing on prepaid forward obligation is an accounting estimate under the "imputed interest method" of accounting (see Note 3 to our condensed consolidated financial statements appearing elsewhere in this Quarterly Report) which is affected by estimated future payments to RTW, which are based on a percentage of revenues. The decrease in financing on prepaid forward obligation of $0.1 million was driven primarily by changes in underlying assumptions for remeasuring the effective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Interest Expense on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was $4.9 million and $4.1 million for the three months ended June 30, 2026 and 2025, respectively. The increase in interest expense was primarily attributable to the additional borrowings of $75.0 million in connection with the Pharmakon refinancing of long-term debt in 2026, partially offset by a lower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Interest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 was $0.6 million and $1.3 million for the three months ended June 30, 2026 and 2025, respectively. The decrease in interest and other income, net was primarily due to lower cash and investment balances.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our results of operations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3395"/>
        <w:gridCol w:w="60"/>
        <w:gridCol w:w="125"/>
        <w:gridCol w:w="710"/>
        <w:gridCol w:w="80"/>
        <w:gridCol w:w="60"/>
        <w:gridCol w:w="125"/>
        <w:gridCol w:w="710"/>
        <w:gridCol w:w="80"/>
        <w:gridCol w:w="60"/>
        <w:gridCol w:w="125"/>
        <w:gridCol w:w="605"/>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0" w:type="dxa"/>
            <w:gridSpan w:val="1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78,946</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4,831</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74,115</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(5,852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15,072</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6,685</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116,951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15,905</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(20,152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(78,362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58,210</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(9,051</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(9,227</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176</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(9,072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(8,200</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(872</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(2,206</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(37,068</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(92,376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55,308</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(857</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(1,407</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(37,925</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(93,783</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55,858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 was $123.4 million and $44.5 million for the six months ended June 30, 2026 and 2025, respectively. The increase in revenue of $78.9 million primarily reflects the volume of sales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which was launched late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 was $10.7 million and $5.9 million for the six months ended June 30, 2026 and 2025, respectively. The increase in cost of revenue of $4.8 million is primarily attributable to increased sales volumes, partially offset given that in periods prior to receiving FDA approval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we recognized inventory and related costs associated with the manufacture of </w:t>
      </w:r>
      <w:r>
        <w:rPr>
          <w:rFonts w:ascii="Arial;Helvetica;sans-serif" w:hAnsi="Arial;Helvetica;sans-serif"/>
          <w:i/>
          <w:caps w:val="false"/>
          <w:smallCaps w:val="false"/>
          <w:sz w:val="20"/>
        </w:rPr>
        <w:t>Zusduri </w:t>
      </w:r>
      <w:r>
        <w:rPr>
          <w:rFonts w:ascii="Arial;Helvetica;sans-serif" w:hAnsi="Arial;Helvetica;sans-serif"/>
          <w:caps w:val="false"/>
          <w:smallCaps w:val="false"/>
          <w:sz w:val="20"/>
        </w:rPr>
        <w:t xml:space="preserve">as research and development expenses. We expect this to continue to favorably impact cost of revenue into early 2027 as we deplete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inventories that we expensed prior to receiving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Research and development expenses were $32.9 million and $38.8 million for the six months ended June 30, 2026 and 2025, respectively. The decrease in research and development expenses of $5.9 million is primarily attributable to the acquisition of UGN-501 in the first quarter of 2025, as well as the costs related to manufacturing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which were recognized as research and development expenses in the first quarter of 2025 prior to receiving FDA approval in June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and marketing expenses were $65.1 milli</w:t>
      </w:r>
      <w:r>
        <w:rPr>
          <w:rFonts w:ascii="Arial;Helvetica;sans-serif" w:hAnsi="Arial;Helvetica;sans-serif"/>
          <w:caps w:val="false"/>
          <w:smallCaps w:val="false"/>
          <w:sz w:val="20"/>
          <w:shd w:fill="FFFFFF" w:val="clear"/>
        </w:rPr>
        <w:t xml:space="preserve">on and $50.0 million for the </w:t>
      </w:r>
      <w:r>
        <w:rPr>
          <w:rFonts w:ascii="Arial;Helvetica;sans-serif" w:hAnsi="Arial;Helvetica;sans-serif"/>
          <w:caps w:val="false"/>
          <w:smallCaps w:val="false"/>
          <w:sz w:val="20"/>
        </w:rPr>
        <w:t>six</w:t>
      </w:r>
      <w:r>
        <w:rPr>
          <w:rFonts w:ascii="Arial;Helvetica;sans-serif" w:hAnsi="Arial;Helvetica;sans-serif"/>
          <w:caps w:val="false"/>
          <w:smallCaps w:val="false"/>
          <w:sz w:val="20"/>
          <w:shd w:fill="FFFFFF" w:val="clear"/>
        </w:rPr>
        <w:t xml:space="preserve"> months ended </w:t>
      </w:r>
      <w:r>
        <w:rPr>
          <w:rFonts w:ascii="Arial;Helvetica;sans-serif" w:hAnsi="Arial;Helvetica;sans-serif"/>
          <w:caps w:val="false"/>
          <w:smallCaps w:val="false"/>
          <w:sz w:val="20"/>
        </w:rPr>
        <w:t>June 30, 2026 and 2025</w:t>
      </w:r>
      <w:r>
        <w:rPr>
          <w:rFonts w:ascii="Arial;Helvetica;sans-serif" w:hAnsi="Arial;Helvetica;sans-serif"/>
          <w:caps w:val="false"/>
          <w:smallCaps w:val="false"/>
          <w:sz w:val="20"/>
          <w:shd w:fill="FFFFFF" w:val="clear"/>
        </w:rPr>
        <w:t xml:space="preserve">, respectively. The increase in selling and marketing expenses of $15.1 million is primarily attributable to </w:t>
      </w:r>
      <w:r>
        <w:rPr>
          <w:rFonts w:ascii="Arial;Helvetica;sans-serif" w:hAnsi="Arial;Helvetica;sans-serif"/>
          <w:i/>
          <w:caps w:val="false"/>
          <w:smallCaps w:val="false"/>
          <w:sz w:val="20"/>
        </w:rPr>
        <w:t xml:space="preserve">Zusduri </w:t>
      </w:r>
      <w:r>
        <w:rPr>
          <w:rFonts w:ascii="Arial;Helvetica;sans-serif" w:hAnsi="Arial;Helvetica;sans-serif"/>
          <w:caps w:val="false"/>
          <w:smallCaps w:val="false"/>
          <w:sz w:val="20"/>
        </w:rPr>
        <w:t>commercial activities, including expansion of the sales force and higher brand marketing expenses, as well as an increase in overall commercial operation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General and </w:t>
      </w:r>
      <w:r>
        <w:rPr>
          <w:rFonts w:ascii="Arial;Helvetica;sans-serif" w:hAnsi="Arial;Helvetica;sans-serif"/>
          <w:caps w:val="false"/>
          <w:smallCaps w:val="false"/>
          <w:sz w:val="20"/>
          <w:shd w:fill="FFFFFF" w:val="clear"/>
        </w:rPr>
        <w:t xml:space="preserve">administrative expenses were $34.9 million and $28.2 million for the </w:t>
      </w:r>
      <w:r>
        <w:rPr>
          <w:rFonts w:ascii="Arial;Helvetica;sans-serif" w:hAnsi="Arial;Helvetica;sans-serif"/>
          <w:caps w:val="false"/>
          <w:smallCaps w:val="false"/>
          <w:sz w:val="20"/>
        </w:rPr>
        <w:t>six</w:t>
      </w:r>
      <w:r>
        <w:rPr>
          <w:rFonts w:ascii="Arial;Helvetica;sans-serif" w:hAnsi="Arial;Helvetica;sans-serif"/>
          <w:caps w:val="false"/>
          <w:smallCaps w:val="false"/>
          <w:sz w:val="20"/>
          <w:shd w:fill="FFFFFF" w:val="clear"/>
        </w:rPr>
        <w:t xml:space="preserve"> months ended </w:t>
      </w:r>
      <w:r>
        <w:rPr>
          <w:rFonts w:ascii="Arial;Helvetica;sans-serif" w:hAnsi="Arial;Helvetica;sans-serif"/>
          <w:caps w:val="false"/>
          <w:smallCaps w:val="false"/>
          <w:sz w:val="20"/>
        </w:rPr>
        <w:t>June 30, 2026 and 2025</w:t>
      </w:r>
      <w:r>
        <w:rPr>
          <w:rFonts w:ascii="Arial;Helvetica;sans-serif" w:hAnsi="Arial;Helvetica;sans-serif"/>
          <w:caps w:val="false"/>
          <w:smallCaps w:val="false"/>
          <w:sz w:val="20"/>
          <w:shd w:fill="FFFFFF" w:val="clear"/>
        </w:rPr>
        <w:t>, respectively. </w:t>
      </w:r>
      <w:r>
        <w:rPr>
          <w:rFonts w:ascii="Arial;Helvetica;sans-serif" w:hAnsi="Arial;Helvetica;sans-serif"/>
          <w:caps w:val="false"/>
          <w:smallCaps w:val="false"/>
          <w:sz w:val="20"/>
        </w:rPr>
        <w:t>The increase in general and administrative expenses of $6.7 million is primarily attributable to higher compensation expenses, increased spending on third-party advisory services, including fees recognized in the first quarter of 2026 associated with the debt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Financing on Prepaid Forward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on prepaid forward obligation was $9.1 million and $9.2 million for the six months ended June 30, 2026 and 2025, respectively. The measurement of financing on prepaid forward obligation is an accounting estimate under the "imputed interest method" of accounting (see Note 3 to our condensed consolidated financial statements appearing elsewhere in this Quarterly Report) which is affected by estimated future payments to RTW, which are based on a percentage of revenues. The decrease in financing on prepaid forward obligation of $0.1 million was driven primarily by changes in underlying assumptions for remeasuring the effective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Interest Expense on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was $9.1 million and $8.2 million for the six months ended June 30, 2026 and 2025, respectively. The increase in interest expense was primarily attributable to the additional borrowings of $75.0 million in the first quarter of 2026 in connection with the Pharmakon refinancing of long-term debt, partially offset by a lower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Interest and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and other income, net was $1.2 million and $3.4 million for the six months ended June 30, 2026 and 2025, respectively. The decrease in interest and other income, net was primarily due to lower cash and investment balances.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 of June 30, 2026, we had $108.0 million in cash and cash equivalents and marketable securities. Cash in excess of immediate requirements is invested in accordance with our investment policy, primarily with a view to liquidity and capital preservation, and is held primarily in U.S. dollars.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Through June 30, 2026, we funded our operations primarily through public equity offerings, private placements of equity securities and our funding arrangements with RTW and Pharmakon, and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ATM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December 2019, we entered into a sales agreement (the “ATM Sales Agreement”) with TD Securities (USA) LLC (f/k/a Cowen and Company, LLC) (“TD Cowen”), pursuant to which we were able to from time to time offer and sell our ordinary shares having an aggregate offering price of up to $100.0 million, to or through TD Cowen, acting as sales agent or principal, in any manner deemed to be an “at-the-market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During the first quarter of 2024, we sold 3,400,468 ordinary shares under the ATM Sales Agreement for net proceeds to us of approximately $54.7 million after deducting sales commissions to TD Cowen of up to 3%. During the third quarter of 2025, we sold 416,248 ordinary shares under the ATM Sales Agreement for net proceeds to us of approximately $8.0 million after deducting sales commissions to TD Cowen of up to 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November 2025, we amended the ATM Sales Agreement to remove the aggregate offering price limit of $100.0 million and filed a registration statement on Form S-3 providing for the offer and sale of ordinary shares pursuant to the ATM Sales Agreement having an aggregate offering price of up to $75.0 million, which became effective automatically (the “ATM Prospectus”). Following the amendment, during the fourth quarter of 2025, we sold 1,370,962 ordinary shares pursuant to the ATM Prospectus for net proceeds to us of approximately $31.8 million after deducting sales commissions to TD Cowen of up to 3%. As of June 30, 2026, the remaining capacity under the ATM Prospectus was approximately $42.4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Prepaid Forward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March 2021, we entered into a prepaid forward agreement with RTW (the “RTW Transaction”), pursuant to which RTW agreed to provide us with an upfront cash payment of $75.0 million to support the launch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the development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and we agreed to provide RTW with tiered future payments based on global annual net product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subject to FDA approval, UGN-103 and UGN-104. In May 2021, following the receipt of necessary regulatory approvals, we received the $75.0 million prepaid forward payment ($72.4 million net of transaction costs) from RTW.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Pharmakon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7, 2022, we entered into a loan agreement with Pharmakon (the “2022 Loan Agreement”) for a senior secured term loan of up to $100.0 million in two tranches. The first tranche of $75.0 million ($72.6 million of proceeds were received, $70.8 million net of additional transaction costs) was funded in March 2022, and the second tranche of $25.0 million was funded in December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June 29, 2023, the 2022 Loan Agreement with Pharmakon was amended to replace the benchmark governing the interest rate with a rate based on the secured overnight financing rate (“SOFR”) published by the Federal Reserve Bank of New York. Effective July 2023, the loan accrued interest using a benchmark rate of 3-month SOFR plus 8.25% plus an additional adjustment of 0.26161%.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13, 2024, we entered into an amended and restated loan agreement with Pharmakon, which replaced the 2022 Loan Agreement, for an additional third and fourth tranche of senior secured loan (the "2024 Loan Agreement"). The third tranche of $25.0 million was funded in September 2024. The fourth tranche of $75.0 million became available upon our receipt of FDA approval of our NDA for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could have been drawn at our option no later than August 29, 2025, subject to the satisfaction of customary bringdown conditions and deliverables. We elected not to draw down the fourth tranche. Under the 2024 Loan Agreement, prior to the refinancing described in the immediately following paragraph, all outstanding loans accrued interest using a benchmark rate of three-month SOFR plus 7.25% plus an additional adjustment of 0.26161%.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February 26, 2026 (the "Closing Date"), we entered into a second amended and restated loan agreement with Pharmakon, which replaced the 2024 Loan Agreement, providing for a senior secured term loan facility of up to $250.0 million, consisting of two tranches (the "2026 Loan Agreement"). The first tranche of $200.0 million was advanced on the Closing Date and refinanced our term loan facility under the 2024 Loan Agreement which had $125.0 million of outstanding principal, with the remaining proceeds available for general corporate purposes and working capital. The second tranche of $50.0 million may, at our option, be requested no later than June 30, 2027 for funding to occur no later than August 29, 2027, subject to customary conditions. The term loans mature on the fifth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outstanding loans with Pharmakon pursuant to the 2026 Loan Agreement accrue interest at a fixed rate of 8.25%. The principal amount of the loans outstanding under the 2026 Loan Agreement will be repayable in four equal quarterly payments commencing in the second quarter of 2030, which are subject to an exit fee of 1% of the principal amount being repaid. We may prepay the full outstanding principal amounts of the loans in whole at our discretion at any time, together with accrued but unpaid interest thereon and subject to prepayment premiums, make-whole amounts, as applicable,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obligations of UroGen Pharma, Inc., as the borrower under the 2026 Loan Agreement, are guaranteed by UroGen Pharma Ltd., subject to customary limitations on parent guarantees under Israeli law, and are secured by substantially all of the tangible and intangible assets and property, including intellectual property, of UroGen Pharma, Inc. and UroGen Pharma Ltd.,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July 26, 2023, we entered into a Securities Purchase Agreement with certain institutional and other accredited investors (the “Purchasers”), pursuant to which we agreed to sell and issue to the Purchasers 12,579,156 ordinary shares of the Company (“Shares”) (or in lieu of Shares, pre-funded warrants to purchase ordinary shares of the Company) at a purchase price of $9.54 per Share (or $9.539 for each ordinary share underlying a pre-funded warrant), in a private placement transaction that closed on July 28, 2023 and August 9, 2023 for aggregate gross proceeds of $120.0 million, before deducting fees to placement agents and financial advisors and before other expenses. Each pre-funded warrant has an exercise price of $0.001 per ordinary share, subject to customary adjustments, and became exercisable upon original issuance and will not expire until exercised in full. The pre-funded warrants may not be exercised if the aggregate number of ordinary shares beneficially owned by the holder thereof immediately following such exercise would exceed a specified beneficial ownership limitation. The aggregate fee paid by us to placement agents and financial advisors was $3.6 million, plus the reimbursement of certain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Underwritten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June 17, 2024, we entered into an underwriting agreement with TD Securities (USA) LLC and Guggenheim Securities, LLC, as representatives of the several underwriters named therein (collectively, the "Underwriters"), relating to the issuance and sale in a public offering of 5,000,000 ordinary shares of the Company for $17.50 per share and pre-funded warrants to purchase 1,142,857 ordinary shares of the Company for $17.499 per pre-funded warrant. The offering closed on June 20, 2024. The gross proceeds from this closing of the offering were $107.5 million, before deducting underwriting discounts and commissions and offering expenses of $7.3 million. Each pre-funded warrant has an exercise price of $0.001 per ordinary share, subject to customary adjustments, is exercisable at any time and will not expire until exercised in full. The pre-funded warrants may not be exercised if the aggregate number of ordinary shares beneficially owned by the holder thereof immediately following such exercise would exceed a specified beneficial ownership limitation. In addition, the Underwriters were granted an option exercisable for 30 days, to purchase up to 921,428 additional shares at the public offering price, less the underwriting discounts and commissions. On July 18, 2024, we completed the closing of the sale of 921,428 additional shares in the offering following the exercise in full of the Underwriters’ option to purchase additional shares, which resulted in additional gross proceeds of $16.1 million before deducting underwriting discounts and commissions and offering expenses of $1.0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have incurred losses since our inception and negative cash flows from our operations, and as of June 30, 2026, we had an accumulated deficit of $997.6 million. Our primary uses of capital are, and we expect will continue to be, commercialization activities, research and development expense, including third-party clinical research and development services, laboratory and related supplies, clinical costs, including manufacturing costs, legal and other regulatory expense and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routinely evaluate our liquidity needs, including assessment of our current financial condition, sources of liquidity including current cash and cash equivalents and marketable securities and management’s cash flow projections. Our ability to continue as a going concern is expected to be impacted by our ability to produce cash inflows from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product sales, the rate of physician and patient adoption of </w:t>
      </w:r>
      <w:r>
        <w:rPr>
          <w:rFonts w:ascii="Arial;Helvetica;sans-serif" w:hAnsi="Arial;Helvetica;sans-serif"/>
          <w:i/>
          <w:caps w:val="false"/>
          <w:smallCaps w:val="false"/>
          <w:sz w:val="20"/>
        </w:rPr>
        <w:t>Zusduri </w:t>
      </w:r>
      <w:r>
        <w:rPr>
          <w:rFonts w:ascii="Arial;Helvetica;sans-serif" w:hAnsi="Arial;Helvetica;sans-serif"/>
          <w:caps w:val="false"/>
          <w:smallCaps w:val="false"/>
          <w:sz w:val="20"/>
        </w:rPr>
        <w:t xml:space="preserve">and our ability to raise additional capital to fund our operations in the future. Based on our cash and cash equivalents and marketable securities as of June 30, 2026, together with management’s cash flow projections, we believe we have sufficient cash and cash equivalents to fund our operations beyond one year from the issuance of our condensed consolidated financial statements appearing elsewhere in this Quarterly Report. If we are unable to generate sufficient cash inflows from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 </w:t>
      </w:r>
      <w:r>
        <w:rPr>
          <w:rFonts w:ascii="Arial;Helvetica;sans-serif" w:hAnsi="Arial;Helvetica;sans-serif"/>
          <w:caps w:val="false"/>
          <w:smallCaps w:val="false"/>
          <w:sz w:val="20"/>
        </w:rPr>
        <w:t>product sales, we may need to raise additional capital in the future or reduce operating expenditures. There can be no assurances that we will be able to secure such additional financing on terms that are satisfactory to us, in an amount sufficient to meet our needs, or at all. In the event we are not successful in obtaining sufficient funding, this could force us to delay, limit, reduce or terminate our product development, commercialization efforts or other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cannot estimate the actual amounts necessary to successfully commercialize any approved products, or whether, or when, we may achieve profitability. Until such time, if ever, as we can generate sufficient product revenue, we expect to finance our cash needs through a combination of equity or debt financings and collaboration arrangements.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Funding and Material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Arial" w:hAnsi="Arial"/>
          <w:caps w:val="false"/>
          <w:smallCaps w:val="false"/>
          <w:sz w:val="20"/>
        </w:rPr>
      </w:pPr>
      <w:r>
        <w:rPr>
          <w:rFonts w:ascii="Arial" w:hAnsi="Arial"/>
          <w:caps w:val="false"/>
          <w:smallCaps w:val="false"/>
          <w:sz w:val="20"/>
        </w:rPr>
        <w:t>Our present and future funding and material cash requirements will depend on many factors, including, among other things:</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progress, timing and completion of clinical trials for UGN-103, UGN-104 and UGN-501;</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nonclinical studies and clinical trials for any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costs related to obtaining regulatory approval for UGN-103, UGN-104, UGN-501 and any other product candidates, and any delays we may encounter as a result of regulatory requirements or adverse clinical trial results with respect to any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selling, marketing and patent-related activities undertaken in connection with the commercialization of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xml:space="preserve"> and any of our product candidates, if approved, and costs involved in the continued development of an effective sales and marketing organization;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third-party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potential new product candidates we identify and attempt to develop;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revenues we may derive either directly or in the form of royalty payments from future sales of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Zusduri</w:t>
            </w:r>
            <w:r>
              <w:rPr>
                <w:rFonts w:ascii="Arial" w:hAnsi="Arial"/>
                <w:caps w:val="false"/>
                <w:smallCaps w:val="false"/>
                <w:sz w:val="20"/>
              </w:rPr>
              <w:t>, and, if approved, UGN-103, UGN-104, UGN-501, </w:t>
            </w:r>
            <w:r>
              <w:rPr>
                <w:rFonts w:ascii="Arial" w:hAnsi="Arial"/>
                <w:i/>
                <w:caps w:val="false"/>
                <w:smallCaps w:val="false"/>
                <w:sz w:val="20"/>
              </w:rPr>
              <w:t>RTGel</w:t>
            </w:r>
            <w:r>
              <w:rPr>
                <w:rFonts w:ascii="Arial" w:hAnsi="Arial"/>
                <w:caps w:val="false"/>
                <w:smallCaps w:val="false"/>
                <w:sz w:val="20"/>
              </w:rPr>
              <w:t> reverse thermal hydrogel technology and any other product candidates;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timing and amount of any milestone, net sales or royalty payments owed by us from the development and/or commercialization of our products or product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repayment of outstanding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Accordingly, we may need to obtain additional funding in connection with our continuing operations. There can be no assurance that we will be able to secure such additional financing on terms that are satisfactory to us, in an amount sufficient to meet our needs, or at all. In the event we are not successful in obtaining sufficient funding, we may be forced to delay, limit, reduce or terminate our research and development programs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that further limit or restrict our ability to take specific actions, such as incurring additional debt, making capital expenditures or declaring dividends. In addition, the terms of the Prepaid Forward Contract (the “Forward Contract”) with RTW and the 2026 Loan Agreement limit our ability to take certain actions, including incurring additional indebtedness.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more information as to the risks associated with our future funding needs, see Part II, Item 1A – Risk Factors. We will require additional financing to achieve our goals, and a failure to obtain this capital when needed and on acceptable terms, or at all, could force us to delay, limit, reduce or terminate our product development, commercialization efforts or other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April 2016, we signed an addendum to our November 2014 lease agreement for our executive offices located in Israel, in order to increase the office space rented and to extend the rent period until 2019. In March 2019, we utilized the agreement extension option and extended the rent period for an additional three years until August 2022. In July 2022, we signed a lease extension agreement extending the term of the lease through September 2025 and in June 2025 we exercised our renewal option to extend the lease through September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November 2019, we entered into a new lease agreement, dated effective October 31, 2019, for an office in Princeton, NJ. The lease commencement date was November 29, 2019 and the lease term is 38 months. In June 2022, we signed an amendment to our November 2019 lease agreement to extend the term for an additional three years through January 31, 2026. In August 2025, we signed an additional extension to our November 2019 lease agreement to extend the lease term through April 30, 2031. We concluded that the lease renewal option in the agreement is not reasonably certain to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July 2024, we entered into a new master lease agreement for vehicles, primarily for use by employees in sales, field services, and roles that require regular travel. Under the terms of the master lease agreement, we will lease various vehicles from time to time with an initial lease term of 48 months commencing on the delivery date of the vehicle with an option to continue month-to-month for an unlimited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total obligation for future minimum lease payments under our operating and finance leases are $3.8 million and $5.3 million, respectively, as of June 30, 2026. See Note 11 to the condensed consolidated financial statements appearing elsewhere in this Quarterly Report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March 7, 2022, we entered into the 2022 Loan Agreement with Pharmakon for a senior secured term loan of up to $100.0 million in two tranches. The first tranche of $75.0 million ($72.6 million of proceeds were received, $70.8 million net of additional transaction costs) was funded in March 2022, and the second tranche of $25.0 million was funded in December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March 13, 2024, we entered into the 2024 Loan Agreement, which replaced the 2022 Loan Agreement. The third tranche of $25.0 million was funded in September 2024. The fourth tranche of $75.0 million became available upon our receipt of FDA approval of our NDA for </w:t>
      </w:r>
      <w:r>
        <w:rPr>
          <w:rFonts w:ascii="Arial" w:hAnsi="Arial"/>
          <w:i/>
          <w:caps w:val="false"/>
          <w:smallCaps w:val="false"/>
          <w:sz w:val="20"/>
        </w:rPr>
        <w:t>Zusduri</w:t>
      </w:r>
      <w:r>
        <w:rPr>
          <w:rFonts w:ascii="Arial" w:hAnsi="Arial"/>
          <w:caps w:val="false"/>
          <w:smallCaps w:val="false"/>
          <w:sz w:val="20"/>
        </w:rPr>
        <w:t> and could have been drawn at our option no later than August 29, 2025, subject to customary bringdown conditions and deliverables. We elected not to draw down the fourth tranche. Under the 2024 Loan Agreement, prior to the refinancing described in the immediately following paragraph, all outstanding loans accrued interest using a benchmark rate of three-month SOFR plus 7.25% plus an additional adjustment of 0.26161%.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February 26, 2026, we entered into the 2026 Loan Agreement, which replaced the 2024 Loan Agreement. The first tranche of $200.0 million was advanced on the Closing Date and refinanced our original term loan facility under the 2024 Loan Agreement which had $125.0 million of outstanding principal, with the remaining proceeds available for general corporate purposes and working capital. The second tranche of $50.0 million may, at our option, be requested no later than June 30, 2027 for funding to occur no later than August 29, 2027, subject to customary conditions. The term loans mature on the fifth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All outstanding loans with Pharmakon pursuant to the 2026 Loan Agreement will accrue interest at a fixed rate of 8.25%. The principal amount of the loans outstanding under the 2026 Loan Agreement shall be repayable in four equal quarterly payments commencing in the second quarter of 2030, which are subject to an exit fee of 1% of the principal amount being repaid. We may prepay the loans in whole at our discretion at any time, subject to prepayment premiums, make-whole amounts, as applicable,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obligations of UroGen Pharma, Inc., as the borrower under the 2026 Loan Agreement, are guaranteed by UroGen Pharma Ltd., subject to customary limitations on parent guarantees under Israeli law, and are secured by substantially all of the tangible and intangible assets and property, including intellectual property, of UroGen Pharma, Inc. and UroGen Pharma Ltd.,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February 14, 2025, we entered into the IconOVir Agreement pursuant to which we purchased and acquired the Transferred Assets. As consideration for the Transferred Assets and subject to the terms and conditions of the IconOVir Agreement, we (i) issued 374,843 of our ordinary shares to IconOVir, which represented a purchase price of $4.0 million divided by the volume-weighted average closing price of our ordinary shares on The Nasdaq Stock Market over the 30 consecutive trading days ending on (and including) the trading day immediately prior to the Closing Date, (ii) agreed to pay IconOVir a one-time payment of $15.0 million in cash upon the achievement of a cumulative aggregate worldwide net sales milestone for all ICVB Products, (iii) agreed to pay IconOVir a low, single-digit percentage royalty, on an ICVB Product-by-ICVB Product basis, on the annual, worldwide net sales of such ICVB Product during the royalty term, subject to certain reductions as set forth in the IconOVir Agreement, and (iv) agreed to assume certain immaterial liabilities arising under certain acquired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sets forth the significant sources and uses of cash for the periods set forth below: </w:t>
      </w:r>
    </w:p>
    <w:p>
      <w:pPr>
        <w:pStyle w:val="TextBody"/>
        <w:bidi w:val="0"/>
        <w:spacing w:before="0" w:after="0"/>
        <w:ind w:left="0" w:right="0" w:hanging="0"/>
        <w:jc w:val="left"/>
        <w:rPr>
          <w:caps w:val="false"/>
          <w:smallCaps w:val="false"/>
        </w:rPr>
      </w:pPr>
      <w:r>
        <w:rPr>
          <w:caps w:val="false"/>
          <w:smallCaps w:val="false"/>
        </w:rPr>
        <w:t> </w:t>
      </w:r>
    </w:p>
    <w:tbl>
      <w:tblPr>
        <w:tblW w:w="6311" w:type="dxa"/>
        <w:jc w:val="left"/>
        <w:tblInd w:w="0" w:type="dxa"/>
        <w:tblLayout w:type="fixed"/>
        <w:tblCellMar>
          <w:top w:w="0" w:type="dxa"/>
          <w:left w:w="0" w:type="dxa"/>
          <w:bottom w:w="0" w:type="dxa"/>
          <w:right w:w="0" w:type="dxa"/>
        </w:tblCellMar>
      </w:tblPr>
      <w:tblGrid>
        <w:gridCol w:w="3605"/>
        <w:gridCol w:w="60"/>
        <w:gridCol w:w="186"/>
        <w:gridCol w:w="993"/>
        <w:gridCol w:w="119"/>
        <w:gridCol w:w="89"/>
        <w:gridCol w:w="186"/>
        <w:gridCol w:w="993"/>
        <w:gridCol w:w="80"/>
      </w:tblGrid>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6"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9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(78,322</w:t>
            </w:r>
          </w:p>
        </w:tc>
        <w:tc>
          <w:tcPr>
            <w:tcW w:w="119"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9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(81,849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60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(19,015</w:t>
            </w:r>
          </w:p>
        </w:tc>
        <w:tc>
          <w:tcPr>
            <w:tcW w:w="119"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2,443</w:t>
            </w:r>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65,704</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(31,633</w:t>
            </w:r>
          </w:p>
        </w:tc>
        <w:tc>
          <w:tcPr>
            <w:tcW w:w="119"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(79,076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operating activities was $78.3 million during the six months ended June 30, 2026, compared to $81.8 million during the six months ended June 30, 2025. The $3.5 million decrease was attributable primarily to a lower net loss in 2026 as compared to 2025, as well as timing of payments and accruals, partially offset by the timing of collections of accounts receivable and inventory purchases.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investing activities was $19.0 million during the six months ended June 30, 2026, compared to cash provided by investing activities of $2.4 million during the six months ended June 30, 2025. The net change of $21.4 million primarily reflects reinvestments in marketable securities in the six months ended June 30, 2026 as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financing activities was $65.7 million during the six months ended June 30, 2026, compared to $0.3 million during the six months ended June 30, 2025. The increase of $65.4 million is primarily attributable to proceeds from the 2026 Loan Agreement with Pharmakon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9" w:name="qqdmr"/>
      <w:bookmarkEnd w:id="9"/>
      <w:r>
        <w:rPr>
          <w:rFonts w:ascii="Arial;Helvetica;sans-serif" w:hAnsi="Arial;Helvetica;sans-serif"/>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Interest Rate Fluctuation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Some of the securities in which we invest have market risk in that a change in prevailing interest rates may cause the principal amount of the marketable securities to fluctuate. Financial instruments that potentially subject us to significant concentrations of credit risk consist primarily of cash, cash equivalents and marketable securities. As of June 30, 2026, we had $108.0 million in cash and cash equivalents and marketable securities. We invest our cash primarily in money market accounts, but from time to time may invest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If a 10% change in interest rates were to have occurred on June 30, 2026, this change would not have had a material effect on the fair value of our cash, cash equivalents and marketable securities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Inflation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Inflation generally may affect us by increasing our cost of labor and clinical trial costs. Inflation has not had a material effect on our business, financial condition or results of operations during the six months ended June 30, 2026 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U.S. dollar is our functional and reporting currency. However, a significant portion of our operating expenses are incurred in New Israeli Shekels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dollar depreciated against the NIS during 2025 by approximately 12.5%. If the dollar cost of our operations in Israel increases, our dollar-measured results of operations will be adversely affected. Our operations also could be adversely affected if we are unable to effectively hedge against currency fluctuations in the future. If a 10% change in NIS-to-Dollar exchange rates were to have occurred during the six months ended June 30, 2026, this change would not have had a material effect on our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0" w:name="cps"/>
      <w:bookmarkEnd w:id="10"/>
      <w:r>
        <w:rPr>
          <w:rFonts w:ascii="Arial;Helvetica;sans-serif" w:hAnsi="Arial;Helvetica;sans-serif"/>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management, with the participation of our chief executive and financial officers (our principal executive officer and principal financial officer, respectively), evaluated the effectiveness of our disclosures controls and procedures, as defined in Rules 13a-15(e) and 15d-15(e) under the Exchange Act,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a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rPr>
      </w:pPr>
      <w:bookmarkStart w:id="11" w:name="pii"/>
      <w:bookmarkEnd w:id="11"/>
      <w:r>
        <w:rPr>
          <w:rFonts w:ascii="Arial;Helvetica;sans-serif" w:hAnsi="Arial;Helvetica;sans-serif"/>
          <w:b/>
          <w:caps w:val="false"/>
          <w:smallCaps w:val="false"/>
          <w:sz w:val="20"/>
        </w:rPr>
        <w:t>Part II</w:t>
      </w:r>
      <w:r>
        <w:rPr>
          <w:rFonts w:ascii="Arial;Helvetica;sans-serif" w:hAnsi="Arial;Helvetica;sans-serif"/>
          <w:caps w:val="false"/>
          <w:smallCaps w:val="false"/>
          <w:sz w:val="20"/>
        </w:rPr>
        <w:t>—</w:t>
      </w:r>
      <w:r>
        <w:rPr>
          <w:rFonts w:ascii="Arial;Helvetica;sans-serif" w:hAnsi="Arial;Helvetica;sans-serif"/>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2" w:name="legal"/>
      <w:bookmarkEnd w:id="12"/>
      <w:r>
        <w:rPr>
          <w:rFonts w:ascii="Arial;Helvetica;sans-serif" w:hAnsi="Arial;Helvetica;sans-serif"/>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On April 2, 2024, we filed a lawsuit in the U.S. District Court for the District of Delaware against Teva Pharmaceuticals, Inc., Teva Pharmaceuticals USA, Inc. (together with Teva Pharmaceuticals, Inc., "Teva"), and Teva Pharmaceutical Industries, Ltd., alleging infringement of U.S. Patent Numbers 9,040,074 and 9,950,069 in response to Teva’s submission of an Abbreviated New Drug Application (“ANDA”) to the FDA seeking approval to manufacture, use, or sell a generic version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in the United States prior to the expiration of such patents. We sought a permanent injunction preventing U.S. market entry of Teva’s generic product prior to the expiration of such patents. By written stipulation dated June 11, 2024, Teva Pharmaceutical Industries, Ltd. was dismissed from the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On June 2, 2026, we entered into a settlement and license agreement (the “Agreement”) with Teva, resolving this litigation. Under the Agreement, we have agreed to grant Teva a non-exclusive license to sell its generic version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beginning on September 15, 2030, if approved by the FDA, unless certain limited circumstances customarily included in these types of agreements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June 3, 2026, the court granted the parties’ Stipulated Dismissal Order, dismissing and closing the civil action. As required by law, the parties submitted the Agreement to the U.S. Federal Trade Commission and U.S. Department of Justice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From time to time, we may be involved in various claims and legal proceedings relating to claims arising out of our operations. We are not currently a party to any material legal proceedings. Regardless of outcome, litigation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3" w:name="risks"/>
      <w:bookmarkEnd w:id="13"/>
      <w:r>
        <w:rPr>
          <w:rFonts w:ascii="Arial;Helvetica;sans-serif" w:hAnsi="Arial;Helvetica;sans-serif"/>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Risk Factor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 xml:space="preserve">Below is a summary of the material factors that make an investment in our ordinary shares speculative or risky. This summary does not address all of the risks that we face. Additional discussion of the risks summarized in this risk factor summary, and other risks that we face, can be found below under the heading </w:t>
      </w:r>
      <w:r>
        <w:rPr>
          <w:rFonts w:ascii="Arial;Helvetica;sans-serif" w:hAnsi="Arial;Helvetica;sans-serif"/>
          <w:caps w:val="false"/>
          <w:smallCaps w:val="false"/>
          <w:sz w:val="20"/>
        </w:rPr>
        <w:t>“</w:t>
      </w:r>
      <w:r>
        <w:rPr>
          <w:rFonts w:ascii="Arial;Helvetica;sans-serif" w:hAnsi="Arial;Helvetica;sans-serif"/>
          <w:i/>
          <w:caps w:val="false"/>
          <w:smallCaps w:val="false"/>
          <w:sz w:val="20"/>
        </w:rPr>
        <w:t>Risk Factors,</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and should be carefully considered, together with other information in this Quarterly Report and our other filings with the SEC before making investment decisions regarding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may require additional financing to fund our operations and achieve our goals, and a failure to obtain this capital when needed and on acceptable terms, or at all, could force us to delay, limit, reduce or terminate our product development, commercialization efforts or other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indebtedness resulting from our loan agreement with Pharmakon Advisors, L.P. ("Pharmakon") could adversely affect our financial condition or restrict our future operations.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60"/>
        <w:gridCol w:w="110"/>
        <w:gridCol w:w="9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are highly dependent on the successful commercialization of our approved products,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have limited experience as an organization in marketing and distributing products and are therefore subject to certain risks in relation to the commercialization of </w:t>
            </w:r>
            <w:r>
              <w:rPr>
                <w:rFonts w:ascii="Arial;Helvetica;sans-serif" w:hAnsi="Arial;Helvetica;sans-serif"/>
                <w:i/>
                <w:caps w:val="false"/>
                <w:smallCaps w:val="false"/>
                <w:sz w:val="20"/>
              </w:rPr>
              <w:t>Jelmyto, Zusduri</w:t>
            </w:r>
            <w:r>
              <w:rPr>
                <w:rFonts w:ascii="Arial;Helvetica;sans-serif" w:hAnsi="Arial;Helvetica;sans-serif"/>
                <w:caps w:val="false"/>
                <w:smallCaps w:val="false"/>
                <w:sz w:val="20"/>
              </w:rPr>
              <w:t> and any of our product candidates that receive regulatory approval.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market opportunities for </w:t>
            </w:r>
            <w:r>
              <w:rPr>
                <w:rFonts w:ascii="Arial;Helvetica;sans-serif" w:hAnsi="Arial;Helvetica;sans-serif"/>
                <w:i/>
                <w:caps w:val="false"/>
                <w:smallCaps w:val="false"/>
                <w:sz w:val="20"/>
              </w:rPr>
              <w:t>Jelmyto, Zusduri</w:t>
            </w:r>
            <w:r>
              <w:rPr>
                <w:rFonts w:ascii="Arial;Helvetica;sans-serif" w:hAnsi="Arial;Helvetica;sans-serif"/>
                <w:caps w:val="false"/>
                <w:smallCaps w:val="false"/>
                <w:sz w:val="20"/>
              </w:rPr>
              <w:t> and our product candidates may be smaller than we anticipate or limited to those patients who are ineligible for established therapies or for whom prior therapies have failed and may be small.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any of our product candidates that receive regulatory approval may fail to achieve the broad degree of physician adoption and use and market acceptance necessary for commercial success.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Jelmyto, Zusduri</w:t>
            </w:r>
            <w:r>
              <w:rPr>
                <w:rFonts w:ascii="Arial;Helvetica;sans-serif" w:hAnsi="Arial;Helvetica;sans-serif"/>
                <w:caps w:val="false"/>
                <w:smallCaps w:val="false"/>
                <w:sz w:val="20"/>
              </w:rPr>
              <w:t> and our product candidates, if approved, will face significant competition with competing technologies and our failure to compete effectively may prevent us from achieving significant market penetration.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have entered into collaboration and licensing agreements and in the future may enter into collaboration and licensing arrangements with other third parties for the development and commercialization of our products and product candidates. If our collaboration and licensing arrangements are not successful, we may not be able to capitalize on the market potential of these products and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currently rely on third-party subcontractors and single-source suppliers for certain raw materials, compounds and components necessary to produce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for commercial use, and to produce UGN-103, UGN-104 and UGN-501 for nonclinical studies and clinical trials, and expect to continue to do so to support commercial scale production of UGN-103, UGN-104 and UGN-501, if approved, or for any approved products that include UGN-501.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UGN-103, UGN-104 or UGN-501, or be able to obtain such quantities at an acceptable cost, which could delay, prevent or impair our development or commercialization efforts.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 trade policies, including tariffs, sanctions and trade barriers may adversely affect our business, financial condition, results of operations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product liability lawsuits are brought against us, we may incur substantial liabilities and may be required to limit commercialization of any of our products and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we fail to attract and keep senior management and key personnel, we may be unable to successfully develop our product candidates, conduct our clinical trials and commercialize any of the products we develop.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have incurred significant losses and negative cash flows since our inception and may not generate positive or sufficient cash flows from operations in the future, which may have an adverse impact on our working capital, total assets, stockholders’ equity and our ability to service our indebtedness and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If our efforts to obtain, protect or enforce our patents and other intellectual property rights related to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our product candidates and technologies are not adequate, we may not be able to compete effectively, and we otherwise may be harmed.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may become involved in lawsuits to protect or enforce our patents or other intellectual property rights or the patents of our licensors, which could be expensive and time consuming.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and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Jelmyto, Zusduri</w:t>
            </w:r>
            <w:r>
              <w:rPr>
                <w:rFonts w:ascii="Arial;Helvetica;sans-serif" w:hAnsi="Arial;Helvetica;sans-serif"/>
                <w:caps w:val="false"/>
                <w:smallCaps w:val="false"/>
                <w:sz w:val="20"/>
              </w:rPr>
              <w:t> and any of our product candidates that receive regulatory approval will be subject to ongoing regulatory obligations and continued regulatory review, which may result in significant additional expenses, limit or withdraw regulatory approval and subject us to penalties if we fail to comply with applicable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 may be difficult for us to profitably sell our products and product candidates that receive regulatory approval if coverage and reimbursement for these products is limited by government authorities and/or third-party payor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research and development and other significant operations are located in Israel and, therefore, our results may be adversely affected by political, economic and military conditions in Israel.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You should carefully consider the following risk factors, as well as the other information in this Quarterly Report, before deciding whether to purchase, hold or sell our ordinary shares. The occurrence of any of the following risks could harm our business, financial condition, results of operations and/or growth prospects or cause our actual results to differ materially from those contained in forward-looking statements we have made in this Quarterly Report and those we may make from time to time. When evaluating our business, you should consider all of the factors described as well as the other information in our Annual Report and this Quarterly Report, including our financial statements and the related notes,</w:t>
      </w:r>
      <w:r>
        <w:rPr>
          <w:rFonts w:ascii="Arial;Helvetica;sans-serif" w:hAnsi="Arial;Helvetica;sans-serif"/>
          <w:caps w:val="false"/>
          <w:smallCaps w:val="false"/>
          <w:sz w:val="20"/>
        </w:rPr>
        <w:t> “</w:t>
      </w:r>
      <w:r>
        <w:rPr>
          <w:rFonts w:ascii="Arial;Helvetica;sans-serif" w:hAnsi="Arial;Helvetica;sans-serif"/>
          <w:i/>
          <w:caps w:val="false"/>
          <w:smallCaps w:val="false"/>
          <w:sz w:val="20"/>
        </w:rPr>
        <w:t>Management</w:t>
      </w:r>
      <w:r>
        <w:rPr>
          <w:rFonts w:ascii="Arial;Helvetica;sans-serif" w:hAnsi="Arial;Helvetica;sans-serif"/>
          <w:caps w:val="false"/>
          <w:smallCaps w:val="false"/>
          <w:sz w:val="20"/>
        </w:rPr>
        <w:t>’</w:t>
      </w:r>
      <w:r>
        <w:rPr>
          <w:rFonts w:ascii="Arial;Helvetica;sans-serif" w:hAnsi="Arial;Helvetica;sans-serif"/>
          <w:i/>
          <w:caps w:val="false"/>
          <w:smallCaps w:val="false"/>
          <w:sz w:val="20"/>
        </w:rPr>
        <w:t>s Discussion and Analysis of Financial Condition and Results of Operation</w:t>
      </w:r>
      <w:r>
        <w:rPr>
          <w:rFonts w:ascii="Arial;Helvetica;sans-serif" w:hAnsi="Arial;Helvetica;sans-serif"/>
          <w:caps w:val="false"/>
          <w:smallCaps w:val="false"/>
          <w:sz w:val="20"/>
        </w:rPr>
        <w:t>” </w:t>
      </w:r>
      <w:r>
        <w:rPr>
          <w:rFonts w:ascii="Arial;Helvetica;sans-serif" w:hAnsi="Arial;Helvetica;sans-serif"/>
          <w:i/>
          <w:caps w:val="false"/>
          <w:smallCaps w:val="false"/>
          <w:sz w:val="20"/>
        </w:rPr>
        <w:t>and</w:t>
      </w:r>
      <w:r>
        <w:rPr>
          <w:rFonts w:ascii="Arial;Helvetica;sans-serif" w:hAnsi="Arial;Helvetica;sans-serif"/>
          <w:caps w:val="false"/>
          <w:smallCaps w:val="false"/>
          <w:sz w:val="20"/>
        </w:rPr>
        <w:t> </w:t>
      </w:r>
      <w:r>
        <w:rPr>
          <w:rFonts w:ascii="Arial;Helvetica;sans-serif" w:hAnsi="Arial;Helvetica;sans-serif"/>
          <w:i/>
          <w:caps w:val="false"/>
          <w:smallCaps w:val="false"/>
          <w:sz w:val="20"/>
        </w:rPr>
        <w:t>Item 1A,</w:t>
      </w:r>
      <w:r>
        <w:rPr>
          <w:rFonts w:ascii="Arial;Helvetica;sans-serif" w:hAnsi="Arial;Helvetica;sans-serif"/>
          <w:caps w:val="false"/>
          <w:smallCaps w:val="false"/>
          <w:sz w:val="20"/>
        </w:rPr>
        <w:t> “</w:t>
      </w:r>
      <w:r>
        <w:rPr>
          <w:rFonts w:ascii="Arial;Helvetica;sans-serif" w:hAnsi="Arial;Helvetica;sans-serif"/>
          <w:i/>
          <w:caps w:val="false"/>
          <w:smallCaps w:val="false"/>
          <w:sz w:val="20"/>
        </w:rPr>
        <w:t>Risk Factors.</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We have marked with an asterisk (*) those risk factors that did not appear as risk factors in, or contain changes to, the similarly titled risk factors included in Item 1A of our Annual Report. If any of the following risks actually occur, our business, financial condition, results of operations and future growth prospects would likely be materially and adversely affected. In these circumstances, the market price of our ordinary shares would likely decline and you may lose all or part of your investment. Additional risks and uncertainties not presently known to us or that we currently deem immaterial also may impair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 xml:space="preserve">Risks Related to Our Financial Condition and Capital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have incurred significant losses and negative cash flows since our inception and may not generate positive or sufficient cash flows from operations in the future, which may have an adverse impact on our working capital, total assets, stockholders’ equity and our ability to service our indebtedness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not profitable and have incurred net losses in each period since we commenced operations in 2004, including net losses of $153.5 million and $126.9 million for the years ended December 31, 2025 and 2024, respectively. As of June 30, 2026, we had an accumulated deficit of $997.6 million. Our ability to ultimately achieve and sustain recurring revenues and profitability is dependent upon our ability to successfully commercialize our products and complete the development of our product candidates and obtain necessary regulatory approvals for and successfully manufacture, market and commercialize our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that we will continue to expend substantial resources in the foreseeable future for the clinical development of our current product candidates or any additional product candidates and indications that we may choose to pursue in the future as well as for the expansion of our commercial operations as we execute our commercialization strategy for </w:t>
      </w:r>
      <w:r>
        <w:rPr>
          <w:rFonts w:ascii="Arial" w:hAnsi="Arial"/>
          <w:i/>
          <w:caps w:val="false"/>
          <w:smallCaps w:val="false"/>
          <w:sz w:val="20"/>
        </w:rPr>
        <w:t>Zusduri</w:t>
      </w:r>
      <w:r>
        <w:rPr>
          <w:rFonts w:ascii="Arial" w:hAnsi="Arial"/>
          <w:caps w:val="false"/>
          <w:smallCaps w:val="false"/>
          <w:sz w:val="20"/>
        </w:rPr>
        <w:t>. These expenditures will include costs associated with research and development, conducting nonclinical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clinical-stage and nonclinical drug candidates and any other drug candidates that we may develop in the future. Other unanticipated costs may also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are not able to generate sufficient cash flows from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product sales to fund our operations, it may have an adverse impact on our working capital, total assets, stockholders’ equity and our ability to service our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future capital requirements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timing of, and the costs involved in, clinical development and obtaining regulatory approvals for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in regulatory requirements during the development phase that can delay or force us to stop our activities related to any of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cost of commercialization activities for </w:t>
            </w:r>
            <w:r>
              <w:rPr>
                <w:rFonts w:ascii="Arial;Helvetica;sans-serif" w:hAnsi="Arial;Helvetica;sans-serif"/>
                <w:i/>
                <w:caps w:val="false"/>
                <w:smallCaps w:val="false"/>
                <w:sz w:val="20"/>
              </w:rPr>
              <w:t>Jelmyto, Zusduri</w:t>
            </w:r>
            <w:r>
              <w:rPr>
                <w:rFonts w:ascii="Arial;Helvetica;sans-serif" w:hAnsi="Arial;Helvetica;sans-serif"/>
                <w:caps w:val="false"/>
                <w:smallCaps w:val="false"/>
                <w:sz w:val="20"/>
              </w:rPr>
              <w:t> and any other products approved for sale, including marketing, sales and distribution costs;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degree of success in commercializing </w:t>
            </w:r>
            <w:r>
              <w:rPr>
                <w:rFonts w:ascii="Arial;Helvetica;sans-serif" w:hAnsi="Arial;Helvetica;sans-serif"/>
                <w:i/>
                <w:caps w:val="false"/>
                <w:smallCaps w:val="false"/>
                <w:sz w:val="20"/>
              </w:rPr>
              <w:t xml:space="preserve">Jelmyto </w:t>
            </w:r>
            <w:r>
              <w:rPr>
                <w:rFonts w:ascii="Arial;Helvetica;sans-serif" w:hAnsi="Arial;Helvetica;sans-serif"/>
                <w:caps w:val="false"/>
                <w:smallCaps w:val="false"/>
                <w:sz w:val="20"/>
              </w:rPr>
              <w:t xml:space="preserve">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cost of third-party manufacturing of our products candidates and any approved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number and characteristics of any other product candidates we develop or acquire;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establish and maintain strategic collaborations, licensing or other commercialization arrangements, and the terms and timing of such arrangements;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extent and rate of market acceptance of any approved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expenses needed to attract and retain skilled personnel;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costs associated with being a public company;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costs involved in preparing, filing, prosecuting, maintaining, defending and enforcing patent and other intellectual property claims, including potential litigation costs, and the outcome of such litigation;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timing, receipt and amount of sales of, or royalties on, current or future approved products, if 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the timing and amount of any milestone, net sales or royalty payments owed by us from the development and/or commercialization of our products or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repayment of outstanding debt;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product liability or other lawsuits related to our products, business arrangements, or conduct of our business;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scientific breakthroughs in the field of urothelial cancer treatment and diagnosis that could significantly diminish the demand for our products or product candidates or make them obsolete;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in reimbursement or other laws, regulations or policies that could have a negative impact on our future revenue stream.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we have limited experience and have not yet demonstrated an ability to successfully overcome many of the risks and uncertainties frequently encountered by companies in new and rapidly evolving fields, particularly in the biotechnology industry. Drug development is a highly speculative undertaking and involves a substantial degree of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require additional financing to fund our operations and achieve our goals, and a failure to obtain this capital when needed and on acceptable terms, or at all, could force us to delay, limit, reduce or terminate our product development, commercialization efforts or other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not profitable and have had negative cash flow from operations since our inception. Since our inception, almost all our resources have been dedicated to the nonclinical and clinical development of our commercial products </w:t>
      </w:r>
      <w:r>
        <w:rPr>
          <w:rFonts w:ascii="Arial;Helvetica;sans-serif" w:hAnsi="Arial;Helvetica;sans-serif"/>
          <w:i/>
          <w:sz w:val="20"/>
        </w:rPr>
        <w:t xml:space="preserve">Jelmyto </w:t>
      </w:r>
      <w:r>
        <w:rPr>
          <w:rFonts w:ascii="Arial;Helvetica;sans-serif" w:hAnsi="Arial;Helvetica;sans-serif"/>
          <w:sz w:val="20"/>
        </w:rPr>
        <w:t xml:space="preserve">and </w:t>
      </w:r>
      <w:r>
        <w:rPr>
          <w:rFonts w:ascii="Arial;Helvetica;sans-serif" w:hAnsi="Arial;Helvetica;sans-serif"/>
          <w:i/>
          <w:sz w:val="20"/>
        </w:rPr>
        <w:t>Zusduri</w:t>
      </w:r>
      <w:r>
        <w:rPr>
          <w:rFonts w:ascii="Arial;Helvetica;sans-serif" w:hAnsi="Arial;Helvetica;sans-serif"/>
          <w:sz w:val="20"/>
        </w:rPr>
        <w:t xml:space="preserve">. As of June 30, 2026, we had cash and cash equivalents and marketable securities of $108.0 million. To fund our operations, develop our product candidates and commercialize </w:t>
      </w:r>
      <w:r>
        <w:rPr>
          <w:rFonts w:ascii="Arial;Helvetica;sans-serif" w:hAnsi="Arial;Helvetica;sans-serif"/>
          <w:i/>
          <w:sz w:val="20"/>
        </w:rPr>
        <w:t xml:space="preserve">Jelmyto </w:t>
      </w:r>
      <w:r>
        <w:rPr>
          <w:rFonts w:ascii="Arial;Helvetica;sans-serif" w:hAnsi="Arial;Helvetica;sans-serif"/>
          <w:sz w:val="20"/>
        </w:rPr>
        <w:t xml:space="preserve">and </w:t>
      </w:r>
      <w:r>
        <w:rPr>
          <w:rFonts w:ascii="Arial;Helvetica;sans-serif" w:hAnsi="Arial;Helvetica;sans-serif"/>
          <w:i/>
          <w:sz w:val="20"/>
        </w:rPr>
        <w:t>Zusduri</w:t>
      </w:r>
      <w:r>
        <w:rPr>
          <w:rFonts w:ascii="Arial;Helvetica;sans-serif" w:hAnsi="Arial;Helvetica;sans-serif"/>
          <w:sz w:val="20"/>
        </w:rPr>
        <w:t>, we have relied primarily on equity and debt financings and revenue generated from sales of our approved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December 2019, we entered into a sales agreement (the “ATM Sales Agreement”) with TD Securities (USA) LLC (f/k/a Cowen and Company, LLC) (“TD Cowen”), pursuant to which we were able to from time to time offer and sell our ordinary shares having an aggregate offering price of up to $100.0 million, to or through TD Cowen, acting as sales agent or principal, in any manner deemed to be an “at-the-market offering.”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November 2025, we amended the ATM Sales Agreement to remove the aggregate offering price limit of $100.0 million and filed a registration statement on Form S-3 providing for the offer and sale of ordinary shares pursuant to the ATM Sales Agreement having an aggregate offering price of up to $75.0 million, which became effective automatically (the “ATM Prospectus”). As of June 30, 2026, the remaining capacity under the ATM Prospectus was approximately $42.4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March 2021, we announced a transaction (the "RTW Transaction") with RTW Investments ("RTW") totaling $75 million in funding for our company, which was received in May 2021, to support the launch of </w:t>
      </w:r>
      <w:r>
        <w:rPr>
          <w:rFonts w:ascii="Arial;Helvetica;sans-serif" w:hAnsi="Arial;Helvetica;sans-serif"/>
          <w:i/>
          <w:sz w:val="20"/>
        </w:rPr>
        <w:t>Jelmyto</w:t>
      </w:r>
      <w:r>
        <w:rPr>
          <w:rFonts w:ascii="Arial;Helvetica;sans-serif" w:hAnsi="Arial;Helvetica;sans-serif"/>
          <w:sz w:val="20"/>
        </w:rPr>
        <w:t xml:space="preserve"> and the development of </w:t>
      </w:r>
      <w:r>
        <w:rPr>
          <w:rFonts w:ascii="Arial;Helvetica;sans-serif" w:hAnsi="Arial;Helvetica;sans-serif"/>
          <w:i/>
          <w:sz w:val="20"/>
        </w:rPr>
        <w:t>Zusduri</w:t>
      </w:r>
      <w:r>
        <w:rPr>
          <w:rFonts w:ascii="Arial;Helvetica;sans-serif" w:hAnsi="Arial;Helvetica;sans-serif"/>
          <w:sz w:val="20"/>
        </w:rPr>
        <w:t xml:space="preserve">. In return for the upfront cash payment, RTW is entitled to receive tiered future payments based on global annual net product sales of </w:t>
      </w:r>
      <w:r>
        <w:rPr>
          <w:rFonts w:ascii="Arial;Helvetica;sans-serif" w:hAnsi="Arial;Helvetica;sans-serif"/>
          <w:i/>
          <w:sz w:val="20"/>
        </w:rPr>
        <w:t>Jelmyto</w:t>
      </w:r>
      <w:r>
        <w:rPr>
          <w:rFonts w:ascii="Arial;Helvetica;sans-serif" w:hAnsi="Arial;Helvetica;sans-serif"/>
          <w:sz w:val="20"/>
        </w:rPr>
        <w:t xml:space="preserve"> and </w:t>
      </w:r>
      <w:r>
        <w:rPr>
          <w:rFonts w:ascii="Arial;Helvetica;sans-serif" w:hAnsi="Arial;Helvetica;sans-serif"/>
          <w:i/>
          <w:sz w:val="20"/>
        </w:rPr>
        <w:t>Zusduri</w:t>
      </w:r>
      <w:r>
        <w:rPr>
          <w:rFonts w:ascii="Arial;Helvetica;sans-serif" w:hAnsi="Arial;Helvetica;sans-serif"/>
          <w:sz w:val="20"/>
        </w:rPr>
        <w:t>, and, subject to FDA approval, UGN-103 and UGN-104.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7, 2022, UroGen Pharma Ltd., UroGen Pharma, Inc., as the borrower (the "Borrower"), and certain of our direct and indirect subsidiaries party thereto from time to time, as guarantors ("Guarantors" and, collectively with UroGen Pharma Ltd. and Borrower, "Credit Parties"), entered into a loan agreement (the "2022 Loan Agreement") with funds managed by Pharmakon, including BPCR Limited Partnership (as a "Lender"), BioPharma Credit Investments V (Master) LP as a Lender, and BioPharma Credit PLC, as collateral agent for the Lenders (in such capacity, "Collateral Agent"), pursuant to which the Lenders agreed to make term loans to the Borrower in an aggregate principal amount of up to $100.0 million (the “Initial Term Loans”) to be funded in two tranches. The first tranche of $75.0 million ($72.6 million of proceeds were received, $70.8 million net of additional transaction costs) was funded in March 2022, and the second tranche of $25.0 million was funded in December 2022.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13, 2024, we entered into an amended and restated loan agreement with Pharmakon, which replaced the 2022 Loan Agreement, for an additional third and fourth tranche of senior secured loan (the "2024 Loan Agreement"). The third tranche of $25.0 million was funded in September 2024. The fourth tranche of $75.0 million became available upon our receipt of FDA approval of our NDA for </w:t>
      </w:r>
      <w:r>
        <w:rPr>
          <w:rFonts w:ascii="Arial;Helvetica;sans-serif" w:hAnsi="Arial;Helvetica;sans-serif"/>
          <w:i/>
          <w:sz w:val="20"/>
        </w:rPr>
        <w:t>Zusduri</w:t>
      </w:r>
      <w:r>
        <w:rPr>
          <w:rFonts w:ascii="Arial;Helvetica;sans-serif" w:hAnsi="Arial;Helvetica;sans-serif"/>
          <w:sz w:val="20"/>
        </w:rPr>
        <w:t> and could have been drawn at our option no later than August 29, 2025, subject to the satisfaction of customary bringdown conditions and deliverables. We elected not to draw down the fourth tranche.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26, 2026 (the “Closing Date”), we entered into a second amended and restated loan agreement with Pharmakon, which replaced the 2024 Loan Agreement (the “2026 Loan Agreement”), providing for a senior secured term loan facility of up to $250.0 million, consisting of two tranches. The first tranche of $200.0 million was advanced on the Closing Date and refinanced our term loan facility under the 2024 Loan Agreement which had $125.0 million of outstanding principal, with the remaining proceeds available for general corporate purposes and working capital. The second tranche of $50.0 million may be drawn at our option no later than June 30, 2027, subject to customary conditions. The term loans mature on the fifth anniversary of the Closing 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 outstanding loans with Pharmakon will accrue interest at a fixed rate of 8.25% and are repayable in four equal quarterly payments commencing in the second quarter of 2030, which are subject to an exit fee of 1% of the principal amount being repaid. We may prepay the loans in whole at our discretion at any time, subject to prepayment premiums, make-whole amounts, as applicable, and fees.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may require additional capital to complete clinical trials, obtain regulatory approval for and commercialize our product candidates, and otherwise fund our operations. Our operating plan may change as a result of many factors currently unknown to us, and we may need to seek additional funds sooner than planned, through public or private equity financings, convertible debt or debt financings, third-party funding, marketing and distribution arrangements, as well as other collaborations, strategic alliances and licensing arrangements, or a combination of these approaches. We may also require additional capital to pursue nonclinical and clinical activities, and pursue regulatory approval for, and to commercialize, our pipeline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favorable terms,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adequate funds are not available to us on a timely basis, we may be required or choose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delay, limit, reduce or terminate nonclinical studies, clinical trials or other development activities for our product candidates or any of our future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delay, limit, reduce or terminate our other research and development activities;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delay, limit, reduce or terminate our establishment or expansion of manufacturing, sales and marketing or distribution capabilities or other activities that may be necessary to commercialize </w:t>
            </w:r>
            <w:r>
              <w:rPr>
                <w:rFonts w:ascii="Arial" w:hAnsi="Arial"/>
                <w:i/>
                <w:caps w:val="false"/>
                <w:smallCaps w:val="false"/>
                <w:sz w:val="20"/>
              </w:rPr>
              <w:t>Jelmyto, Zusduri</w:t>
            </w:r>
            <w:r>
              <w:rPr>
                <w:rFonts w:ascii="Arial" w:hAnsi="Arial"/>
                <w:caps w:val="false"/>
                <w:smallCaps w:val="false"/>
                <w:sz w:val="20"/>
              </w:rPr>
              <w:t> or any of our product candidates that obtain marketing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may also be unable to expand our operations or otherwise capitalize on our business opportunities, as desired, which could harm our business, financial condition, cash flows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indebtedness resulting from our loan agreement with Pharmakon could adversely affect our financial condition or restrict our future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March 2022, we entered into a loan agreement with Pharmakon pursuant to which the Lenders funded the Initial Term Loans to the Borrower in an aggregate principal amount of $100.0 million in two tranches. In March 2024, we entered into the 2024 Loan Agreement, pursuant to which the Lenders agreed to make additional term loans to the Borrower in an aggregate principal amount of up to $100.0 million to be funded in two tranches. The third tranche of $25.0 million was funded in September 2024. The fourth tranche of $75.0 million became available upon our receipt of FDA approval of our NDA for </w:t>
      </w:r>
      <w:r>
        <w:rPr>
          <w:rFonts w:ascii="Arial" w:hAnsi="Arial"/>
          <w:i/>
          <w:caps w:val="false"/>
          <w:smallCaps w:val="false"/>
          <w:sz w:val="20"/>
        </w:rPr>
        <w:t>Zusduri</w:t>
      </w:r>
      <w:r>
        <w:rPr>
          <w:rFonts w:ascii="Arial" w:hAnsi="Arial"/>
          <w:caps w:val="false"/>
          <w:smallCaps w:val="false"/>
          <w:sz w:val="20"/>
        </w:rPr>
        <w:t> and could have been drawn at our option no later than August 29, 2025, subject to customary bringdown conditions and deliverables. We elected not to draw down the fourth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February 26, 2026, we entered into the 2026 Loan Agreement with Pharmakon for a senior secured term loan of up to $250 million, consisting of two tranches. The first tranche of $200.0 million was advanced on the Closing Date and refinanced our term loan facility under the 2024 Loan Agreement which had $125.0 million of outstanding principal, with the remaining proceeds available for general corporate purposes and working capital. The second tranche of $50.0 million may be drawn at our option no later than June 30, 2027, subject to customary conditions. The term loans mature on the fifth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obligations of the Borrower under the 2026 Loan Agreement are guaranteed on a full and unconditional basis by the Credit Parties and are secured by substantially all of the respective Credit Parties’ tangible and intangible assets and property, including intellectual property,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2026 Loan Agreement contains negative covenants that, among other things and subject to certain exceptions, restrict our ability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caps w:val="false"/>
          <w:smallCaps w:val="false"/>
        </w:rPr>
      </w:pPr>
      <w:r>
        <w:rPr>
          <w:caps w:val="false"/>
          <w:smallCaps w:val="false"/>
        </w:rPr>
        <w:t xml:space="preserve">• </w:t>
      </w:r>
      <w:r>
        <w:rPr>
          <w:rFonts w:ascii="Arial" w:hAnsi="Arial"/>
          <w:caps w:val="false"/>
          <w:smallCaps w:val="false"/>
          <w:sz w:val="20"/>
        </w:rPr>
        <w:t>sell or dispose of assets, including certain intellectual property;</w:t>
        <w:br/>
        <w:t>• amend, modify or waive certain agreements or organizational documents;</w:t>
        <w:br/>
        <w:t>• consummate certain change in control transactions;</w:t>
        <w:br/>
        <w:t>• incur certain additional indebtedness;</w:t>
        <w:br/>
        <w:t>• incur any non-permitted lien or other encumbrance on the Credit Parties’ assets;</w:t>
        <w:br/>
        <w:t>• pay dividends or make any distribution or payment on or redeem, retire or purchase any equity interests; and</w:t>
        <w:br/>
        <w:t>• make payments of certain subordinated indebtedness.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we are required under the 2026 Loan Agreement to comply with various operating covenants and default clauses that may restrict our ability to finance our operations, engage in business activities or expand or fully pursue our business strategies. A breach of any of these covenants or clauses could result in a default under the 2026 Loan Agreement, which could cause all of the outstanding indebtedness under the 2026 Loan Agreement to become immediately due and payable, including a make whole amount and prepayment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are unable to generate sufficient cash to repay our debt obligations when they become due and payable, we may not be able to obtain additional debt or equity financing on favorable terms, if at all, which may negatively affect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Covenants under our Prepaid Forward Contract with RTW restrict our ability to borrow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March 2021, we entered into a prepaid forward agreement (the "Forward Contract") with RTW, pursuant to which we are obligated to make tiered cash payments to RTW, based on the worldwide annual net product sales of </w:t>
      </w:r>
      <w:r>
        <w:rPr>
          <w:rFonts w:ascii="Arial" w:hAnsi="Arial"/>
          <w:i/>
          <w:caps w:val="false"/>
          <w:smallCaps w:val="false"/>
          <w:sz w:val="20"/>
        </w:rPr>
        <w:t>Jelmyto, Zusduri</w:t>
      </w:r>
      <w:r>
        <w:rPr>
          <w:rFonts w:ascii="Arial" w:hAnsi="Arial"/>
          <w:caps w:val="false"/>
          <w:smallCaps w:val="false"/>
          <w:sz w:val="20"/>
        </w:rPr>
        <w:t> and, subject to FDA approval, UGN-103 and UGN-104 (together, the “Products”), subject to an aggregate revenue cap of $300.0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Until the earlier of such time that (i) our aggregate worldwide annual net product sales of the Products reach a certain threshold or (ii) our market capitalization reaches a certain threshold, (a) we have granted RTW a security interest in the Products and the regulatory approvals, intellectual property, material agreements, proceeds and accounts receivable related to the Products (the “Product Collateral”), (b) we are subject to a negative pledge in respect of the Product Collateral and (c) we may not incur additional indebtedness secured by Product Collateral without such secured debt provider entering into a intercreditor agreement with RTW. Upon the occurrence of an insolvency event, as defined in the Forward Contract, any remaining payment obligations under the Forward Contract will be automatically accelerated.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Forward Contract requires us to use a significant portion of our cash flow to make payments to RTW, limits our ability to borrow additional funds for working capital, capital expenditures or other general business purposes, limits our flexibility to plan for, or react to, changes in our business and industry, places us at a competitive disadvantage compared to our competitors not subject to similar restrictions and increases our vulnerability to the impact of adverse economic industry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Raising additional capital may cause dilution to our shareholders, restrict our operations or require us to relinquish rights to our technologies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Until such time, if ever, as we can generate sufficient product revenues to support our operations and capital requirements, we expect to supplement our cash needs through equity, convertible debt or debt financings, as well as selectively continuing to enter into collaborations, strategic alliances and licensing arrangements. Other than the second tranche of $50.0 million available under our term loan facility with Pharmakon, we do not currently have any committed external source of funds. To the extent that we raise additional capital through the sale of equity or convertible debt securities, including pursuant to the ATM Sales Agreement, our shareholders' ownership interest in us will be diluted, and the terms of these securities may include liquidation or other preferences that adversely affect our shareholders' rights as ordinary shareholders.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Risks Related to Our Business and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We are highly dependent on the successful commercialization of our approved products, Jelmyto and Zusduri.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is our first product, which we commercially launched in the United States in June 2020.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is our second product, which we began commercializing in the United States in late June 2025. We have invested significant efforts and financial resources in the research and development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We are focusing a significant portion of our activities and resources on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we believe our prospects are highly dependent on, and a significant portion of the value of our company relates to, our ability to successfully commercialize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Successful commercialization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is subject to many risks. We initiated our commercial launch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in June 2020, and prior to that, we had never, as an organization, launched or commercialized any product. There is no guarantee that our commercialization efforts will be successful, or that we will be able to successfully launch and commercialize any other product candidates that receive regulatory approval. There are numerous examples of unsuccessful product launches and failures to meet high expectations of market potential, including by pharmaceutical companies with more experience and resources than us. While we have established and expanded our commercial team and our U.S. sales force, we will need to maintain, further train and develop our team in order to successfully execute the ongoing commercialization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There are many factors that could cause the commercialization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to be unsuccessful, including a number of factors that are outside of our control. We must also properly educate physicians and nurses on the skillful preparation and administration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develop a broad experiential knowledge base of aggregated clinician feedback from which we can refine appropriate procedures for product administration, without which there could be a risk of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Because no drug has previously been approved by the FDA for the treatment of low-grade UTUC, it is difficult to estimate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’s market potential and we have based our estimates on limited scientific literature or other research on incidence prevalence and our commercialization experience to date. Similarly,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is the first FDA-approved non-surgical treatment for adult patients with recurrent low-grade intermediate risk NMIBC. The commercial success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depends on the extent to which patients and physicians accept and adopt them as a treatment, and we do not know whether our or others’ estimates in this regard will be accurate. For example, if the patient population suffering from low-grade UTUC is smaller than we estimate or if physicians are unwilling to prescribe or patients are unwilling to be treated with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due to label warnings, adverse events associated with product administration or other reasons, the commercial potential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will be limited. Physicians may not prescribe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patients may be unwilling to be treated with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if coverage is not provided or reimbursement is inadequate to cover a significant portion of the cost. Additionally, any negative development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 our post-marketing commitments, or in regulatory processes in other jurisdictions, may adversely impact the commercial results and potential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Thus, significant uncertainty remains regarding their commercial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our commercialization efforts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could be hindered by pandemics, epidemics or public health emergencies.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sales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and/or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do not meet expectations, our share price could decline significantly and the long-term success of the products and our company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Post-approval results for our approved drugs in larger numbers of patients and broader populations may not be consistent with the results from our 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Prior to approval our drugs have been administered only to a limited number of patients and in limited populations in clinical studies. We do not know whether the results when a larger number of patients and a broader population are exposed to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including results related to safety and efficacy, will be consistent with the results from earlier clinical studies that served as the basis for their respective approval. New data, including from spontaneous adverse event reports and post-marketing studies in the United States, and other ongoing clinical studies to evaluate real world experience and outcomes of patients in the United States may result in changes to the product label and may adversely affect sales, or result in withdrawal of our products from the market. The FDA and regulatory authorities in other jurisdictions may also consider the new data in reviewing potential marketing applications in other jurisdictions, or imposing post</w:t>
        <w:noBreakHyphen/>
        <w:t>approval requirements. If any of these actions were to occur, it could result in significant expense and delay or limit our ability to generate sales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We have limited experience as an organization in marketing and distributing products and are therefore subject to certain risks in relation to the commercialization of Jelmyto, Zusduri and any of our</w:t>
      </w:r>
      <w:r>
        <w:rPr>
          <w:rFonts w:ascii="Arial" w:hAnsi="Arial"/>
          <w:caps w:val="false"/>
          <w:smallCaps w:val="false"/>
          <w:sz w:val="20"/>
        </w:rPr>
        <w:t> </w:t>
      </w:r>
      <w:r>
        <w:rPr>
          <w:rFonts w:ascii="Arial" w:hAnsi="Arial"/>
          <w:b/>
          <w:i/>
          <w:caps w:val="false"/>
          <w:smallCaps w:val="false"/>
          <w:sz w:val="20"/>
        </w:rPr>
        <w:t>product candidates that receive</w:t>
      </w:r>
      <w:r>
        <w:rPr>
          <w:rFonts w:ascii="Arial" w:hAnsi="Arial"/>
          <w:caps w:val="false"/>
          <w:smallCaps w:val="false"/>
          <w:sz w:val="20"/>
        </w:rPr>
        <w:t> </w:t>
      </w:r>
      <w:r>
        <w:rPr>
          <w:rFonts w:ascii="Arial" w:hAnsi="Arial"/>
          <w:b/>
          <w:i/>
          <w:caps w:val="false"/>
          <w:smallCaps w:val="false"/>
          <w:sz w:val="20"/>
        </w:rPr>
        <w:t>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strategy is to build and maintain a fully integrated biotechnology company to successfully execute the commercialization of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in the United States. </w:t>
      </w:r>
      <w:r>
        <w:rPr>
          <w:rFonts w:ascii="Arial" w:hAnsi="Arial"/>
          <w:i/>
          <w:caps w:val="false"/>
          <w:smallCaps w:val="false"/>
          <w:sz w:val="20"/>
        </w:rPr>
        <w:t>Jelmyto</w:t>
      </w:r>
      <w:r>
        <w:rPr>
          <w:rFonts w:ascii="Arial" w:hAnsi="Arial"/>
          <w:caps w:val="false"/>
          <w:smallCaps w:val="false"/>
          <w:sz w:val="20"/>
        </w:rPr>
        <w:t> became available in the United States in June 2020 and </w:t>
      </w:r>
      <w:r>
        <w:rPr>
          <w:rFonts w:ascii="Arial" w:hAnsi="Arial"/>
          <w:i/>
          <w:caps w:val="false"/>
          <w:smallCaps w:val="false"/>
          <w:sz w:val="20"/>
        </w:rPr>
        <w:t>Zusduri</w:t>
      </w:r>
      <w:r>
        <w:rPr>
          <w:rFonts w:ascii="Arial" w:hAnsi="Arial"/>
          <w:caps w:val="false"/>
          <w:smallCaps w:val="false"/>
          <w:sz w:val="20"/>
        </w:rPr>
        <w:t> became available in the United States in June 2025. While we have established a commercial management team and have also established a field-based organization comprised of a sales team, reimbursement support team, clinical nurse educators, national account managers and medical science liaisons, we currently have limited experience commercializing pharmaceutical products as an organization. In order to successfully commercialize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we must continue to develop our sales, marketing, managerial, compliance and related capabilities or make arrangements with third parties to perform these services. This involves many challenges, such as recruiting and retaining talented personnel, training employees, setting the appropriate system of incentives, managing additional headcount and integrating new business units into an existing corporate infrastructure. These efforts will continue to be expensive and time-consuming, and we cannot be certain that we will be able to successfully further develop these capabilities. Additionally, we will need to maintain and further develop our sales force, and we will be competing with other pharmaceutical and biotechnology companies to recruit, hire, train and retain marketing and sales personnel. In the event we are unable to effectively develop and maintain our commercial team, including our sales force, our ability to effectively commercialize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would be limited, and we would not be able to generate product revenues successfully. If we fail to establish and maintain an effective sales and marketing infrastructure, we will be unable to successfully commercialize our product candidates, which in turn would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i/>
          <w:caps w:val="false"/>
          <w:smallCaps w:val="false"/>
          <w:sz w:val="20"/>
        </w:rPr>
        <w:t>If we are unable to effectively train and equip our sales force, our ability to successfully commercialize Jelmyto, Zusduri</w:t>
      </w:r>
      <w:r>
        <w:rPr>
          <w:rFonts w:ascii="Arial" w:hAnsi="Arial"/>
          <w:b/>
          <w:caps w:val="false"/>
          <w:smallCaps w:val="false"/>
          <w:sz w:val="20"/>
        </w:rPr>
        <w:t> </w:t>
      </w:r>
      <w:r>
        <w:rPr>
          <w:rFonts w:ascii="Arial" w:hAnsi="Arial"/>
          <w:b/>
          <w:i/>
          <w:caps w:val="false"/>
          <w:smallCaps w:val="false"/>
          <w:sz w:val="20"/>
        </w:rPr>
        <w:t>and any future product candidates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sales force has promoted </w:t>
      </w:r>
      <w:r>
        <w:rPr>
          <w:rFonts w:ascii="Arial" w:hAnsi="Arial"/>
          <w:i/>
          <w:caps w:val="false"/>
          <w:smallCaps w:val="false"/>
          <w:sz w:val="20"/>
        </w:rPr>
        <w:t>Jelmyto</w:t>
      </w:r>
      <w:r>
        <w:rPr>
          <w:rFonts w:ascii="Arial" w:hAnsi="Arial"/>
          <w:caps w:val="false"/>
          <w:smallCaps w:val="false"/>
          <w:sz w:val="20"/>
        </w:rPr>
        <w:t xml:space="preserve"> since its launch in June 2020 and </w:t>
      </w:r>
      <w:r>
        <w:rPr>
          <w:rFonts w:ascii="Arial" w:hAnsi="Arial"/>
          <w:i/>
          <w:caps w:val="false"/>
          <w:smallCaps w:val="false"/>
          <w:sz w:val="20"/>
        </w:rPr>
        <w:t xml:space="preserve">Zusduri </w:t>
      </w:r>
      <w:r>
        <w:rPr>
          <w:rFonts w:ascii="Arial" w:hAnsi="Arial"/>
          <w:caps w:val="false"/>
          <w:smallCaps w:val="false"/>
          <w:sz w:val="20"/>
        </w:rPr>
        <w:t>since we began commercialization in June 2025. </w:t>
      </w:r>
      <w:r>
        <w:rPr>
          <w:rFonts w:ascii="Arial" w:hAnsi="Arial"/>
          <w:i/>
          <w:caps w:val="false"/>
          <w:smallCaps w:val="false"/>
          <w:sz w:val="20"/>
        </w:rPr>
        <w:t>Jelmyto</w:t>
      </w:r>
      <w:r>
        <w:rPr>
          <w:rFonts w:ascii="Arial" w:hAnsi="Arial"/>
          <w:caps w:val="false"/>
          <w:smallCaps w:val="false"/>
          <w:sz w:val="20"/>
        </w:rPr>
        <w:t> is the first drug approved by the FDA for the treatment of low-grade UTUC. Similarly, </w:t>
      </w:r>
      <w:r>
        <w:rPr>
          <w:rFonts w:ascii="Arial" w:hAnsi="Arial"/>
          <w:i/>
          <w:caps w:val="false"/>
          <w:smallCaps w:val="false"/>
          <w:sz w:val="20"/>
        </w:rPr>
        <w:t>Zusduri</w:t>
      </w:r>
      <w:r>
        <w:rPr>
          <w:rFonts w:ascii="Arial" w:hAnsi="Arial"/>
          <w:caps w:val="false"/>
          <w:smallCaps w:val="false"/>
          <w:sz w:val="20"/>
        </w:rPr>
        <w:t> was approved by the FDA in June 2025, and is the first and only FDA-approved medication for adults with recurrent low-grade intermediate risk NMIBC. As a result, we are, and will continue to, be required to expend significant time and resources to train our sales force to be credible, persuasive, and compliant with applicable laws in marketing </w:t>
      </w:r>
      <w:r>
        <w:rPr>
          <w:rFonts w:ascii="Arial" w:hAnsi="Arial"/>
          <w:i/>
          <w:caps w:val="false"/>
          <w:smallCaps w:val="false"/>
          <w:sz w:val="20"/>
        </w:rPr>
        <w:t>Jelmyto</w:t>
      </w:r>
      <w:r>
        <w:rPr>
          <w:rFonts w:ascii="Arial" w:hAnsi="Arial"/>
          <w:caps w:val="false"/>
          <w:smallCaps w:val="false"/>
          <w:sz w:val="20"/>
        </w:rPr>
        <w:t> for the treatment of low-grade UTUC, and </w:t>
      </w:r>
      <w:r>
        <w:rPr>
          <w:rFonts w:ascii="Arial" w:hAnsi="Arial"/>
          <w:i/>
          <w:caps w:val="false"/>
          <w:smallCaps w:val="false"/>
          <w:sz w:val="20"/>
        </w:rPr>
        <w:t>Zusduri</w:t>
      </w:r>
      <w:r>
        <w:rPr>
          <w:rFonts w:ascii="Arial" w:hAnsi="Arial"/>
          <w:caps w:val="false"/>
          <w:smallCaps w:val="false"/>
          <w:sz w:val="20"/>
        </w:rPr>
        <w:t> for the treatment of adult patients with recurrent low-grade intermediate risk NMIBC.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we must train our sales force to ensure that consistent and appropriate messaging about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is being delivered to our customers. We generally manage and deploy our sales force by geographic coverage across the United States. Lack of coverage due to turnover of personnel, and/or inability to identify and integrate additional personnel would have a negative impact on our ability to engage with physicians and other stakeholders. If we are unable to effectively train, deploy and retain our sales force and equip them with effective materials, including medical and sales literature to help them inform and educate customers about the benefits and risks of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and any future product candidates, and their proper administration, our efforts to successfully commercialize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and any future product candidates could be compromised, which would negatively impact our ability to generate product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can be no assurance that our sales force will continue to have in-person access to physicians as a result of pandemics, epidemics or public health emergencies, or that digital materials and virtual engagement will be effective at growing and sustaining prescription levels of </w:t>
      </w:r>
      <w:r>
        <w:rPr>
          <w:rFonts w:ascii="Arial" w:hAnsi="Arial"/>
          <w:i/>
          <w:caps w:val="false"/>
          <w:smallCaps w:val="false"/>
          <w:sz w:val="20"/>
        </w:rPr>
        <w:t>Jelmyto</w:t>
      </w:r>
      <w:r>
        <w:rPr>
          <w:rFonts w:ascii="Arial" w:hAnsi="Arial"/>
          <w:caps w:val="false"/>
          <w:smallCaps w:val="false"/>
          <w:sz w:val="20"/>
        </w:rPr>
        <w:t> and successfully launching </w:t>
      </w:r>
      <w:r>
        <w:rPr>
          <w:rFonts w:ascii="Arial" w:hAnsi="Arial"/>
          <w:i/>
          <w:caps w:val="false"/>
          <w:smallCaps w:val="false"/>
          <w:sz w:val="20"/>
        </w:rPr>
        <w:t>Zusduri</w:t>
      </w:r>
      <w:r>
        <w:rPr>
          <w:rFonts w:ascii="Arial" w:hAnsi="Arial"/>
          <w:caps w:val="false"/>
          <w:smallCaps w:val="false"/>
          <w:sz w:val="20"/>
        </w:rPr>
        <w:t>. Disruptions in the prescription volumes of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could also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if patients are physically quarantined or are unable or unwilling to visit healthcare providers;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if physicians restrict access to their facilities for a material period of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if healthcare providers prioritize treatment of acute or communicable illnesses over treatment of low-grade UTUC and/or recurrent low-grade intermediate risk NMIBC;</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if pharmacies are closed or suffering staff shortages or supply chain disruptions;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if patients lose access to employer-sponsored health insurance due to periods of high unemployment;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as a result of general disruptions in the operations of payors, distributors, logistics providers and other third parties that are necessary for </w:t>
            </w:r>
            <w:r>
              <w:rPr>
                <w:rFonts w:ascii="Arial" w:hAnsi="Arial"/>
                <w:i/>
                <w:caps w:val="false"/>
                <w:smallCaps w:val="false"/>
                <w:sz w:val="20"/>
              </w:rPr>
              <w:t>Jelmyto</w:t>
            </w:r>
            <w:r>
              <w:rPr>
                <w:rFonts w:ascii="Arial" w:hAnsi="Arial"/>
                <w:caps w:val="false"/>
                <w:smallCaps w:val="false"/>
                <w:sz w:val="20"/>
              </w:rPr>
              <w:t xml:space="preserve"> or </w:t>
            </w:r>
            <w:r>
              <w:rPr>
                <w:rFonts w:ascii="Arial" w:hAnsi="Arial"/>
                <w:i/>
                <w:caps w:val="false"/>
                <w:smallCaps w:val="false"/>
                <w:sz w:val="20"/>
              </w:rPr>
              <w:t xml:space="preserve">Zusduri </w:t>
            </w:r>
            <w:r>
              <w:rPr>
                <w:rFonts w:ascii="Arial" w:hAnsi="Arial"/>
                <w:caps w:val="false"/>
                <w:smallCaps w:val="false"/>
                <w:sz w:val="20"/>
              </w:rPr>
              <w:t>to be prescribed, reconstituted, instilled and reimbursed.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The market opportunities for Jelmyto, Zusduri and our product candidates may be smaller than we anticipate or limited to those patients who are ineligible for established therapies or for whom prior therapies have failed and may be small.*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believe </w:t>
      </w:r>
      <w:r>
        <w:rPr>
          <w:rFonts w:ascii="Arial" w:hAnsi="Arial"/>
          <w:i/>
          <w:caps w:val="false"/>
          <w:smallCaps w:val="false"/>
          <w:sz w:val="20"/>
        </w:rPr>
        <w:t>Zusduri</w:t>
      </w:r>
      <w:r>
        <w:rPr>
          <w:rFonts w:ascii="Arial" w:hAnsi="Arial"/>
          <w:caps w:val="false"/>
          <w:smallCaps w:val="false"/>
          <w:sz w:val="20"/>
        </w:rPr>
        <w:t xml:space="preserve"> may provide an alternative to surgery as the standard of care for adults with recurrent low-grade intermediate risk NMIBC. However, the market opportunity for </w:t>
      </w:r>
      <w:r>
        <w:rPr>
          <w:rFonts w:ascii="Arial" w:hAnsi="Arial"/>
          <w:i/>
          <w:caps w:val="false"/>
          <w:smallCaps w:val="false"/>
          <w:sz w:val="20"/>
        </w:rPr>
        <w:t xml:space="preserve">Zusduri </w:t>
      </w:r>
      <w:r>
        <w:rPr>
          <w:rFonts w:ascii="Arial" w:hAnsi="Arial"/>
          <w:caps w:val="false"/>
          <w:smallCaps w:val="false"/>
          <w:sz w:val="20"/>
        </w:rPr>
        <w:t>may be smaller than we anticipate or limited to those patients who are ineligible for established therapies or for whom prior therapies have failed. Our other or future product candidates, including UGN-103, UGN-104 and UGN-501, may face similar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Jelmyto, Zusduri and any of our product candidates that receive</w:t>
      </w:r>
      <w:r>
        <w:rPr>
          <w:rFonts w:ascii="Arial" w:hAnsi="Arial"/>
          <w:caps w:val="false"/>
          <w:smallCaps w:val="false"/>
          <w:sz w:val="20"/>
        </w:rPr>
        <w:t> </w:t>
      </w:r>
      <w:r>
        <w:rPr>
          <w:rFonts w:ascii="Arial" w:hAnsi="Arial"/>
          <w:b/>
          <w:i/>
          <w:caps w:val="false"/>
          <w:smallCaps w:val="false"/>
          <w:sz w:val="20"/>
        </w:rPr>
        <w:t>regulatory approval may fail to achieve the broad degree of physician adoption and use and market acceptance necessary for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commercial success of </w:t>
      </w:r>
      <w:r>
        <w:rPr>
          <w:rFonts w:ascii="Arial" w:hAnsi="Arial"/>
          <w:i/>
          <w:caps w:val="false"/>
          <w:smallCaps w:val="false"/>
          <w:sz w:val="20"/>
        </w:rPr>
        <w:t>Jelmyto, Zusduri</w:t>
      </w:r>
      <w:r>
        <w:rPr>
          <w:rFonts w:ascii="Arial" w:hAnsi="Arial"/>
          <w:caps w:val="false"/>
          <w:smallCaps w:val="false"/>
          <w:sz w:val="20"/>
        </w:rPr>
        <w:t> and any product candidates that receive regulatory approval will depend significantly on their broad adoption and use by physicians for approved indications, including, in the case of </w:t>
      </w:r>
      <w:r>
        <w:rPr>
          <w:rFonts w:ascii="Arial" w:hAnsi="Arial"/>
          <w:i/>
          <w:caps w:val="false"/>
          <w:smallCaps w:val="false"/>
          <w:sz w:val="20"/>
        </w:rPr>
        <w:t>Jelmyto</w:t>
      </w:r>
      <w:r>
        <w:rPr>
          <w:rFonts w:ascii="Arial" w:hAnsi="Arial"/>
          <w:caps w:val="false"/>
          <w:smallCaps w:val="false"/>
          <w:sz w:val="20"/>
        </w:rPr>
        <w:t>, for the treatment of adults with low-grade UTUC, and in the case of </w:t>
      </w:r>
      <w:r>
        <w:rPr>
          <w:rFonts w:ascii="Arial" w:hAnsi="Arial"/>
          <w:i/>
          <w:caps w:val="false"/>
          <w:smallCaps w:val="false"/>
          <w:sz w:val="20"/>
        </w:rPr>
        <w:t>Zusduri</w:t>
      </w:r>
      <w:r>
        <w:rPr>
          <w:rFonts w:ascii="Arial" w:hAnsi="Arial"/>
          <w:caps w:val="false"/>
          <w:smallCaps w:val="false"/>
          <w:sz w:val="20"/>
        </w:rPr>
        <w:t>, for the treatment of adults with recurrent low-grade intermediate risk NMIBC, and for other therapeutic indications that we may seek to pursue with any of our product candidates. Physicians treating low-grade UTUC and recurrent low-grade intermediate risk NMIBC have never had to consider treatments other than surgery. The degree and rate of physician and patient adoption of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or any of our product candidates, if approved, will depend on a number of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clinical indications for which the product is approved;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safety and efficacy data from the clinical trial(s) supporting the approved clinical indications;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approved labeling and packaging for our products, including the degree of product preparation and administration convenience and ease of use that is afforded to physicians by the approved labeling and product packaging;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prevalence and severity of adverse side effects and the level of benefit/risk observed in our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sufficient patient satisfaction with the results and administration of our products and overall treatment experience, including relative convenience, ease of use and avoidance of, or reduction in, adverse side effects;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extent to which physicians recommend our products to patients;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physicians’ and patients’ willingness to adopt new therapies in lieu of other products or treatments, including willingness to adopt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as locally-administered drug replacements to current surgical standards of care;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cost of treatment, safety and efficacy of our products in relation to alternative treatments, including the recurrence rate of our treatments;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extent to which the costs of our products are covered and reimbursed by third-party payors, including the availability of a physician reimbursement code for our treatments, and patients’ willingness to pay for our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whether treatment with our products, including the treatment of low-grade UTUC with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and the treatment of adult patients with recurrent low-grade intermediate risk NMIBC with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will be deemed to be an elective procedure by third- party payors; if so, the cost of treatment would be borne by the patient and would be less likely to be broadly adopted;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proper education of physicians or nurses for the skillful administration of our approved products, </w:t>
            </w:r>
            <w:r>
              <w:rPr>
                <w:rFonts w:ascii="Arial;Helvetica;sans-serif" w:hAnsi="Arial;Helvetica;sans-serif"/>
                <w:i/>
                <w:caps w:val="false"/>
                <w:smallCaps w:val="false"/>
                <w:sz w:val="20"/>
              </w:rPr>
              <w:t xml:space="preserve">Jelmyto </w:t>
            </w:r>
            <w:r>
              <w:rPr>
                <w:rFonts w:ascii="Arial;Helvetica;sans-serif" w:hAnsi="Arial;Helvetica;sans-serif"/>
                <w:caps w:val="false"/>
                <w:smallCaps w:val="false"/>
                <w:sz w:val="20"/>
              </w:rPr>
              <w:t xml:space="preserve">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and development of a broad experiential knowledge base of aggregated clinician feedback from which we can refine appropriate procedures for product administration, without which there could be a risk of adverse events;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effectiveness of our sales and marketing efforts, especially the success of any targeted marketing efforts directed toward physicians and clinics and any direct-to-consumer marketing efforts we may initiate;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third-party clinical practice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or any of our product candidates that are approved for use fail to achieve the broad degree of physician adoption and market acceptance necessary for commercial success, our operating results and financial condition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Jelmyto, Zusduri and our product candidates, if approved, will face significant competition with competing technologies and our failure to compete effectively may prevent us from achieving significant market penetration.*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biotechnology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aware of several pharmaceutical companies that are developing drugs in the general fields of urology and uro-oncology, such as AstraZeneca, Aura Biosciences., Bristol Myers Squibb, CG Oncology, enGene Holdings, Ferring Pharmaceuticals, Fidia Pharmaceuticals, GSK, ImmunityBio, ImmVira, ImPact Biotech, Johnson &amp; Johnson, LIPAC Oncology, Merck, Pfizer, Prokarium, Protara Therapeutics, Relmada Therapeutics, Roche, Samyang Biopharma, Sustained Therapeutics, SURGE Therapeutics, Theralase Technologies, Trigone Pharma, Tyra Biosciences, and Vyriad. We are aware of the FDA's approval of treatments such as Ferring Pharmaceuticals' ADSTILADRIN, which was approved by the FDA for the treatment of high-risk BCG-unresponsive NMIBC in 2022, and Johnson &amp; Johnson's INLEXZO, which was approved by the FDA the treatment of adult patients with BCG-unresponsive NMIBC with carcinoma in situ, with or without papillary tumors in September 2025. We are also aware there are companies among this list conducting clinical trials in various phases in the same indications in which we are developing products. If we are unable to maintain patent protection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may be subject to immediate competition from FDA-approved generic entrants after orphan drug exclusivity for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expires in April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Additionally,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products that are more effective, easier to administer or less costly than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we face competition from existing standards of treatment, surgical tumor resection procedures. If we are not able to demonstrate that our product candidates are at least as safe and effective as such courses of treatment, medical professionals may not adopt our product candidates in replacement of the existing standard of care. Generic mitomycin injectable drug products, while approved by FDA for gastric and pancreatic cancers, are neither approved for low-grade UTUC nor reconstituted with hydrogel in an FDA-approved product as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is, although they may be used off-label by physicians for the treatment of low-grade UTUC, as they have been prior to the approval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xml:space="preserve">. Similarly, generic mitomycin injectable drug products have not been approved for the treatment of low-grade intermediate risk NMIBC, nor reconstituted with hydrogel in an FDA-approved product such as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xml:space="preserve">, although they may be used off-label by physicians for the treatment of low-grade intermediate risk NMIBC as they have been prior to the approval of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ability to market Jelmyto, Zusduri and any of our product candidates that receive regulatory approval is and will be limited to certain indications. If we want to expand the indications for which we may market our products, we will need to obtain additional regulatory approvals, which may not be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i/>
          <w:caps w:val="false"/>
          <w:smallCaps w:val="false"/>
          <w:sz w:val="20"/>
        </w:rPr>
        <w:t>Jelmyto</w:t>
      </w:r>
      <w:r>
        <w:rPr>
          <w:rFonts w:ascii="Arial" w:hAnsi="Arial"/>
          <w:caps w:val="false"/>
          <w:smallCaps w:val="false"/>
          <w:sz w:val="20"/>
        </w:rPr>
        <w:t> is indicated for adult patients with low-grade UTUC and </w:t>
      </w:r>
      <w:r>
        <w:rPr>
          <w:rFonts w:ascii="Arial" w:hAnsi="Arial"/>
          <w:i/>
          <w:caps w:val="false"/>
          <w:smallCaps w:val="false"/>
          <w:sz w:val="20"/>
        </w:rPr>
        <w:t>Zusduri</w:t>
      </w:r>
      <w:r>
        <w:rPr>
          <w:rFonts w:ascii="Arial" w:hAnsi="Arial"/>
          <w:caps w:val="false"/>
          <w:smallCaps w:val="false"/>
          <w:sz w:val="20"/>
        </w:rPr>
        <w:t> is indicated for adult patients with recurrent low-grade intermediate risk NMIBC. We are currently developing UGN-103, UGN-104 and UGN-501 for the treatment of various forms of urothelial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If we are found to have improperly promoted off-label uses of Jelmyto, Zusduri or any of our</w:t>
      </w:r>
      <w:r>
        <w:rPr>
          <w:rFonts w:ascii="Arial" w:hAnsi="Arial"/>
          <w:caps w:val="false"/>
          <w:smallCaps w:val="false"/>
          <w:sz w:val="20"/>
        </w:rPr>
        <w:t> </w:t>
      </w:r>
      <w:r>
        <w:rPr>
          <w:rFonts w:ascii="Arial" w:hAnsi="Arial"/>
          <w:b/>
          <w:i/>
          <w:caps w:val="false"/>
          <w:smallCaps w:val="false"/>
          <w:sz w:val="20"/>
        </w:rPr>
        <w:t>product candidates that receive</w:t>
      </w:r>
      <w:r>
        <w:rPr>
          <w:rFonts w:ascii="Arial" w:hAnsi="Arial"/>
          <w:caps w:val="false"/>
          <w:smallCaps w:val="false"/>
          <w:sz w:val="20"/>
        </w:rPr>
        <w:t> </w:t>
      </w:r>
      <w:r>
        <w:rPr>
          <w:rFonts w:ascii="Arial" w:hAnsi="Arial"/>
          <w:b/>
          <w:i/>
          <w:caps w:val="false"/>
          <w:smallCaps w:val="false"/>
          <w:sz w:val="20"/>
        </w:rPr>
        <w:t>regulatory approval, or if physicians misuse our products, we may become subject to prohibitions on the sale or marketing of our products, significant sanctions, and product liability claims, and our image and reputation within the industry and marketplace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and may not be promoted based on overstated efficacy or omission of important safety information. For example, we cannot promote the use of our products </w:t>
      </w:r>
      <w:r>
        <w:rPr>
          <w:rFonts w:ascii="Arial" w:hAnsi="Arial"/>
          <w:i/>
          <w:caps w:val="false"/>
          <w:smallCaps w:val="false"/>
          <w:sz w:val="20"/>
        </w:rPr>
        <w:t>Jelmyto</w:t>
      </w:r>
      <w:r>
        <w:rPr>
          <w:rFonts w:ascii="Arial" w:hAnsi="Arial"/>
          <w:caps w:val="false"/>
          <w:smallCaps w:val="false"/>
          <w:sz w:val="20"/>
        </w:rPr>
        <w:t> or </w:t>
      </w:r>
      <w:r>
        <w:rPr>
          <w:rFonts w:ascii="Arial" w:hAnsi="Arial"/>
          <w:i/>
          <w:caps w:val="false"/>
          <w:smallCaps w:val="false"/>
          <w:sz w:val="20"/>
        </w:rPr>
        <w:t>Zusduri</w:t>
      </w:r>
      <w:r>
        <w:rPr>
          <w:rFonts w:ascii="Arial" w:hAnsi="Arial"/>
          <w:caps w:val="false"/>
          <w:smallCaps w:val="false"/>
          <w:sz w:val="20"/>
        </w:rPr>
        <w:t> in a manner that is inconsistent with the approved labels, but we are permitted to share truthful and non-misleading information that is otherwise consistent with the product’s FDA-approved labeling. However, physicians are able, in their independent medical judgment, to use </w:t>
      </w:r>
      <w:r>
        <w:rPr>
          <w:rFonts w:ascii="Arial" w:hAnsi="Arial"/>
          <w:i/>
          <w:caps w:val="false"/>
          <w:smallCaps w:val="false"/>
          <w:sz w:val="20"/>
        </w:rPr>
        <w:t>Jelmyto</w:t>
      </w:r>
      <w:r>
        <w:rPr>
          <w:rFonts w:ascii="Arial" w:hAnsi="Arial"/>
          <w:caps w:val="false"/>
          <w:smallCaps w:val="false"/>
          <w:sz w:val="20"/>
        </w:rPr>
        <w:t> or </w:t>
      </w:r>
      <w:r>
        <w:rPr>
          <w:rFonts w:ascii="Arial" w:hAnsi="Arial"/>
          <w:i/>
          <w:caps w:val="false"/>
          <w:smallCaps w:val="false"/>
          <w:sz w:val="20"/>
        </w:rPr>
        <w:t>Zusduri</w:t>
      </w:r>
      <w:r>
        <w:rPr>
          <w:rFonts w:ascii="Arial" w:hAnsi="Arial"/>
          <w:caps w:val="false"/>
          <w:smallCaps w:val="false"/>
          <w:sz w:val="20"/>
        </w:rPr>
        <w:t>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Physicians may also misuse our products or devices and administration kit components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In addition, while we have established product liability insurance relating to our commercialization of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there can be no assurance that we will be able to maintain this insurance on commercially reasonable terms or that this insurance will be sufficient. Furthermore, the use of our products for conditions other than those approved by the FDA may not effectively treat such conditions, which could harm our reputation in the marketplace among physicians and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are dependent on the success of Jelmyto, Zusduri and our product candidates, including obtaining regulatory approval to market our product candidates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demonstrates the safety and efficacy of the product for the intended indication. Other than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all of our product candidates remain in clinical development and have not yet received regulatory approval from the FDA or any other regulatory agency in the United States or any other country. Our business depends upon obtaining these regulatory approvals and the success of </w:t>
      </w:r>
      <w:r>
        <w:rPr>
          <w:rFonts w:ascii="Arial;Helvetica;sans-serif" w:hAnsi="Arial;Helvetica;sans-serif"/>
          <w:i/>
          <w:caps w:val="false"/>
          <w:smallCaps w:val="false"/>
          <w:sz w:val="20"/>
        </w:rPr>
        <w:t>Jelmyto</w:t>
      </w:r>
      <w:r>
        <w:rPr>
          <w:rFonts w:ascii="Arial;Helvetica;sans-serif" w:hAnsi="Arial;Helvetica;sans-serif"/>
          <w:caps w:val="false"/>
          <w:smallCaps w:val="false"/>
          <w:sz w:val="20"/>
        </w:rPr>
        <w:t> and </w:t>
      </w:r>
      <w:r>
        <w:rPr>
          <w:rFonts w:ascii="Arial;Helvetica;sans-serif" w:hAnsi="Arial;Helvetica;sans-serif"/>
          <w:i/>
          <w:caps w:val="false"/>
          <w:smallCaps w:val="false"/>
          <w:sz w:val="20"/>
        </w:rPr>
        <w:t>Zusduri</w:t>
      </w:r>
      <w:r>
        <w:rPr>
          <w:rFonts w:ascii="Arial;Helvetica;sans-serif" w:hAnsi="Arial;Helvetica;sans-serif"/>
          <w:caps w:val="false"/>
          <w:smallCaps w:val="false"/>
          <w:sz w:val="20"/>
        </w:rPr>
        <w:t>. Only a limited number of drugs have been approved by the FDA as adjuvant treatment for BCG-unresponsive NMIBC. The FDA can delay, limit or deny approval of our product candidates for many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success of our product candidates is subject to significant risks, including risks associated with successfully completing current and future clinical trials,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acceptance of our parameters for regulatory approval relating to our product candidates, including our proposed indications, primary and secondary endpoint assessments and measurements, safety evaluations and regulatory pathways, and proposed labeling and packaging;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successfully complete the FDA requirements related to CMC for our product candidates, and if completed, their sufficiency to support an NDA;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timely acceptance of our INDs, for our product candidates and our inability to commence clinical trials in the United States without such IND acceptances;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acceptance of the design, size, conduct and implementation of our clinical trials, our trial protocols and the interpretation of data from nonclinical studies or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acceptance of the population studied in our clinical trials being sufficiently large, broad and representative to assess efficacy and safety in the patient population for which we seek approval;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demonstrate meaningful clinical or other benefits which outweigh any safety or other perceived risks, through the completion of our clinical trials for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if applicable, the recommendation of the FDA’s advisory committee to approve our applications to market our product candidates in the United States, without limiting the approved labeling, specifications, distribution or use of the products, or imposing other restrictions;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determination of safety and efficacy of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prevalence and severity of adverse events associated with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timely and satisfactory performance by third-party contractors of their obligations in relation to our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success in educating physicians and patients about the benefits, risks, administration and use of our product candidates, if approved;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availability, perceived advantages, relative cost, safety and efficacy of alternative and competing treatments for the indications addressed by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effectiveness of our marketing, sales and distribution strategy, and operations, as well as that of any current and future licensees;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acceptance of the quality of our drug substance or drug product, formulation, labeling, packaging, or the specifications of our product candidates is sufficient for approval;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develop, validate and maintain a commercially viable manufacturing process that is compliant with cGMP;</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FDA’s acceptance of the manufacturing processes or facilities of third-party manufacturers with which we contract;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secure supplies for our product candidates to support clinical trials and commercial use;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manufacture or secure active ingredient, </w:t>
            </w:r>
            <w:r>
              <w:rPr>
                <w:rFonts w:ascii="Arial;Helvetica;sans-serif" w:hAnsi="Arial;Helvetica;sans-serif"/>
                <w:i/>
                <w:caps w:val="false"/>
                <w:smallCaps w:val="false"/>
                <w:sz w:val="20"/>
              </w:rPr>
              <w:t>RTGel</w:t>
            </w:r>
            <w:r>
              <w:rPr>
                <w:rFonts w:ascii="Arial;Helvetica;sans-serif" w:hAnsi="Arial;Helvetica;sans-serif"/>
                <w:caps w:val="false"/>
                <w:smallCaps w:val="false"/>
                <w:sz w:val="20"/>
              </w:rPr>
              <w:t> hydrogel, and finished product from third-party suppliers for product candidates, including UGN-103 and UGN-104, if approved;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obtain, maintain, protect and enforce our intellectual property rights with respect to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extent to which the costs of our products, once approved, are covered and reimbursed by third-party payors, including the availability of a physician reimbursement code for our treatments, and patients’ willingness to pay for our products;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ability to properly educate physicians or nurses for the skillful preparation and administration of any of our product candidates that receive approval and our ability to develop a broad experiential knowledge base of aggregated clinician feedback from which we can refine appropriate procedures for product administration, without which there could be a risk of adverse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Many of these clinical, regulatory and commercial risks are beyond our control. Further, these risks and uncertainties impact all of our clinical programs that we pursue and may be amplified by pandemics, epidemics or public health emergencies, as described below. Accordingly, we cannot assure you that we will be able to advance any more of our product candidates through clinical development, or to obtain additional regulatory approval of any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 Even if we receive approval of any of the product candidates in our pipeline or future product candidates, there is no assurance that we will be able to successfully commercialize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becomes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preliminary data we previously published. As a result, topline or preliminary data should be viewed with caution until the final data are available. In addition, we may report interim analyses of only certain endpoints rather than all endpoints. Interim data from clinical trials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Publications based on interim data may differ from FDA approved product labeling.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“Risks Related to Ownership of our Ordinary Shares” for additional disclosures related to the risk of volatility in the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continue to commercialize </w:t>
      </w:r>
      <w:r>
        <w:rPr>
          <w:rFonts w:ascii="Arial" w:hAnsi="Arial"/>
          <w:i/>
          <w:caps w:val="false"/>
          <w:smallCaps w:val="false"/>
          <w:sz w:val="20"/>
        </w:rPr>
        <w:t>Zusduri</w:t>
      </w:r>
      <w:r>
        <w:rPr>
          <w:rFonts w:ascii="Arial" w:hAnsi="Arial"/>
          <w:caps w:val="false"/>
          <w:smallCaps w:val="false"/>
          <w:sz w:val="20"/>
        </w:rPr>
        <w:t xml:space="preserve"> or to obtain approval for, and commercialize any product candidate may be harmed, which could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have limited experience in conducting clinical trials and obtaining approval for product candidates and may be unable to do so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a company, we have limited experience in conducting clinical trials and have progressed only two product candidates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We have not yet submitted NDAs for certain product candidates in our pipeline, and we may be delayed in obtaining, or fail</w:t>
      </w:r>
      <w:r>
        <w:rPr>
          <w:rFonts w:ascii="Arial" w:hAnsi="Arial"/>
          <w:caps w:val="false"/>
          <w:smallCaps w:val="false"/>
          <w:sz w:val="20"/>
        </w:rPr>
        <w:t> </w:t>
      </w:r>
      <w:r>
        <w:rPr>
          <w:rFonts w:ascii="Arial" w:hAnsi="Arial"/>
          <w:b/>
          <w:i/>
          <w:caps w:val="false"/>
          <w:smallCaps w:val="false"/>
          <w:sz w:val="20"/>
        </w:rPr>
        <w:t>to obtain, such regulatory approvals and to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nonclinical and clinical data that demonstrates the safety and efficacy of the product for the intended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Before we can submit an NDA to the FDA or comparable similar applications to foreign regulatory authorities, we must conduct Phase 3 clinical trials, or a pivotal/registration trial equivalent, for each product candidate. After submission of an NDA, the FDA may raise additional questions on any data contained in the application. These questions may come in the form of information requests or in the NDA 74-day letter as review issues. We must address these questions during the review, but we do not know whether our responses will be acceptable to the FDA. We cannot assure you that the FDA will not decide to require us to perform additional clinical trials before approving, or as a condition of approving, NDAs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nonclinical,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any of these outcomes occur, we may not receive regulatory approval for the corresponding product candidates, and our business would not be able to generate revenue from the sale of any such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Disruptions to the operations of the</w:t>
      </w:r>
      <w:r>
        <w:rPr>
          <w:rFonts w:ascii="Arial" w:hAnsi="Arial"/>
          <w:caps w:val="false"/>
          <w:smallCaps w:val="false"/>
          <w:sz w:val="20"/>
        </w:rPr>
        <w:t> </w:t>
      </w:r>
      <w:r>
        <w:rPr>
          <w:rFonts w:ascii="Arial" w:hAnsi="Arial"/>
          <w:b/>
          <w:i/>
          <w:caps w:val="false"/>
          <w:smallCaps w:val="false"/>
          <w:sz w:val="20"/>
        </w:rPr>
        <w:t>FDA, the SEC</w:t>
      </w:r>
      <w:r>
        <w:rPr>
          <w:rFonts w:ascii="Arial" w:hAnsi="Arial"/>
          <w:caps w:val="false"/>
          <w:smallCaps w:val="false"/>
          <w:sz w:val="20"/>
        </w:rPr>
        <w:t> </w:t>
      </w:r>
      <w:r>
        <w:rPr>
          <w:rFonts w:ascii="Arial" w:hAnsi="Arial"/>
          <w:b/>
          <w:i/>
          <w:caps w:val="false"/>
          <w:smallCaps w:val="false"/>
          <w:sz w:val="20"/>
        </w:rPr>
        <w:t>and other government agencies, including as a result of changes in funding or personnel,</w:t>
      </w:r>
      <w:r>
        <w:rPr>
          <w:rFonts w:ascii="Arial" w:hAnsi="Arial"/>
          <w:caps w:val="false"/>
          <w:smallCaps w:val="false"/>
          <w:sz w:val="20"/>
        </w:rPr>
        <w:t xml:space="preserve"> </w:t>
      </w:r>
      <w:r>
        <w:rPr>
          <w:rFonts w:ascii="Arial" w:hAnsi="Arial"/>
          <w:b/>
          <w:i/>
          <w:caps w:val="false"/>
          <w:smallCaps w:val="false"/>
          <w:sz w:val="20"/>
        </w:rPr>
        <w:t>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Disruptions at the FDA, including substantial leadership departures, personnel cuts, and policy changes,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In addition, there were significant staff reductions at the FDA and other federal agencies in 2025, which may impact the ability of the FDA to review and approve new products on targeted timelines or otherwise. If another prolonged government shutdown occurs or if the FDA experiences resource constraints,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is substantial uncertainty as to whether and how the current administration will seek to modify or revise the requirements and policies of the FDA and other regulatory agencies with jurisdiction over our products and product candidates.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We may become negatively impacted by future governmental orders, regulations, policies or guidance,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not be able to advance our nonclinical product candidates into clinical development and through regulatory approval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Certain of our product candidates are currently in nonclinical development and are therefore currently subject to the risks associated with nonclinical development, including the risks associated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generating adequate and sufficient nonclinical safety and efficacy data in a timely fashion to support the initiation of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obtaining regulatory approval to commence clinical trials in any jurisdiction, including the submission and acceptance of INDs;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contracting with the necessary parties to conduct a clinical trial;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enrolling sufficient numbers of patients in clinical trials in a timely fashion, if at all;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timely manufacture of sufficient quantities of the product candidate for use in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These risks and uncertainties impact all of our nonclinical programs that we pursue. If we are unsuccessful in advancing our nonclinical product candidates into clinical trials in a timely fashion, our business may be harmed. Even if we are successful in advancing our nonclinical product candidates into clinical development, their success will be subject to all of the clinical, regulatory and commercial risks described elsewhere in this Quarterly Report and our other filings with the SEC. Accordingly, we cannot assure you that we will be able to develop, obtain regulatory approval for, commercialize or generate significant revenue from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generate sufficient nonclinical, toxicology, or other in vivo or in vitro data to support the initiation or continuation of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obtain regulatory approval or feedback on trial design, in order to commence a trial;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identify, recruit and train suitable clinical investigators;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reach agreement on acceptable terms with prospective contract research organizations ("CROs") and clinical trial sites, and have such CROs and sites effect the proper and timely conduct of our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obtain and maintain institutional review board ("IRB") approval at each clinical trial site;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identify, recruit, enroll and retain suitable patients to participate in a trial;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have a sufficient number of patients enrolled, complete a trial or return for post-treatment follow-up;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ensure clinical investigators and clinical trial sites observe trial protocol or continue to participate in a trial;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address any patient safety concerns that arise during the course of a trial;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address any conflicts with new or existing laws or regulations;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add a sufficient number of clinical trial sites;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manufacture sufficient quantities at the required quality of product candidate for use in clinical trials;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raise sufficient capital to fund a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Jelmyto, Zusduri or any of our product candidates may produce undesirable side effects that we may not have detected in our previous nonclinical studies and clinical trials or that are not expected with mitomycin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As with most pharmaceutical products, </w:t>
      </w:r>
      <w:r>
        <w:rPr>
          <w:rFonts w:ascii="Arial" w:hAnsi="Arial"/>
          <w:i/>
          <w:caps w:val="false"/>
          <w:smallCaps w:val="false"/>
          <w:sz w:val="20"/>
        </w:rPr>
        <w:t xml:space="preserve">Jelmyto, Zusduri </w:t>
      </w:r>
      <w:r>
        <w:rPr>
          <w:rFonts w:ascii="Arial" w:hAnsi="Arial"/>
          <w:caps w:val="false"/>
          <w:smallCaps w:val="false"/>
          <w:sz w:val="20"/>
        </w:rPr>
        <w:t xml:space="preserve">and our product candidates may be associated with side effects or adverse events that can vary in severity and frequency. Side effects or adverse events associated with the use of </w:t>
      </w:r>
      <w:r>
        <w:rPr>
          <w:rFonts w:ascii="Arial" w:hAnsi="Arial"/>
          <w:i/>
          <w:caps w:val="false"/>
          <w:smallCaps w:val="false"/>
          <w:sz w:val="20"/>
        </w:rPr>
        <w:t>Jelmyto, Zusduri </w:t>
      </w:r>
      <w:r>
        <w:rPr>
          <w:rFonts w:ascii="Arial" w:hAnsi="Arial"/>
          <w:caps w:val="false"/>
          <w:smallCaps w:val="false"/>
          <w:sz w:val="20"/>
        </w:rPr>
        <w:t xml:space="preserve">or any of our product candidates may be observed at any time, including in clinical trials or once a product is commercialized, and any such side effects or adverse events may negatively affect our ability to obtain regulatory approval or market our product candidates. To date, in our nonclinical testing, Compassionate Use Program for </w:t>
      </w:r>
      <w:r>
        <w:rPr>
          <w:rFonts w:ascii="Arial" w:hAnsi="Arial"/>
          <w:i/>
          <w:caps w:val="false"/>
          <w:smallCaps w:val="false"/>
          <w:sz w:val="20"/>
        </w:rPr>
        <w:t>Jelmyto,</w:t>
      </w:r>
      <w:r>
        <w:rPr>
          <w:rFonts w:ascii="Arial" w:hAnsi="Arial"/>
          <w:caps w:val="false"/>
          <w:smallCaps w:val="false"/>
          <w:sz w:val="20"/>
        </w:rPr>
        <w:t xml:space="preserve"> clinical trials and post-marketing experience, we have observed several adverse events and SAEs, including ureteric obstruction, ureteral stenosis, inhibition of urine flow, rash, flank pain, kidney swelling, kidney infection, renal dysfunction, hematuria, fatigue, nausea, abdominal pain, dysuria, vomiting, urinary tract infection, urgency in urination and pain during urination. In addition, we have observed transient perturbation of laboratory measures of renal and hematopoietic function. In our clinical trials for </w:t>
      </w:r>
      <w:r>
        <w:rPr>
          <w:rFonts w:ascii="Arial" w:hAnsi="Arial"/>
          <w:i/>
          <w:caps w:val="false"/>
          <w:smallCaps w:val="false"/>
          <w:sz w:val="20"/>
        </w:rPr>
        <w:t>Zusduri</w:t>
      </w:r>
      <w:r>
        <w:rPr>
          <w:rFonts w:ascii="Arial" w:hAnsi="Arial"/>
          <w:caps w:val="false"/>
          <w:smallCaps w:val="false"/>
          <w:sz w:val="20"/>
        </w:rPr>
        <w:t xml:space="preserve">, the most common (≥ 10%) adverse reactions, including laboratory abnormalities, that occurred in patients were increased creatinine, increased potassium, dysuria, decreased hemoglobin, increased aspartate aminotransferase, increased alanine aminotransferase, increased eosinophils, decreased lymphocytes, urinary tract infection, decreased neutrophils, and hematuria. Serious adverse reactions occurred in 12% of patients who received </w:t>
      </w:r>
      <w:r>
        <w:rPr>
          <w:rFonts w:ascii="Arial" w:hAnsi="Arial"/>
          <w:i/>
          <w:caps w:val="false"/>
          <w:smallCaps w:val="false"/>
          <w:sz w:val="20"/>
        </w:rPr>
        <w:t>Zusduri</w:t>
      </w:r>
      <w:r>
        <w:rPr>
          <w:rFonts w:ascii="Arial" w:hAnsi="Arial"/>
          <w:caps w:val="false"/>
          <w:smallCaps w:val="false"/>
          <w:sz w:val="20"/>
        </w:rPr>
        <w:t>, including, urinary retention (0.8%) and urethral stenosis (0.4%).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These adverse events are known mitomycin or procedure-related adverse events and many are indicated as potential side effects of mitomycin usage on the mitomycin label. However, we cannot assure you that we will not observe additional drug or procedure-related adverse events or SAEs in the future or that the FDA will not determine them as such. Side effects such as toxicity or other safety issues associated with the use of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xml:space="preserve"> or our product candidates could require us to perform additional studies or halt development or sale of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xml:space="preserve"> or our product candidates or expose us to product liability lawsuits, which will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Furthermore, the commercial marketing of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has, and will continue to, further expand the clinical exposure of the drugs to a wider and more diverse group of patients than those participating in the clinical trials, which may identify undesirable side effects caused by these products that were not previously observed or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in the event we discover the existence of adverse medical events or side effects caused by one of our products or product candidates, a number of other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inability to submit an NDA or similar application for our product candidates because of insufficient risk-reward, or the denial of such application by the FDA or foreign regulatory authorities;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or foreign regulatory authorities suspending or terminating our clinical trials or suspending or withdrawing their approval of the product;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or foreign regulatory authorities requiring the addition of labeling statements, such as boxed or other warnings or contraindications or distribution and use restrictions;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or foreign regulatory authorities requiring us to issue specific communications to healthcare professionals, such as letters alerting them to new safety information about our product, changes in dosage or other important information;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or foreign regulatory authorities issuing negative publicity regarding the affected product, including safety communications;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being limited with respect to the safety-related claims that we can make in our marketing or promotional materials;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being required to change the way the product is administered, conduct additional nonclinical studies or clinical trials or restrict or cease the distribution or use of the product;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being sued and held liable for harm caused to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Any of these events could prevent us from achieving market acceptance or approval of the affected product or product candidate and could substantially increase development or commercialization costs, force us to withdraw from the market any approved product,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face future developmental and regulatory difficulties related to Jelmyto, Zusduri and any of our product candidates that receive marketing approval. In addition, we are subject to government regulations and we may experience delays in obtaining required regulatory approvals to market our proposed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With respect to our current and future product candidates, 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to not be commercially viable. Absence of long-term safety data may further limit the approved uses of our products,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suspension or imposition of restrictions on operations, including costly new manufacturing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regulatory agency refusal to approve pending applications or supplements to applications;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suspension of any ongoing clinical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suspension or withdrawal of marketing approval;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 injunction or imposition of civil or criminal penalties or monetary fines;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seizure or detention of products;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bans or restrictions on imports and exports;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issuance of warning letters or untitled letters;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suspension or imposition of restrictions on operations, including costly new manufacturing requirements;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refusal of regulatory authorities to approve pending applications or supplements to 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we are not successful in developing, receiving regulatory approval for and commercializing our nonclinical and clinical product candidates, our ability to expand our business and achieve our strategic objectives could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plan to devote a substantial portion of our resources to the ongoing commercial launch of </w:t>
      </w:r>
      <w:r>
        <w:rPr>
          <w:rFonts w:ascii="Arial" w:hAnsi="Arial"/>
          <w:i/>
          <w:caps w:val="false"/>
          <w:smallCaps w:val="false"/>
          <w:sz w:val="20"/>
        </w:rPr>
        <w:t>Zusduri</w:t>
      </w:r>
      <w:r>
        <w:rPr>
          <w:rFonts w:ascii="Arial" w:hAnsi="Arial"/>
          <w:caps w:val="false"/>
          <w:smallCaps w:val="false"/>
          <w:sz w:val="20"/>
        </w:rPr>
        <w:t> for the treatment of adult patients with recurrent low-grade intermediate risk NMIBC. Another key element of our strategy is to discover, develop and commercialize a portfolio of products to serve additional therapeutic markets. We are seeking to do so through our internal research programs, but our resources are limited, and those that we have are geared towards clinical testing and seeking regulatory approval of our existing product candidates. We may also explore strategic collaborations for the development or acquisition of new products, but we may not be successful in entering into such relationships.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research methodology used may not be successful in identifying potential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competitors may develop alternatives that render our product candidates obsolete or less attractive;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product candidate may in a subsequent trial be shown to have harmful side effects or other characteristics that indicate it is unlikely to be effective or otherwise does not meet applicable regulatory criteria;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product candidate may not be capable of being produced in commercial quantities at an acceptable cost, or at all;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product candidate may not be accepted as safe and effective by patients, the medical community or third-party payors, if applicable;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intellectual property or other proprietary rights of third parties for product candidates we develop may potentially block our entry into certain markets or make such entry economically impracticable.</w:t>
            </w:r>
          </w:p>
        </w:tc>
      </w:tr>
    </w:tbl>
    <w:p>
      <w:pPr>
        <w:pStyle w:val="TextBody"/>
        <w:bidi w:val="0"/>
        <w:spacing w:before="0" w:after="0"/>
        <w:ind w:left="30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We have entered into collaboration and licensing agreements and in the future may enter into</w:t>
      </w:r>
      <w:r>
        <w:rPr>
          <w:rFonts w:ascii="Arial" w:hAnsi="Arial"/>
          <w:caps w:val="false"/>
          <w:smallCaps w:val="false"/>
          <w:sz w:val="20"/>
        </w:rPr>
        <w:t> </w:t>
      </w:r>
      <w:r>
        <w:rPr>
          <w:rFonts w:ascii="Arial" w:hAnsi="Arial"/>
          <w:b/>
          <w:i/>
          <w:caps w:val="false"/>
          <w:smallCaps w:val="false"/>
          <w:sz w:val="20"/>
        </w:rPr>
        <w:t>collaboration and licensing arrangements with other third parties for the development and commercialization of our products and product candidates. If our collaboration and licensing arrangements are not successful, we may not be able to capitalize on the market potential of these products and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may utilize a variety of types of licensing, collaboration, distribution and other marketing arrangements with third parties to develop our product candidates and commercialize our approved products. We are not currently party to any such arrangement that we consider material. Our ability to generate revenues from these arrangements will depend on our collaborators’ abilities and efforts to successfully perform the functions assigned to them in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Any collaborations that we enter into may pose a number of risks,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have significant discretion in determining the amount and timing of efforts and resources that they will apply to these collaborations;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may not perform their obligations as expected;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clinical trials conducted by collaborators could give rise to new safety concerns;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 collaborator with marketing and distribution rights to one or more of our product candidates that achieve regulatory approval may not commit sufficient resources to the marketing and distribution of such product or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collaborators may infringe the intellectual property rights of third parties, which may expose us to litigation and potential liability;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collaborations may be terminated for the convenience of the collaborator and, if terminated, we could be required to raise additional capital to pursue further development or commercialization of the applicable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Collaborations may not lead to development or commercialization of product candidates in the most efficient manner, or at all, and may otherwise experience challenges. For example, in August 2020, we announced that the Phase 2 APOLLO trial of BOTOX/</w:t>
      </w:r>
      <w:r>
        <w:rPr>
          <w:rFonts w:ascii="Arial" w:hAnsi="Arial"/>
          <w:i/>
          <w:caps w:val="false"/>
          <w:smallCaps w:val="false"/>
          <w:sz w:val="20"/>
        </w:rPr>
        <w:t xml:space="preserve">RTGel </w:t>
      </w:r>
      <w:r>
        <w:rPr>
          <w:rFonts w:ascii="Arial" w:hAnsi="Arial"/>
          <w:caps w:val="false"/>
          <w:smallCaps w:val="false"/>
          <w:sz w:val="20"/>
        </w:rPr>
        <w:t>for the treatment of overactive bladder, which was conducted by Allergan Pharmaceuticals Limited (“Allergan”), did not meet the primary endpoint. The data suggested that this result may have been due to BOTOX not effectively permeating the urothelium. In November 2021, our arrangement with Allergan was terminated. In addition, in November 2019, we entered into a license agreement with Agenus to license the rights to develop UGN-301. In November 2025, we provided notice to terminate the license agreement with Agenus in connection with our decision to discontinue development of UGN-301.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any future material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report also apply to the activities of our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perception of us in the business and financial communities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We currently rely on third-party subcontractors and single-source suppliers for certain raw materials, compounds and components necessary to produce Jelmyto and Zusduri for commercial use, and to produce UGN-103,</w:t>
      </w:r>
      <w:r>
        <w:rPr>
          <w:rFonts w:ascii="Arial" w:hAnsi="Arial"/>
          <w:caps w:val="false"/>
          <w:smallCaps w:val="false"/>
          <w:sz w:val="20"/>
        </w:rPr>
        <w:t> </w:t>
      </w:r>
      <w:r>
        <w:rPr>
          <w:rFonts w:ascii="Arial" w:hAnsi="Arial"/>
          <w:b/>
          <w:i/>
          <w:caps w:val="false"/>
          <w:smallCaps w:val="false"/>
          <w:sz w:val="20"/>
        </w:rPr>
        <w:t>UGN-104</w:t>
      </w:r>
      <w:r>
        <w:rPr>
          <w:rFonts w:ascii="Arial" w:hAnsi="Arial"/>
          <w:caps w:val="false"/>
          <w:smallCaps w:val="false"/>
          <w:sz w:val="20"/>
        </w:rPr>
        <w:t> </w:t>
      </w:r>
      <w:r>
        <w:rPr>
          <w:rFonts w:ascii="Arial" w:hAnsi="Arial"/>
          <w:b/>
          <w:i/>
          <w:caps w:val="false"/>
          <w:smallCaps w:val="false"/>
          <w:sz w:val="20"/>
        </w:rPr>
        <w:t>and UGN-501 for nonclinical studies and clinical trials, and expect to continue to do so to support commercial scale production of UGN-103,</w:t>
      </w:r>
      <w:r>
        <w:rPr>
          <w:rFonts w:ascii="Arial" w:hAnsi="Arial"/>
          <w:caps w:val="false"/>
          <w:smallCaps w:val="false"/>
          <w:sz w:val="20"/>
        </w:rPr>
        <w:t> </w:t>
      </w:r>
      <w:r>
        <w:rPr>
          <w:rFonts w:ascii="Arial" w:hAnsi="Arial"/>
          <w:b/>
          <w:i/>
          <w:caps w:val="false"/>
          <w:smallCaps w:val="false"/>
          <w:sz w:val="20"/>
        </w:rPr>
        <w:t>UGN-104 and UGN-501, if approved, or for any approved products that include UGN-501. There are significant risks associated with the manufacture of pharmaceutical products and contracting with contract manufacturers, including</w:t>
      </w:r>
      <w:r>
        <w:rPr>
          <w:rFonts w:ascii="Arial" w:hAnsi="Arial"/>
          <w:caps w:val="false"/>
          <w:smallCaps w:val="false"/>
          <w:sz w:val="20"/>
        </w:rPr>
        <w:t> </w:t>
      </w:r>
      <w:r>
        <w:rPr>
          <w:rFonts w:ascii="Arial" w:hAnsi="Arial"/>
          <w:b/>
          <w:i/>
          <w:caps w:val="false"/>
          <w:smallCaps w:val="false"/>
          <w:sz w:val="20"/>
        </w:rPr>
        <w:t>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Jelmyto, Zusduri,</w:t>
      </w:r>
      <w:r>
        <w:rPr>
          <w:rFonts w:ascii="Arial" w:hAnsi="Arial"/>
          <w:caps w:val="false"/>
          <w:smallCaps w:val="false"/>
          <w:sz w:val="20"/>
        </w:rPr>
        <w:t> </w:t>
      </w:r>
      <w:r>
        <w:rPr>
          <w:rFonts w:ascii="Arial" w:hAnsi="Arial"/>
          <w:b/>
          <w:i/>
          <w:caps w:val="false"/>
          <w:smallCaps w:val="false"/>
          <w:sz w:val="20"/>
        </w:rPr>
        <w:t>UGN-103,</w:t>
      </w:r>
      <w:r>
        <w:rPr>
          <w:rFonts w:ascii="Arial" w:hAnsi="Arial"/>
          <w:caps w:val="false"/>
          <w:smallCaps w:val="false"/>
          <w:sz w:val="20"/>
        </w:rPr>
        <w:t> </w:t>
      </w:r>
      <w:r>
        <w:rPr>
          <w:rFonts w:ascii="Arial" w:hAnsi="Arial"/>
          <w:b/>
          <w:i/>
          <w:caps w:val="false"/>
          <w:smallCaps w:val="false"/>
          <w:sz w:val="20"/>
        </w:rPr>
        <w:t>UGN-104 or UGN-501, or be able to obtain such quantities at an acceptable cost, which could delay, prevent or impair our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currently rely on third-party subcontractors and suppliers for compounds and components necessary to produce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for commercial use and UGN-103, UGN-104 and UGN-501 for our nonclinical studies and clinical trials, and expect to rely on third-party subcontractors and suppliers for commercial use for any of our drug candidates that receive regulatory approval. We currently depend on one or two third-party suppliers for (i) the mitomycin API for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UGN-103 and UGN-104; (ii) the bulk mitomycin contained in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 (</w:t>
      </w:r>
      <w:r>
        <w:rPr>
          <w:rFonts w:ascii="Arial" w:hAnsi="Arial"/>
          <w:caps w:val="false"/>
          <w:smallCaps w:val="false"/>
          <w:sz w:val="20"/>
        </w:rPr>
        <w:t>iii) the hydrogel contained in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 xml:space="preserve">Zusduri; </w:t>
      </w:r>
      <w:r>
        <w:rPr>
          <w:rFonts w:ascii="Arial" w:hAnsi="Arial"/>
          <w:caps w:val="false"/>
          <w:smallCaps w:val="false"/>
          <w:sz w:val="20"/>
        </w:rPr>
        <w:t>and (iv) the lyophilized mitomycin contained in UGN-103 and UGN-104. Because there are a limited number of suppliers for the raw materials that we use to manufacture our products and product candidates, we may need to engage alternate suppliers to prevent a possible disruption of the manufacture of the materials necessary to produce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for commercial sale and our product candidates for our clinical trials and their subsequent commercial sale, if approved. Even if we are able to engage alternate suppliers on reasonable terms, we may face delays or increased costs in our supply chain that could jeopardize the commercialization of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 xml:space="preserve">Zusduri </w:t>
      </w:r>
      <w:r>
        <w:rPr>
          <w:rFonts w:ascii="Arial" w:hAnsi="Arial"/>
          <w:caps w:val="false"/>
          <w:smallCaps w:val="false"/>
          <w:sz w:val="20"/>
        </w:rPr>
        <w:t>or any other approved products. We do not have any control over the availability of these compounds and components beyond our existing contractual arrangements. If we or our suppliers and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w:t>
      </w:r>
      <w:r>
        <w:rPr>
          <w:rFonts w:ascii="Arial" w:hAnsi="Arial"/>
          <w:i/>
          <w:caps w:val="false"/>
          <w:smallCaps w:val="false"/>
          <w:sz w:val="20"/>
        </w:rPr>
        <w:t>Jelmyto</w:t>
      </w:r>
      <w:r>
        <w:rPr>
          <w:rFonts w:ascii="Arial" w:hAnsi="Arial"/>
          <w:caps w:val="false"/>
          <w:smallCaps w:val="false"/>
          <w:sz w:val="20"/>
        </w:rPr>
        <w:t> and </w:t>
      </w:r>
      <w:r>
        <w:rPr>
          <w:rFonts w:ascii="Arial" w:hAnsi="Arial"/>
          <w:i/>
          <w:caps w:val="false"/>
          <w:smallCaps w:val="false"/>
          <w:sz w:val="20"/>
        </w:rPr>
        <w:t>Zusduri</w:t>
      </w:r>
      <w:r>
        <w:rPr>
          <w:rFonts w:ascii="Arial" w:hAnsi="Arial"/>
          <w:caps w:val="false"/>
          <w:smallCaps w:val="false"/>
          <w:sz w:val="20"/>
        </w:rPr>
        <w:t> or any other approved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Pursuant to our April 2026 supply agreement with TAPI NL B.V. ("TAPI"), we agreed to purchase from TAPI a specified, significant percentage of our commercial requirements for the mitomycin needed for our commercial products. If TAPI is unwilling or unable to supply us with our commercial requirements for mitomycin on a timely basis, we may source a qualified alternative mitomycin material from a third-party supplier for the affected shortfall quantities, subject to certain limitations set forth in the agreement. However, TAPI is currently our sole supplier of the mitomycin in our two commercial products, and there is substantial uncertainty as to whether we would be able to source qualified alternative mitomycin material from a third-party supplier on a timely basis. Accordingly, we are heavily dependent on TAPI for our commercial mitomycin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We expect to continue to rely on these or other subcontractors and suppliers to support our commercial requirements for </w:t>
      </w:r>
      <w:r>
        <w:rPr>
          <w:rFonts w:ascii="Arial" w:hAnsi="Arial"/>
          <w:i/>
          <w:caps w:val="false"/>
          <w:smallCaps w:val="false"/>
          <w:sz w:val="20"/>
        </w:rPr>
        <w:t>Jelmyto, Zusduri</w:t>
      </w:r>
      <w:r>
        <w:rPr>
          <w:rFonts w:ascii="Arial" w:hAnsi="Arial"/>
          <w:caps w:val="false"/>
          <w:smallCaps w:val="false"/>
          <w:sz w:val="20"/>
        </w:rPr>
        <w:t xml:space="preserve">, and any of our product candidates if approved for marketing by the FDA or foreign regulatory authorities. We plan to continue to rely on third parties for the manufacture of mitomycin API, mitomycin for solution, the hydrogel contained in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UGN-103 and UGN-104, as well as for the raw materials, compounds and components necessary to produce our products and product candidates and for nonclinical studies and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Even though we are approved as a commercial supplier of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Zusduri</w:t>
      </w:r>
      <w:r>
        <w:rPr>
          <w:rFonts w:ascii="Arial" w:hAnsi="Arial"/>
          <w:caps w:val="false"/>
          <w:smallCaps w:val="false"/>
          <w:sz w:val="20"/>
        </w:rPr>
        <w:t xml:space="preserve">, we have limited experience as a company in the commercial supply of drugs and may never be successful as a commercial supplier of drug products containing mitomycin. In addition, cost-overruns, unexpected delays, equipment failures, logistics breakdowns, labor shortages, natural disasters, power failures, production failures or product recalls, and numerous other factors could prevent us from realizing the intended benefits of our sales strategy and have a material adverse effect on our business. Further, although we commercially supply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 xml:space="preserve">, further continued build-out is required for the production of </w:t>
      </w:r>
      <w:r>
        <w:rPr>
          <w:rFonts w:ascii="Arial" w:hAnsi="Arial"/>
          <w:i/>
          <w:caps w:val="false"/>
          <w:smallCaps w:val="false"/>
          <w:sz w:val="20"/>
        </w:rPr>
        <w:t>Zusduri</w:t>
      </w:r>
      <w:r>
        <w:rPr>
          <w:rFonts w:ascii="Arial" w:hAnsi="Arial"/>
          <w:caps w:val="false"/>
          <w:smallCaps w:val="false"/>
          <w:sz w:val="20"/>
        </w:rPr>
        <w:t xml:space="preserve"> and establishing such commercial-scale supply capabilities requires additional investment, is time-consuming and may be subject to delays, including because of shortage of labor, compliance with regulatory requirements or receipt of necessary regulatory approvals. In addition, building out our </w:t>
      </w:r>
      <w:r>
        <w:rPr>
          <w:rFonts w:ascii="Arial" w:hAnsi="Arial"/>
          <w:i/>
          <w:caps w:val="false"/>
          <w:smallCaps w:val="false"/>
          <w:sz w:val="20"/>
        </w:rPr>
        <w:t xml:space="preserve">Zusduri </w:t>
      </w:r>
      <w:r>
        <w:rPr>
          <w:rFonts w:ascii="Arial" w:hAnsi="Arial"/>
          <w:caps w:val="false"/>
          <w:smallCaps w:val="false"/>
          <w:sz w:val="20"/>
        </w:rPr>
        <w:t xml:space="preserve">commercial supply capabilities may cost more than we currently anticipate, and delays or problems may adversely impact our ability to provide sufficient quantities of </w:t>
      </w:r>
      <w:r>
        <w:rPr>
          <w:rFonts w:ascii="Arial" w:hAnsi="Arial"/>
          <w:i/>
          <w:caps w:val="false"/>
          <w:smallCaps w:val="false"/>
          <w:sz w:val="20"/>
        </w:rPr>
        <w:t xml:space="preserve">Zusduri </w:t>
      </w:r>
      <w:r>
        <w:rPr>
          <w:rFonts w:ascii="Arial" w:hAnsi="Arial"/>
          <w:caps w:val="false"/>
          <w:smallCaps w:val="false"/>
          <w:sz w:val="20"/>
        </w:rPr>
        <w:t>to support our commercialization of </w:t>
      </w:r>
      <w:r>
        <w:rPr>
          <w:rFonts w:ascii="Arial" w:hAnsi="Arial"/>
          <w:i/>
          <w:caps w:val="false"/>
          <w:smallCaps w:val="false"/>
          <w:sz w:val="20"/>
        </w:rPr>
        <w:t>Zusduri</w:t>
      </w:r>
      <w:r>
        <w:rPr>
          <w:rFonts w:ascii="Arial" w:hAnsi="Arial"/>
          <w:caps w:val="false"/>
          <w:smallCaps w:val="false"/>
          <w:sz w:val="20"/>
        </w:rPr>
        <w:t>, as well as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While we currently have over 12 months of bulk mitomycin API and/or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Zusduri</w:t>
      </w:r>
      <w:r>
        <w:rPr>
          <w:rFonts w:ascii="Arial" w:hAnsi="Arial"/>
          <w:caps w:val="false"/>
          <w:smallCaps w:val="false"/>
          <w:sz w:val="20"/>
        </w:rPr>
        <w:t xml:space="preserve"> finished product on hand to continue our commercial and clinical operations as planned, we may face such delays or costs in future years. Although we believe we have sufficient quantities of bulk mitomycin API for planned manufacturing operations through 2026, a prolonged supply interruption of certain components could adversely affect our ability to conduct commercialization activities and planned clinical trials. If any third party in our supply or distribution chain for materials or finished product is adversely impacted by restrictions resulting from pandemics, epidemics or public health emergencies or other disruptions caused by the outbreak of war, terrorist attacks or other acts of hostility, including staffing shortages, production slowdowns and disruptions in delivery systems, our supply chain may be disrupted, limiting our ability to manufacture and distribute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 xml:space="preserve">Zusduri </w:t>
      </w:r>
      <w:r>
        <w:rPr>
          <w:rFonts w:ascii="Arial" w:hAnsi="Arial"/>
          <w:caps w:val="false"/>
          <w:smallCaps w:val="false"/>
          <w:sz w:val="20"/>
        </w:rPr>
        <w:t>for commercial sales and our product candidates for our clinical trials and research and development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before we can begin to commercially manufacture any product candidates that receive regulatory approval in the future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to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are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continuing reliance on third-party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third-party subcontractors and suppliers may not be able to comply with cGMP or quality management system regulation ("QMSR")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products or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Zusduri</w:t>
      </w:r>
      <w:r>
        <w:rPr>
          <w:rFonts w:ascii="Arial" w:hAnsi="Arial"/>
          <w:caps w:val="false"/>
          <w:smallCaps w:val="false"/>
          <w:sz w:val="20"/>
        </w:rPr>
        <w:t xml:space="preserve"> or any of our product candidates. Any failure or refusal to supply or any interruption in supply of the components for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 xml:space="preserve">Zusduri </w:t>
      </w:r>
      <w:r>
        <w:rPr>
          <w:rFonts w:ascii="Arial" w:hAnsi="Arial"/>
          <w:caps w:val="false"/>
          <w:smallCaps w:val="false"/>
          <w:sz w:val="20"/>
        </w:rPr>
        <w:t>or any of our product candidates could delay, prevent or impair our clinical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currently use single source suppliers relative to production of components of our products and product candidates, the ureteral catheter and injector which are required to be used in the delivery of </w:t>
      </w:r>
      <w:r>
        <w:rPr>
          <w:rFonts w:ascii="Arial" w:hAnsi="Arial"/>
          <w:i/>
          <w:caps w:val="false"/>
          <w:smallCaps w:val="false"/>
          <w:sz w:val="20"/>
        </w:rPr>
        <w:t>Jelmyto</w:t>
      </w:r>
      <w:r>
        <w:rPr>
          <w:rFonts w:ascii="Arial" w:hAnsi="Arial"/>
          <w:caps w:val="false"/>
          <w:smallCaps w:val="false"/>
          <w:sz w:val="20"/>
        </w:rPr>
        <w:t xml:space="preserve"> and the ureteral catheter used in the delivery of </w:t>
      </w:r>
      <w:r>
        <w:rPr>
          <w:rFonts w:ascii="Arial" w:hAnsi="Arial"/>
          <w:i/>
          <w:caps w:val="false"/>
          <w:smallCaps w:val="false"/>
          <w:sz w:val="20"/>
        </w:rPr>
        <w:t>Zusduri</w:t>
      </w:r>
      <w:r>
        <w:rPr>
          <w:rFonts w:ascii="Arial" w:hAnsi="Arial"/>
          <w:caps w:val="false"/>
          <w:smallCaps w:val="false"/>
          <w:sz w:val="20"/>
        </w:rPr>
        <w:t xml:space="preserve">. We are assessing additional suppliers regarding certain components of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 xml:space="preserve">Zusduri </w:t>
      </w:r>
      <w:r>
        <w:rPr>
          <w:rFonts w:ascii="Arial" w:hAnsi="Arial"/>
          <w:caps w:val="false"/>
          <w:smallCaps w:val="false"/>
          <w:sz w:val="20"/>
        </w:rPr>
        <w:t>and are advancing these conversations as a means to ensure both additional suppliers and potential future reductions in cost of revenues. However, there can be no assurance that we will be able to secure any additional suppliers for these key components on a timely basis,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rely on third-party transportation to deliver materials to our facilities and ship products to our customers. Transport operators are exposed to various risks, such as extreme weather conditions, natural disasters, outbreaks of war, terrorist attacks or other acts of hostility, work stoppages, personnel shortages, and operating hazards, as well as interstate and international transportation requirements. In addition, transport operators were affected by the impact of COVID-19 and the related shipping crisis and backlog, which led to increased shipping costs and supply chain disruptions, and any future pandemics, epidemics or public health emergencies may cause similar disruptions that may impact our operations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experience transportation problems, or if there are other significant changes in the cost of these services, we may not be able to arrange efficient alternatives and timely means to obtain materials or ship products to our customers. Our failure to obtain such materials, ship products or maintain sufficient buffer inventory could materially and adversely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may need to enter into agreements with additional distributors or suppliers, and there is no guarantee that we will be able to do so on commercially reasonable terms or at all. If we are unable to maintain and, if needed, expand, our network of specialty distributors or suppliers, this would expose us to substantial risk in our clinical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International trade</w:t>
      </w:r>
      <w:r>
        <w:rPr>
          <w:rFonts w:ascii="Arial" w:hAnsi="Arial"/>
          <w:caps w:val="false"/>
          <w:smallCaps w:val="false"/>
          <w:sz w:val="20"/>
        </w:rPr>
        <w:t> </w:t>
      </w:r>
      <w:r>
        <w:rPr>
          <w:rFonts w:ascii="Arial" w:hAnsi="Arial"/>
          <w:b/>
          <w:i/>
          <w:caps w:val="false"/>
          <w:smallCaps w:val="false"/>
          <w:sz w:val="20"/>
        </w:rPr>
        <w:t>policies, including tariffs, sanctions and trade barriers may adversely affect our business, financial condition,</w:t>
      </w:r>
      <w:r>
        <w:rPr>
          <w:rFonts w:ascii="Arial" w:hAnsi="Arial"/>
          <w:caps w:val="false"/>
          <w:smallCaps w:val="false"/>
          <w:sz w:val="20"/>
        </w:rPr>
        <w:t> </w:t>
      </w:r>
      <w:r>
        <w:rPr>
          <w:rFonts w:ascii="Arial" w:hAnsi="Arial"/>
          <w:b/>
          <w:i/>
          <w:caps w:val="false"/>
          <w:smallCaps w:val="false"/>
          <w:sz w:val="20"/>
        </w:rPr>
        <w:t>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operate in a global economy, and our business depends on a global supply chain for the development, manufacture, and shipment of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 and for the advancement of the development of our preclinical and clinical product candidates. There is inherent risk, based on the complex relationships among the United States and the foreign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do not own or operate manufacturing facilities for the production of </w:t>
      </w:r>
      <w:r>
        <w:rPr>
          <w:rFonts w:ascii="Arial" w:hAnsi="Arial"/>
          <w:i/>
          <w:caps w:val="false"/>
          <w:smallCaps w:val="false"/>
          <w:sz w:val="20"/>
        </w:rPr>
        <w:t>Jelmyto, Zusduri</w:t>
      </w:r>
      <w:r>
        <w:rPr>
          <w:rFonts w:ascii="Arial" w:hAnsi="Arial"/>
          <w:caps w:val="false"/>
          <w:smallCaps w:val="false"/>
          <w:sz w:val="20"/>
        </w:rPr>
        <w:t> or our product candidates, nor do we have plans to develop our own manufacturing operations in the foreseeable future. We currently rely on third-party contract manufacturers for all of our required raw materials, active pharmaceutical ingredients and finished product for </w:t>
      </w:r>
      <w:r>
        <w:rPr>
          <w:rFonts w:ascii="Arial" w:hAnsi="Arial"/>
          <w:i/>
          <w:caps w:val="false"/>
          <w:smallCaps w:val="false"/>
          <w:sz w:val="20"/>
        </w:rPr>
        <w:t>Jelmyto, Zusduri</w:t>
      </w:r>
      <w:r>
        <w:rPr>
          <w:rFonts w:ascii="Arial" w:hAnsi="Arial"/>
          <w:caps w:val="false"/>
          <w:smallCaps w:val="false"/>
          <w:sz w:val="20"/>
        </w:rPr>
        <w:t> and our nonclinical research and clinical trials, including manufacturers located in Israel, Czech Republic and Belgium. Tariff policies, particularly those affecting the raw materials we use and pharmaceutical products, could materially increase our costs. Recent and potential future changes in international trade policies, particularly regarding pharmaceutical-specific tariffs, present significant risks to our operations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ongoing trade tensions between the United States and other jurisdictions have resulted in multiple rounds of tariffs and anticipated tariffs affecting pharmaceuticals and pharmaceutical ingredients, including finished drug products, manufacturing equipment, and related supplies. Such tariffs may significantly increase our costs. The Bureau of Industry and Security, U.S. Department of Commerce, has initiated an investigation to determine whether pharmaceutical ingredients, including finished drug products, manufactured outside the United States pose a national security risk and should be subject to additional tariffs. Unlike consumer goods, pharmaceuticals face unique regulatory constraints that make rapid supply chain adjustments particularly difficult and costly. Should our costs rise significantly due to tariffs, it would be difficult and costly to qualify alternative sources within another country with a lower tariff rate or within the United States, as developing and qualifying alternative sources may require several months to years and substantial investment and regulatory approvals, and in some cases, alternate suppliers may not be available due to the proprietary technology of the supplier (as in the case of UGN-103 and UGN-104). Moreover,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research and development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Unlike many industries, our ability to pass increased costs to customers is limited by the structure of pharmaceutical pricing and reimbursement systems. Pricing for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 xml:space="preserve">Zusduri </w:t>
      </w:r>
      <w:r>
        <w:rPr>
          <w:rFonts w:ascii="Arial" w:hAnsi="Arial"/>
          <w:caps w:val="false"/>
          <w:smallCaps w:val="false"/>
          <w:sz w:val="20"/>
        </w:rPr>
        <w:t>is established through reimbursement methodologies established by government programs, such as Medicare Part B. These arrangements typically include fixed pricing terms that were negotiated prior to the implementation of the recently announced or proposed tariffs. As a result, cost increases due to tariffs may be difficult or impossible to pass through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entities headquartered in the United States, which may limit our ability to compete internationally. Foreign governments may also take other retaliatory actions against U.S.-headquartered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or escalation in trade tensions could materially and adversely affect our business, ability to access the capital markets or other financing sources,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tariffs and other trade developments have and may continue to heighten the risks related to the other risk factors described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Failure to obtain marketing approval in international jurisdictions would prevent our U.S. approved products, Jelmyto and Zusduri, and our product candidates from being marketed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commercialized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 Even though </w:t>
      </w:r>
      <w:r>
        <w:rPr>
          <w:rFonts w:ascii="Arial" w:hAnsi="Arial"/>
          <w:i/>
          <w:caps w:val="false"/>
          <w:smallCaps w:val="false"/>
          <w:sz w:val="20"/>
        </w:rPr>
        <w:t>Jelmyto</w:t>
      </w:r>
      <w:r>
        <w:rPr>
          <w:rFonts w:ascii="Arial" w:hAnsi="Arial"/>
          <w:caps w:val="false"/>
          <w:smallCaps w:val="false"/>
          <w:sz w:val="20"/>
        </w:rPr>
        <w:t xml:space="preserve"> is approved for marketing in Israel, there can be no assurance that it will achieve the broad degree of physician adoption and use, reimbursement and market acceptance necessary for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rely on third parties and consultants to assist us in conducting our clinical trials for our product candidates. If these third parties or consultants do not successfully carry out their contractual duties or meet expected deadlines, we may be unable to obtain regulatory approval for or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do not have the ability to independently conduct many of our nonclinical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and the third parties upon whom we rely are required to comply with Good Clinical Practice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healthcare privacy and security laws; and 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clinical investigators or other third parties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in the future we acquire or in-license technologies or product candidates, we may incur various costs, may have integration difficulties and may experience other risks that could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future, we may acquire or in-license additional product candidates and technologies. Any product candidate or technologies we in-license or acquire will likely require additional development efforts prior to commercial sale, including extensive nonclinical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economically manufacture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will need to continue to increase the size of our organization. If we fail to manage our growth effectively, our business could be disrupted.*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of June 30, 2026, we had 300 employees, of whom 40 are based in Israel and 260 are based in the United States. We will need to continue to expand our development, quality, managerial, operational, finance, marketing, sales and other resources to manage our operations and clinical trials, continue our development activities and commercialize our products and product candidates, if approved. Our management, personnel, systems and facilities currently in place may not be adequate to support this future growth. Our need to effectively execute our expansion strategy requires that we: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manage our clinical trials effectively;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identify, recruit, retain, incentivize and integrate additional employees;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manage our internal development efforts effectively while carrying out our contractual obligations to third parties;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continue to improve our operational, financial and management controls, reporting systems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we continue to grow as an organization, including by expanding our development efforts and building out and developing our commercial capabilities to support our commercialization of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 xml:space="preserve">, we will evaluate, and may implement, changes to our organization that may be appropriate in order to properly manage and direct our growth and transformation into a commercial-stage company. For example, in connection with the commercial launch of </w:t>
      </w:r>
      <w:r>
        <w:rPr>
          <w:rFonts w:ascii="Arial" w:hAnsi="Arial"/>
          <w:i/>
          <w:caps w:val="false"/>
          <w:smallCaps w:val="false"/>
          <w:sz w:val="20"/>
        </w:rPr>
        <w:t>Zusduri</w:t>
      </w:r>
      <w:r>
        <w:rPr>
          <w:rFonts w:ascii="Arial" w:hAnsi="Arial"/>
          <w:caps w:val="false"/>
          <w:smallCaps w:val="false"/>
          <w:sz w:val="20"/>
        </w:rPr>
        <w:t>, we expanded our sales team. 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or other significant changes to our organization could delay the execution of our development, commercialization and strategic objectives or disrupt our operations; and if we are not successful in commercializing our approved products or any of our product candidates that may receive regulatory approval, either on our own or through collaborations with one or more third parties, our revenues will suffer, and we would incur significant additional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product liability lawsuits are brought against us, we may incur substantial liabilities and may be required to limit commercialization of any of our products and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We face an inherent risk of product liability as a result of the clinical testing of our product candidates and face or will face an even greater risk with the commercialization of </w:t>
      </w:r>
      <w:r>
        <w:rPr>
          <w:rFonts w:ascii="Arial" w:hAnsi="Arial"/>
          <w:i/>
          <w:caps w:val="false"/>
          <w:smallCaps w:val="false"/>
          <w:sz w:val="20"/>
        </w:rPr>
        <w:t>Jelmyto, Zusduri</w:t>
      </w:r>
      <w:r>
        <w:rPr>
          <w:rFonts w:ascii="Arial" w:hAnsi="Arial"/>
          <w:caps w:val="false"/>
          <w:smallCaps w:val="false"/>
          <w:sz w:val="20"/>
        </w:rPr>
        <w:t xml:space="preserve"> and any product candidates that receive marketing approval. For example, we may be sued if any of our products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decreased demand for </w:t>
            </w:r>
            <w:r>
              <w:rPr>
                <w:rFonts w:ascii="Arial" w:hAnsi="Arial"/>
                <w:i/>
                <w:caps w:val="false"/>
                <w:smallCaps w:val="false"/>
                <w:sz w:val="20"/>
              </w:rPr>
              <w:t>Jelmyto</w:t>
            </w:r>
            <w:r>
              <w:rPr>
                <w:rFonts w:ascii="Arial" w:hAnsi="Arial"/>
                <w:caps w:val="false"/>
                <w:smallCaps w:val="false"/>
                <w:sz w:val="20"/>
              </w:rPr>
              <w:t xml:space="preserve"> and/or </w:t>
            </w:r>
            <w:r>
              <w:rPr>
                <w:rFonts w:ascii="Arial" w:hAnsi="Arial"/>
                <w:i/>
                <w:caps w:val="false"/>
                <w:smallCaps w:val="false"/>
                <w:sz w:val="20"/>
              </w:rPr>
              <w:t>Zusduri</w:t>
            </w:r>
            <w:r>
              <w:rPr>
                <w:rFonts w:ascii="Arial" w:hAnsi="Arial"/>
                <w:caps w:val="false"/>
                <w:smallCaps w:val="false"/>
                <w:sz w:val="20"/>
              </w:rPr>
              <w:t xml:space="preserve"> and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injury to our reputation and significant negative media attention;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withdrawal of clinical trial participants or cancellation of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costs to defend the related litigation, which may be only partially recoverable even in the event of successful defenses;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 diversion of management’s time and our resources;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substantial monetary awards to trial participants or patients;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regulatory investigations, product recalls, withdrawals or labeling, marketing or promotional restrictions;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loss of revenues;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exhaustion of any available insurance and our capital resources;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inability to commercialize any product we develop.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We have expanded our insurance coverage to include, in addition to the commercialization of </w:t>
      </w:r>
      <w:r>
        <w:rPr>
          <w:rFonts w:ascii="Arial" w:hAnsi="Arial"/>
          <w:i/>
          <w:caps w:val="false"/>
          <w:smallCaps w:val="false"/>
          <w:sz w:val="20"/>
        </w:rPr>
        <w:t>Jelmyto</w:t>
      </w:r>
      <w:r>
        <w:rPr>
          <w:rFonts w:ascii="Arial" w:hAnsi="Arial"/>
          <w:caps w:val="false"/>
          <w:smallCaps w:val="false"/>
          <w:sz w:val="20"/>
        </w:rPr>
        <w:t xml:space="preserve">, the commercialization of </w:t>
      </w:r>
      <w:r>
        <w:rPr>
          <w:rFonts w:ascii="Arial" w:hAnsi="Arial"/>
          <w:i/>
          <w:caps w:val="false"/>
          <w:smallCaps w:val="false"/>
          <w:sz w:val="20"/>
        </w:rPr>
        <w:t>Zusduri</w:t>
      </w:r>
      <w:r>
        <w:rPr>
          <w:rFonts w:ascii="Arial" w:hAnsi="Arial"/>
          <w:caps w:val="false"/>
          <w:smallCaps w:val="false"/>
          <w:sz w:val="20"/>
        </w:rPr>
        <w:t>, and, if and when we obtain approval for marketing any product candidate, we intend to further expand our insurance coverage to include the commercialization of such approved product; however, in the future we may be unable to obtain this additional liability insurance on commercially reasonable terms, and/or such insurance may be insufficient to cover our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we fail to attract and keep senior management and key personnel, we may be unable to successfully develop our product candidates, conduct our clinical trials and commercialize any of the products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success depends in part on our continued ability to attract, retain and motivate highly qualified management, clinical, scientific and other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Similarly, our ability to hire and retain field representatives may be impacted by non-competition and non-solicitation obligations owed to former employers.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If our</w:t>
      </w:r>
      <w:r>
        <w:rPr>
          <w:rFonts w:ascii="Arial" w:hAnsi="Arial"/>
          <w:caps w:val="false"/>
          <w:smallCaps w:val="false"/>
          <w:sz w:val="20"/>
        </w:rPr>
        <w:t> </w:t>
      </w:r>
      <w:r>
        <w:rPr>
          <w:rFonts w:ascii="Arial" w:hAnsi="Arial"/>
          <w:b/>
          <w:i/>
          <w:caps w:val="false"/>
          <w:smallCaps w:val="false"/>
          <w:sz w:val="20"/>
        </w:rPr>
        <w:t>information technology systems or data, or those of third parties with</w:t>
      </w:r>
      <w:r>
        <w:rPr>
          <w:rFonts w:ascii="Arial" w:hAnsi="Arial"/>
          <w:caps w:val="false"/>
          <w:smallCaps w:val="false"/>
          <w:sz w:val="20"/>
        </w:rPr>
        <w:t> </w:t>
      </w:r>
      <w:r>
        <w:rPr>
          <w:rFonts w:ascii="Arial" w:hAnsi="Arial"/>
          <w:b/>
          <w:i/>
          <w:caps w:val="false"/>
          <w:smallCaps w:val="false"/>
          <w:sz w:val="20"/>
        </w:rPr>
        <w:t>whom we work, are or were compromised,</w:t>
      </w:r>
      <w:r>
        <w:rPr>
          <w:rFonts w:ascii="Arial" w:hAnsi="Arial"/>
          <w:caps w:val="false"/>
          <w:smallCaps w:val="false"/>
          <w:sz w:val="20"/>
        </w:rPr>
        <w:t> </w:t>
      </w:r>
      <w:r>
        <w:rPr>
          <w:rFonts w:ascii="Arial" w:hAnsi="Arial"/>
          <w:b/>
          <w:i/>
          <w:caps w:val="false"/>
          <w:smallCaps w:val="false"/>
          <w:sz w:val="20"/>
        </w:rPr>
        <w:t>we could experience adverse consequences resulting from such compromise, including but not limited to regulatory investigations or actions; litigation; fines and penalties;</w:t>
      </w:r>
      <w:r>
        <w:rPr>
          <w:rFonts w:ascii="Arial" w:hAnsi="Arial"/>
          <w:caps w:val="false"/>
          <w:smallCaps w:val="false"/>
          <w:sz w:val="20"/>
        </w:rPr>
        <w:t> </w:t>
      </w:r>
      <w:r>
        <w:rPr>
          <w:rFonts w:ascii="Arial" w:hAnsi="Arial"/>
          <w:b/>
          <w:i/>
          <w:caps w:val="false"/>
          <w:smallCaps w:val="false"/>
          <w:sz w:val="20"/>
        </w:rPr>
        <w:t>a material disruption of our drug development program;</w:t>
      </w:r>
      <w:r>
        <w:rPr>
          <w:rFonts w:ascii="Arial" w:hAnsi="Arial"/>
          <w:caps w:val="false"/>
          <w:smallCaps w:val="false"/>
          <w:sz w:val="20"/>
        </w:rPr>
        <w:t> </w:t>
      </w:r>
      <w:r>
        <w:rPr>
          <w:rFonts w:ascii="Arial" w:hAnsi="Arial"/>
          <w:b/>
          <w:i/>
          <w:caps w:val="false"/>
          <w:smallCaps w:val="false"/>
          <w:sz w:val="20"/>
        </w:rPr>
        <w:t>compromise of sensitive information related to our business;</w:t>
      </w:r>
      <w:r>
        <w:rPr>
          <w:rFonts w:ascii="Arial" w:hAnsi="Arial"/>
          <w:caps w:val="false"/>
          <w:smallCaps w:val="false"/>
          <w:sz w:val="20"/>
        </w:rPr>
        <w:t> </w:t>
      </w:r>
      <w:r>
        <w:rPr>
          <w:rFonts w:ascii="Arial" w:hAnsi="Arial"/>
          <w:b/>
          <w:i/>
          <w:caps w:val="false"/>
          <w:smallCaps w:val="false"/>
          <w:sz w:val="20"/>
        </w:rPr>
        <w:t>harm to our reputation;</w:t>
      </w:r>
      <w:r>
        <w:rPr>
          <w:rFonts w:ascii="Arial" w:hAnsi="Arial"/>
          <w:caps w:val="false"/>
          <w:smallCaps w:val="false"/>
          <w:sz w:val="20"/>
        </w:rPr>
        <w:t> </w:t>
      </w:r>
      <w:r>
        <w:rPr>
          <w:rFonts w:ascii="Arial" w:hAnsi="Arial"/>
          <w:b/>
          <w:i/>
          <w:caps w:val="false"/>
          <w:smallCaps w:val="false"/>
          <w:sz w:val="20"/>
        </w:rPr>
        <w:t>triggering of breach notification obligations;</w:t>
      </w:r>
      <w:r>
        <w:rPr>
          <w:rFonts w:ascii="Arial" w:hAnsi="Arial"/>
          <w:caps w:val="false"/>
          <w:smallCaps w:val="false"/>
          <w:sz w:val="20"/>
        </w:rPr>
        <w:t> </w:t>
      </w:r>
      <w:r>
        <w:rPr>
          <w:rFonts w:ascii="Arial" w:hAnsi="Arial"/>
          <w:b/>
          <w:i/>
          <w:caps w:val="false"/>
          <w:smallCaps w:val="false"/>
          <w:sz w:val="20"/>
        </w:rPr>
        <w:t>inability to access critical information;</w:t>
      </w:r>
      <w:r>
        <w:rPr>
          <w:rFonts w:ascii="Arial" w:hAnsi="Arial"/>
          <w:caps w:val="false"/>
          <w:smallCaps w:val="false"/>
          <w:sz w:val="20"/>
        </w:rPr>
        <w:t> </w:t>
      </w:r>
      <w:r>
        <w:rPr>
          <w:rFonts w:ascii="Arial" w:hAnsi="Arial"/>
          <w:b/>
          <w:i/>
          <w:caps w:val="false"/>
          <w:smallCaps w:val="false"/>
          <w:sz w:val="20"/>
        </w:rPr>
        <w:t>disruptions of our business operations; loss of revenue or profits; loss of customers or sales</w:t>
      </w:r>
      <w:r>
        <w:rPr>
          <w:rFonts w:ascii="Arial" w:hAnsi="Arial"/>
          <w:caps w:val="false"/>
          <w:smallCaps w:val="false"/>
          <w:sz w:val="20"/>
        </w:rPr>
        <w:t> </w:t>
      </w:r>
      <w:r>
        <w:rPr>
          <w:rFonts w:ascii="Arial" w:hAnsi="Arial"/>
          <w:b/>
          <w:i/>
          <w:caps w:val="false"/>
          <w:smallCaps w:val="false"/>
          <w:sz w:val="20"/>
        </w:rPr>
        <w:t>and legal</w:t>
      </w:r>
      <w:r>
        <w:rPr>
          <w:rFonts w:ascii="Arial" w:hAnsi="Arial"/>
          <w:caps w:val="false"/>
          <w:smallCaps w:val="false"/>
          <w:sz w:val="20"/>
        </w:rPr>
        <w:t> </w:t>
      </w:r>
      <w:r>
        <w:rPr>
          <w:rFonts w:ascii="Arial" w:hAnsi="Arial"/>
          <w:b/>
          <w:i/>
          <w:caps w:val="false"/>
          <w:smallCaps w:val="false"/>
          <w:sz w:val="20"/>
        </w:rPr>
        <w:t>liability or other adverse effects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ordinary course of our business, we, and the third parties with whom we work, process proprietary, confidential and sensitive information, including personal data (such as health information), intellectual property, trade secrets, and proprietary business information owned or controlled by ourselves or other parties (collectively, "Sensitive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our CROs and other contractors, consultants, third-party vendors, and third parties with whom we work depend on information technology, telecommunication systems and data processing for significant elements of our operations, including, for example, systems handling human resources, financial reporting and controls, regulatory compliance and other infrastructure operations.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For example, we have operations and third parties with whom we work to support our business located in regions experiencing (or expected to experience) geopolitical or other conflicts, including in the Middle East, where businesses have experienced an increase in cyberattacks since the start of the Israel-Hamas conflict in October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and the third parties with whom we work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generative artificial intelligence (“AI”), and other similar threats.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particular,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extortion payments,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utilize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While we have implemented security measures designed to protect against security incidents, there can be no assurance that these measures will be effective. We take steps designed to detect and remediate vulnerabilities in our information systems (such as our hardware and/or software, including that of certain third parties with whom we work). However, we have not and may in the future not be able to detect and remediate all vulnerabilities (including on a timely basis) in our information technology systems, for instance because such threats and techniques used to exploit the vulnerability change frequently and are often sophisticated in nature. Despite our efforts to identify and address vulnerabilities, if any, in our information technology systems, our efforts may not be successful. Further, we may experience delays in developing and deploying remedial measures designed to address any such identified vulnerabilities. Therefore, such vulnerabilities could be exploited and result in a security incident, which may not be detected until after the incident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Any of the previously identified or similar threats have in the past and may in the future cause a security incident or other interruption that has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in the normal course of business we have been the target of unsuccessful phishing attempts, and expect similar such attempts will continue in the future. A security incident or other interruption could disrupt our ability (and that of third parties with whom we work) to operate our business. Additionally, our Sensitive Information could be leaked, disclosed, or revealed as a result of or in connection with our employees', personnel’s, or vendors' use of generative AI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applicable data privacy and security obligations and public company disclosure obligations may require us, or we may voluntarily choose, to notify relevant stakeholders, including affected individuals, regulators and investors, of certain security incidents, or to take other actions, such as providing credit monitoring and identity theft protection services. Most jurisdictions have enacted laws requiring companies to notify individuals, regulatory authorities, and others of security incidents involving certain types of data. In addition, our agreements with collaborators may require us to notify them in the event of a security incident. Such disclosures and related actions can be costly, and the disclosure or the failure to comply with such applicable requirements could lead to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(or a third party with whom we work) experience a security incident or are perceived to have experienced a security incident, we may experience material adverse consequences including: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Information, including preventing us from conducting clinical trials, tests or research and development activities and preventing us from managing the administrative aspects of our business. In addition, the loss of clinical trial data from completed, ongoing or planned clinical trials could result in delays in our regulatory approval efforts and significantly increase our costs to recover or reproduce the data. To the extent that any disruption or security incident results in a loss of or damage to our data or applications, or inappropriate disclosure of confidential or proprietary information, we could incur liability and the further development of our product candidates could be delayed. If the information technology systems of our third-party vendors and other contractors become subject to disruptions or security incidents, we may have insufficient recourse against such third parties and may have to expend significant resources to mitigate the impact of such an event, and to develop and implement protections to prevent future events of this nature from occurring. In addition, whether a security incident is reportable to our investors may not be straightforward, may take considerable time to determine, and may be subject to change as the investigation of the incident progresses, including changes that may significantly alter any initial disclosure we provide. Moreover, experiencing a material security incident and any mandatory disclosures could lead to negative publicity, loss of investor, customer or partner confidence in the effectiveness of our cybersecurity measures, diversion of management’s attention, governmental investigations, lawsuits, and the expenditure of significant capital and other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Furthermore, third parties may gather, collect, or infer sensitive data about us from public sources, data brokers, or other means that reveal competitively sensitive details about our organization and could be used to undermine our competitive advantage or market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Under applicable employment laws, we may not be able to enforce covenants not to compete.*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generally enter into non-competition agreements as part of our employment agreements with our employees. These agreements generally prohibit our employees, if they cease working for us, from competing directly with us or working for our competitors or customers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Similarly, the law governing non-compete agreements and other forms of restrictive covenants varies from state to state within the United States and some states are reluctant to strictly enforce non-compete agreements. The Federal Trade Commission (“FTC”) has also recently pursued enforcement actions and initiatives that suggest the agency will continue targeting non-compete provisions it believes are anticompetitive or unfair or deceptive acts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employees, independent contractors, clinical investigators, CROs, consultants and vendors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buying or selling of our ordinary shares while in possession of material non-public information; or laws that require the reporting of financial information or data accurately.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Arial" w:hAnsi="Arial"/>
          <w:caps w:val="false"/>
          <w:smallCaps w:val="false"/>
          <w:sz w:val="20"/>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and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could subject us to numerous penalties, including, but not limited to, the imposition of significant civil, criminal and administrative penalties, damages, monetary fines, disgorgement,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which could have a significant impact on the conduct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Our business involves the use of hazardous materials and we and our third-party manufacturers and suppliers must comply with environmental laws and regulations, which can be expensive and restrict how we do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research and development activities and our third-party subcontractors’ and suppliers’ activities involve the controlled storage, use, transportation and disposal of hazardous materials owned by us, including mitomycin,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Furthermore, environmental laws and regulations are complex, change frequently and have tended to become more stringent. We cannot predict the impact of such changes and cannot be certain of our future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Exchange rate fluctuations between the U.S.</w:t>
      </w:r>
      <w:r>
        <w:rPr>
          <w:rFonts w:ascii="Arial" w:hAnsi="Arial"/>
          <w:caps w:val="false"/>
          <w:smallCaps w:val="false"/>
          <w:sz w:val="20"/>
        </w:rPr>
        <w:t> </w:t>
      </w:r>
      <w:r>
        <w:rPr>
          <w:rFonts w:ascii="Arial" w:hAnsi="Arial"/>
          <w:b/>
          <w:i/>
          <w:caps w:val="false"/>
          <w:smallCaps w:val="false"/>
          <w:sz w:val="20"/>
        </w:rPr>
        <w:t xml:space="preserve">dollar and the New Israeli Shekel may negatively affect our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U.S. dollar is our functional and reporting currency. However, a significant portion of our operating expenses are incurred in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For example, the dollar depreciated against the NIS during 2025 by approximately 12.5%. We cannot predict any future trends in the rate of inflation in Israel or the rate of devaluation (if any) of the NIS against the dollar. If the dollar cost of our operations in Israel increases, our dollar-measured results of operations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business could be adversely affected by the effects of health pandemics, epidemics or other public health emergencies.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 pandemic, epidemic or other public health emergencies pose the risk that we or our employees, contractors, suppliers, customers, and other partners may be prevented from conducting certain business activities for an indefinite period of time, including due to spread of the disease within these groups or due to shutdowns that may be requested or mandated by governmental authorities. For example, COVID-19 and mitigation measures to slow its spread had an adverse impact on global economic conditions. While it is not possible at this time to estimate the impact that any such pandemic, epidemic or other public health emergency could have on our business, if such an event were to occur, it could have an adverse impact on global economic conditions which could have an adverse effect on our business and financial condition, including impairing our ability to raise capital when needed. The measures that may be taken by various governments, in response to a pandemic, epidemic or other public health emergency could disrupt the supply chain of material needed for our product candidates and our approved products,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 interrupt healthcare services, delay coverage decisions from Medicare and third-party payors, delay ongoing and planned clinical trials involving our product candidates, curtail access to hospitals, surgery centers, clinics, healthcare providers and pharmacies by our sales force and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To the extent any future pandemics, epidemics or public health emergencies adversely affect our business and financial results, it may also have the effect of heightening many of the other risks described in the “Risk Factors” section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Certain of our clinical trials and other significant operations (including our Israeli corporate offices and contract manufacturers) are located outside of the United States and, therefore, our results may be adversely affected by geopolitical, economic and military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Certain of our clinical trials operate outside the United States and certain of our research and development facilities and key vendors and suppliers are located in Israel. If any of these current or future trials or the related facilities or our vendors' and suppliers' facilities in Israel were to be damaged, destroyed or otherwise unable to operate, whether due to war, acts of hostility, earthquakes, fire, floods, hurricanes, storms, tornadoes, other natural disasters, employee malfeasance, terrorist acts, pandemics, power outages or otherwise, or if performance of our clinical trials are disrupted for any other reason, such an event could cause significant development and product delays. If we experience delays in achieving our development objectives within a timeframe that meets our prospective customers’ expectations, our business, prospects, financial results and reputation could 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Geopolitical, economic and military conditions around the world may directly affect our business. Any hostilities involving any of the countries in which we operate, including terrorist activities, political instability or violence in the region or the interruption or curtailment of trade or transport between such country and its trading partners could adversely affect our operations and results of operations and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business activities may be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currently dedicate certain resources to comply with numerous laws and regulations in each jurisdiction in which we operate outside of the United States. Our business activities in these foreign countries may be subject to the FCPA and similar anti-bribery or anti-corruption laws, regulations or rules of other countries in which we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and our ability to attract and retain employees and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our products and activities may be subject to U.S. and foreign export controls, trade sanctions and import laws and regulations. Governmental regulation of the import or export of our product,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products by, or in our decreased ability to export our products to existing or potential customers with international operations. Any decreased use of our products or limitation on our ability to export or sell access to our products would likely significantly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 xml:space="preserve">Risks Related 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our efforts to obtain, protect or enforce our patents and other intellectual property rights related to Jelmyto, Zusduri, and our product candidates and technologies are not adequate, we may not be able to compete effectively, and we otherwise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commercial success depends in part upon our ability to obtain and maintain patent protection and utilize trade secret protection for our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among other things, hydrogel-based pharmaceutical compositions for optimal delivery of a drug in internal cavities such as the bladder, the method for treating cancer, in particular urothelial and bladder cancer using hydrogel-based compositions, the method for treating overactive bladder topically without the need for injections, including an in-dwelling ureter catheter system for optimal delivery of a drug into the renal cavity.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seek patent protection for our approved products, product candidates, and proprietary technologies. We rely on a broad collection of intellectual property comprised of owned, co-owned, and in-licensed patents, patent applications, trade secrets, know-how, and trademarks. covering our proprietary </w:t>
      </w:r>
      <w:r>
        <w:rPr>
          <w:rFonts w:ascii="Arial" w:hAnsi="Arial"/>
          <w:i/>
          <w:caps w:val="false"/>
          <w:smallCaps w:val="false"/>
          <w:sz w:val="20"/>
        </w:rPr>
        <w:t>RTGel</w:t>
      </w:r>
      <w:r>
        <w:rPr>
          <w:rFonts w:ascii="Arial" w:hAnsi="Arial"/>
          <w:caps w:val="false"/>
          <w:smallCaps w:val="false"/>
          <w:sz w:val="20"/>
        </w:rPr>
        <w:t xml:space="preserve"> technology, the pharmaceutical compositions, methods of use and manufacturing aspects of our product candidates. In the United States, we have listed three patents for </w:t>
      </w:r>
      <w:r>
        <w:rPr>
          <w:rFonts w:ascii="Arial" w:hAnsi="Arial"/>
          <w:i/>
          <w:caps w:val="false"/>
          <w:smallCaps w:val="false"/>
          <w:sz w:val="20"/>
        </w:rPr>
        <w:t>Jelmyto</w:t>
      </w:r>
      <w:r>
        <w:rPr>
          <w:rFonts w:ascii="Arial" w:hAnsi="Arial"/>
          <w:caps w:val="false"/>
          <w:smallCaps w:val="false"/>
          <w:sz w:val="20"/>
        </w:rPr>
        <w:t xml:space="preserve"> and three patents for </w:t>
      </w:r>
      <w:r>
        <w:rPr>
          <w:rFonts w:ascii="Arial" w:hAnsi="Arial"/>
          <w:i/>
          <w:caps w:val="false"/>
          <w:smallCaps w:val="false"/>
          <w:sz w:val="20"/>
        </w:rPr>
        <w:t>Zusduri</w:t>
      </w:r>
      <w:r>
        <w:rPr>
          <w:rFonts w:ascii="Arial" w:hAnsi="Arial"/>
          <w:caps w:val="false"/>
          <w:smallCaps w:val="false"/>
          <w:sz w:val="20"/>
        </w:rPr>
        <w:t xml:space="preserve"> in the FDA’s Orange Book, all of which are set to expire in January 2031. We also own, co-own or exclusively license patents and pending patent applications relating to UGN-103, UGN-104, and UGN-501, including rights directed to pharmaceutical compositions, formulations, and methods of use. Across our owned, co-owned, and exclusively licensed portfolio, we have approximately 165 granted patents and 59 pending patent applications worldwide. Our issued patents are set to expire between 2030 and 2044, and our pending applications, if issued, are expected to expire between 2031 and 2046.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Limitations on the scope of our intellectual property rights may limit our ability to prevent third parties from designing around such rights and competing against us. For example, many of our patents do not claim a new compound. Rather, the active pharmaceutical ingredients of our products are known compounds and our patents and pending patent applications are directed among other things, to novel formulations of these known compounds with our proprietary </w:t>
      </w:r>
      <w:r>
        <w:rPr>
          <w:rFonts w:ascii="Arial" w:hAnsi="Arial"/>
          <w:i/>
          <w:caps w:val="false"/>
          <w:smallCaps w:val="false"/>
          <w:sz w:val="20"/>
        </w:rPr>
        <w:t>RTGel</w:t>
      </w:r>
      <w:r>
        <w:rPr>
          <w:rFonts w:ascii="Arial" w:hAnsi="Arial"/>
          <w:caps w:val="false"/>
          <w:smallCaps w:val="false"/>
          <w:sz w:val="20"/>
        </w:rPr>
        <w:t> technology. Accordingly, other parties may compete with us, for example, by independently developing or obtaining competing topical formulations that are designed around our patent claims, but which may contain the same active ingredients, or by seeking to invalidate our patents. Any disclosure of or misappropriation by third parties of our confidential proprietary information could enable competitors to quickly duplicate or surpass our technological achievements, eroding our competitive position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will not necessarily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One or more of the patent applications that we filed,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granted patents are complex, lengthy and highly technical documents that are often prepared under limited time constraints and may not be free from errors that make their interpretation uncertain. The existence of errors in a patent application may have an adverse effect on the patent, its scope and its enforceability. Our pending patent applications may not be issued, and the scope of the claims of patent applications that do issue may be too narrow to adequately protect our competitive advantage. Also, our granted patents may be subject to challenges or narrowly construed and may not provide adequate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be subject to claims that we infringe, misappropriate or otherwise violate the intellectual property rights of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USPTO may be subject to reexamination and other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Pharmaceutical patents and patent applications involve highly complex legal and factual questions, which, if determined adversely to us, could negatively impact our patent position. There is significant litigation activity in the pharmaceutical industry regarding patent and other intellectual property rights. Such litigation could result in substantial costs and be a distraction to management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patent positions of biotechnology and pharmaceutical companies can be highly uncertain and involve complex legal and factual questions. The interpretation and breadth of claims allowed in some patents covering pharmaceutical compositions may be uncertain and difficult to determine and are often affected materially by the facts and circumstances that pertain to the patented compositions and the related patent claims. 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third-party intellectual property rights and, if appropriate, to seek licenses for such third-party intellectual property or to challenge such third-party intellectual property, which may be costly and may or may not be successful, which could also have an adverse effect on the commercial potential for </w:t>
      </w:r>
      <w:r>
        <w:rPr>
          <w:rFonts w:ascii="Arial" w:hAnsi="Arial"/>
          <w:i/>
          <w:caps w:val="false"/>
          <w:smallCaps w:val="false"/>
          <w:sz w:val="20"/>
        </w:rPr>
        <w:t>Jelmyto</w:t>
      </w:r>
      <w:r>
        <w:rPr>
          <w:rFonts w:ascii="Arial" w:hAnsi="Arial"/>
          <w:caps w:val="false"/>
          <w:smallCaps w:val="false"/>
          <w:sz w:val="20"/>
        </w:rPr>
        <w:t>, </w:t>
      </w:r>
      <w:r>
        <w:rPr>
          <w:rFonts w:ascii="Arial" w:hAnsi="Arial"/>
          <w:i/>
          <w:caps w:val="false"/>
          <w:smallCaps w:val="false"/>
          <w:sz w:val="20"/>
        </w:rPr>
        <w:t>Zusduri</w:t>
      </w:r>
      <w:r>
        <w:rPr>
          <w:rFonts w:ascii="Arial" w:hAnsi="Arial"/>
          <w:caps w:val="false"/>
          <w:smallCaps w:val="false"/>
          <w:sz w:val="20"/>
        </w:rPr>
        <w:t> and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receive only limited protection, or no protection, from our issued patents and patent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can be no assurance that our patent applications will be granted. The term of individual patents depends upon the legal term of the patents in the countries in which they are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strength of patents in the pharmaceutical field involves complex legal and scientific questions and can be uncertain. This uncertainty includes changes to patent laws through either legislative action to change statutory patent law or court action that may reinterpret existing laws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Patents have a limited lifespan. In the United States, the natural expiration of a patent is generally 20 years after it is filed. Various extensions may be available; however, the life of a patent, and the protection it affords, is limited. Without patent protection for </w:t>
      </w:r>
      <w:r>
        <w:rPr>
          <w:rFonts w:ascii="Arial" w:hAnsi="Arial"/>
          <w:i/>
          <w:caps w:val="false"/>
          <w:smallCaps w:val="false"/>
          <w:sz w:val="20"/>
        </w:rPr>
        <w:t>Jelmyto, Zusduri</w:t>
      </w:r>
      <w:r>
        <w:rPr>
          <w:rFonts w:ascii="Arial" w:hAnsi="Arial"/>
          <w:caps w:val="false"/>
          <w:smallCaps w:val="false"/>
          <w:sz w:val="20"/>
        </w:rPr>
        <w:t> or our product candidates, we may be open to competition from generic versions thereof. For example, we received a Paragraph IV Certification Notice Letter from Teva in February 2024, providing notification that Teva submitted an ANDA to the FDA seeking approval to manufacture, use or sell a generic version of </w:t>
      </w:r>
      <w:r>
        <w:rPr>
          <w:rFonts w:ascii="Arial" w:hAnsi="Arial"/>
          <w:i/>
          <w:caps w:val="false"/>
          <w:smallCaps w:val="false"/>
          <w:sz w:val="20"/>
        </w:rPr>
        <w:t>Jelmyto</w:t>
      </w:r>
      <w:r>
        <w:rPr>
          <w:rFonts w:ascii="Arial" w:hAnsi="Arial"/>
          <w:caps w:val="false"/>
          <w:smallCaps w:val="false"/>
          <w:sz w:val="20"/>
        </w:rPr>
        <w:t>. See Part II, Item 1. “Legal Proceedings” for additional discussion. If we are unable to maintain patent protection for </w:t>
      </w:r>
      <w:r>
        <w:rPr>
          <w:rFonts w:ascii="Arial" w:hAnsi="Arial"/>
          <w:i/>
          <w:caps w:val="false"/>
          <w:smallCaps w:val="false"/>
          <w:sz w:val="20"/>
        </w:rPr>
        <w:t>Jelmyto</w:t>
      </w:r>
      <w:r>
        <w:rPr>
          <w:rFonts w:ascii="Arial" w:hAnsi="Arial"/>
          <w:caps w:val="false"/>
          <w:smallCaps w:val="false"/>
          <w:sz w:val="20"/>
        </w:rPr>
        <w:t xml:space="preserve"> or </w:t>
      </w:r>
      <w:r>
        <w:rPr>
          <w:rFonts w:ascii="Arial" w:hAnsi="Arial"/>
          <w:i/>
          <w:caps w:val="false"/>
          <w:smallCaps w:val="false"/>
          <w:sz w:val="20"/>
        </w:rPr>
        <w:t>Zusduri</w:t>
      </w:r>
      <w:r>
        <w:rPr>
          <w:rFonts w:ascii="Arial" w:hAnsi="Arial"/>
          <w:caps w:val="false"/>
          <w:smallCaps w:val="false"/>
          <w:sz w:val="20"/>
        </w:rPr>
        <w:t xml:space="preserve">, they will be subject to immediate competition from generic entrants after regulatory exclusivity expires for </w:t>
      </w:r>
      <w:r>
        <w:rPr>
          <w:rFonts w:ascii="Arial" w:hAnsi="Arial"/>
          <w:i/>
          <w:caps w:val="false"/>
          <w:smallCaps w:val="false"/>
          <w:sz w:val="20"/>
        </w:rPr>
        <w:t>Jelmyto </w:t>
      </w:r>
      <w:r>
        <w:rPr>
          <w:rFonts w:ascii="Arial" w:hAnsi="Arial"/>
          <w:caps w:val="false"/>
          <w:smallCaps w:val="false"/>
          <w:sz w:val="20"/>
        </w:rPr>
        <w:t xml:space="preserve">in April 2027 and </w:t>
      </w:r>
      <w:r>
        <w:rPr>
          <w:rFonts w:ascii="Arial" w:hAnsi="Arial"/>
          <w:i/>
          <w:caps w:val="false"/>
          <w:smallCaps w:val="false"/>
          <w:sz w:val="20"/>
        </w:rPr>
        <w:t>Zusduri</w:t>
      </w:r>
      <w:r>
        <w:rPr>
          <w:rFonts w:ascii="Arial" w:hAnsi="Arial"/>
          <w:caps w:val="false"/>
          <w:smallCaps w:val="false"/>
          <w:sz w:val="20"/>
        </w:rPr>
        <w:t> in June 2028. Further, if we encounter delays in our development efforts, including our clinical trials, the period of time during which we could market our product candidates under patent protection would be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Our trade secrets may not have sufficient intellectual property protection.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Changes in U.S. patent law could diminish the value of patents in general, thereby impairing our ability to protect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Obtaining and maintaining our patent protection depends on compliance with various procedural, documentary, fee payment and other requirements imposed by governmental patent agencies, and our patent protection could be reduced or eliminated for non-compliance with these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USPTO and various foreign governmental patent agencies require compliance with a number of procedural, documentary, fee payment and other similar provisions during the patent prosecution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Filing, prosecuting and defending patents on our approved products or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we are unable to protect our trademarks from infringement, our business prospects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We filed applications for trademarks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RTGel</w:t>
      </w:r>
      <w:r>
        <w:rPr>
          <w:rFonts w:ascii="Arial" w:hAnsi="Arial"/>
          <w:caps w:val="false"/>
          <w:smallCaps w:val="false"/>
          <w:sz w:val="20"/>
        </w:rPr>
        <w:t xml:space="preserve">®, </w:t>
      </w:r>
      <w:r>
        <w:rPr>
          <w:rFonts w:ascii="Arial" w:hAnsi="Arial"/>
          <w:i/>
          <w:caps w:val="false"/>
          <w:smallCaps w:val="false"/>
          <w:sz w:val="20"/>
        </w:rPr>
        <w:t>Zusduri</w:t>
      </w:r>
      <w:r>
        <w:rPr>
          <w:rFonts w:ascii="Arial" w:hAnsi="Arial"/>
          <w:caps w:val="false"/>
          <w:smallCaps w:val="false"/>
          <w:sz w:val="20"/>
        </w:rPr>
        <w:t xml:space="preserve">® and UroGen®) that identify our branding elements, such as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 xml:space="preserve"> and our unique technology in the United States, Europe, Israel, Japan and China.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become involved in lawsuits to protect or enforce our patents or other intellectual property rights or the patents of our licensors, which could be expensive and time consuming.*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Drug manufacturers may develop, seek approval for, and launch generic versions of our products. For example, we received a Paragraph IV Certification Notice Letter from Teva in February 2024, providing notification to us that Teva submitted an ANDA to the FDA seeking approval to manufacture, use, or sell a generic version of </w:t>
      </w:r>
      <w:r>
        <w:rPr>
          <w:rFonts w:ascii="Arial" w:hAnsi="Arial"/>
          <w:i/>
          <w:caps w:val="false"/>
          <w:smallCaps w:val="false"/>
          <w:sz w:val="20"/>
        </w:rPr>
        <w:t>Jelmyto</w:t>
      </w:r>
      <w:r>
        <w:rPr>
          <w:rFonts w:ascii="Arial" w:hAnsi="Arial"/>
          <w:caps w:val="false"/>
          <w:smallCaps w:val="false"/>
          <w:sz w:val="20"/>
        </w:rPr>
        <w:t>. See Part II, Item 1. “Legal Proceedings” for additional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do not file a patent infringement lawsuit against a generic manufacturer within 45 days of receiving notice of its Paragraph IV certification, the ANDA applicant may not be subject to a 30</w:t>
        <w:noBreakHyphen/>
        <w:t>month stay. If we file an infringement action against a generic drug manufacturer, that company may challenge the scope, validity or enforceability of our or our licensors’ patents, requiring us and/or our licensors to engage in complex, lengthy and costly litigation or other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if we or one of our licensors were to initiate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Furthermore,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For example, the USPTO has proposed significant changes to how it handles inter partes review. While no rules have been finalized, the shifting standards—combined with Director-level control over institution decisions and ongoing Congressional and Federal Circuit scrutiny—have created uncertainty about when and how patents can be challenged in the United States, which in turn brings uncertainty to the outcomes of challenges to our patents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Such litigation and administrative proceedings could result in revocation of our patents or amendment of our patents such that they do not cover our products or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products or product candidates. Such a loss of patent protection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become subject to claims for remuneration or royalties for assigned service invention rights by our employees, which could result in litigation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significant portion of our intellectual property has been developed by our employees during their employment. Our employees execute agreements that assign to us any ownership interest in a patent or patent application created in the scope of the employee’s employment. Under the Israeli Patents Law, 5727-1967 (the “Patent Law”), inventions conceived by an employee during the scope of his or her employment with a company are regarded as “service inventions,” which belong to the employer, absent an agreement between the employee and employer giving the employee service invention rights. The Patents Law also provides that if there is no agreement between an employer and an employee determining whether the employee is entitled to receive remuneration for service inventions and on what terms, the Israeli Compensation and Royalties Committee (the “Committee”), a body constituted under the Patents Law, has the authority to determine whether the employee is entitled to remuneration for his or her inventions and the scope of such remuneration. Case law clarifies that the right to receive consideration for “service inventions” can be waived by the employee. The Committee will examine, on a case-by-case basis, the general contractual framework between the parties, using interpretation rules of general Israeli contract law. Further, the Committee has not yet determined one specific formula for calculating this remuneration, but rather uses the criteria specified in the Patents Law. Although we enter into agreements with our Israeli employees pursuant to which such individuals assign to us all rights to any inventions created during and as a result of their employment with us and waive their right to remuneration for service inventions, we may nonetheless face claims by employees demanding remuneration beyond their regular salary and benefits. As a consequence of such claims, we could be required to pay additional remuneration or royalties to our current and/or former employees, or be forced to litigate such claims, which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Third-party claims alleging intellectual property infringement may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commercial success depends in part on our avoiding infringement of the patents and proprietary rights of third parties, for example, the intellectual property rights of competitors. Our commercialization activities may be subject to claims that we infringe or otherwise violate patents owned or controlled by third parties. Numerous U.S. and foreign issued patents and pending patent applications, which are owned by third parties, exist in the fields in which we are commercializing or developing our products and product candidates. As the biotechnology and pharmaceutical industries expand and more patents are issued, the risk increases that our activities related to our products and product candidates may give rise to claims of infringement of the patent rights of others. We cannot assure you that our products and product candidates will not infringe existing or future patents. We may unknowingly infringe existing patents by commercialization of our products and product candidates. It is also possible that patents of which we are aware, but which we do not believe are relevant to our products and product candidates, could nevertheless be found to be infringed by our products and product candidates. Nevertheless, we are not aware of any issued patents that we believe would prevent us from marketing our products and product candidates, if approved. There may also be patent applications that have been filed but not published that, when issued as patents, could be asserted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Third parties making claims against us for infringement or misappropriation of their intellectual property rights may seek and obtain injunctive or other equitable relief, which could effectively block our ability to further commercialize or develop our products and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 reasonable terms. In the event that we could not obtain a license, we may be unable to further commercialize or develop our products and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We may be subject to claims that our employees, consultants or independent contractors have wrongfully used or disclosed confidential information of third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Risks Related to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example, in March 2010, the ACA was signed into law. There have been judicial and Congressional challenges, as well as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on November 15, 2021, the Infrastructure Investment and Jobs Act was signed into law. On January 1, 2023, manufacturers began to be required to pay quarterly refunds to the CMS for discarded amounts of certain single-dose container and single-use package drugs payable under part B of the Medicare program. Refunds are generally based on the discarded volume above 10% of the total allowed amount. However, in unique circumstances, CMS will increase the applicable threshold to 35%. At this time, CMS has determined that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Zusduri</w:t>
      </w:r>
      <w:r>
        <w:rPr>
          <w:rFonts w:ascii="Arial" w:hAnsi="Arial"/>
          <w:caps w:val="false"/>
          <w:smallCaps w:val="false"/>
          <w:sz w:val="20"/>
        </w:rPr>
        <w:t xml:space="preserve"> fit within this unique circumstance classification. We do not expect </w:t>
      </w:r>
      <w:r>
        <w:rPr>
          <w:rFonts w:ascii="Arial" w:hAnsi="Arial"/>
          <w:i/>
          <w:caps w:val="false"/>
          <w:smallCaps w:val="false"/>
          <w:sz w:val="20"/>
        </w:rPr>
        <w:t>Zusduri</w:t>
      </w:r>
      <w:r>
        <w:rPr>
          <w:rFonts w:ascii="Arial" w:hAnsi="Arial"/>
          <w:caps w:val="false"/>
          <w:smallCaps w:val="false"/>
          <w:sz w:val="20"/>
        </w:rPr>
        <w:t> to exceed the applicable 35% threshold.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establishing Most-Favored-Nation pricing for pharmaceutical products and launching an online clearinghouse (“TrumpRx”) for patients to purchase certain products from manufacturers on a cash pay basis;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Under the Orphan Drug Act of 1983 (the "Orphan Drug Act"), the FDA may designate a product as an orphan drug (“Orphan Drug Designation”)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Although the FDA has granted Orphan Drug Designation to </w:t>
      </w:r>
      <w:r>
        <w:rPr>
          <w:rFonts w:ascii="Arial" w:hAnsi="Arial"/>
          <w:i/>
          <w:caps w:val="false"/>
          <w:smallCaps w:val="false"/>
          <w:sz w:val="20"/>
        </w:rPr>
        <w:t>Jelmyto</w:t>
      </w:r>
      <w:r>
        <w:rPr>
          <w:rFonts w:ascii="Arial" w:hAnsi="Arial"/>
          <w:caps w:val="false"/>
          <w:smallCaps w:val="false"/>
          <w:sz w:val="20"/>
        </w:rPr>
        <w:t> for treatment of UTUC, we may not receive Orphan Drug Designation for any of our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Orphan Drug Designation entitles a party to financial incentives, such as opportunities for grant funding towards clinical trial costs, tax advantages, user-fee waivers and market exclusivity for certain periods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i/>
          <w:caps w:val="false"/>
          <w:smallCaps w:val="false"/>
          <w:sz w:val="20"/>
        </w:rPr>
        <w:t>Jelmyto</w:t>
      </w:r>
      <w:r>
        <w:rPr>
          <w:rFonts w:ascii="Arial" w:hAnsi="Arial"/>
          <w:caps w:val="false"/>
          <w:smallCaps w:val="false"/>
          <w:sz w:val="20"/>
        </w:rPr>
        <w:t> has been granted Orphan Drug Designation for the treatment of UTUC in the United States. Even if we obtain Orphan Drug Designation for our other product candidates, we may not be the first to obtain regulatory approval for any particular orphan indication due to the uncertainties associated with developing biotechnology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Conversely, even if we are granted orphan exclusivity, a competitor that demonstrates clinical superiority with the same active moiety may obtain approval prior to expiration of our exclusivity.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Jelmyto and Zusduri are, and any of our product candidates that receive</w:t>
      </w:r>
      <w:r>
        <w:rPr>
          <w:rFonts w:ascii="Arial" w:hAnsi="Arial"/>
          <w:caps w:val="false"/>
          <w:smallCaps w:val="false"/>
          <w:sz w:val="20"/>
        </w:rPr>
        <w:t> </w:t>
      </w:r>
      <w:r>
        <w:rPr>
          <w:rFonts w:ascii="Arial" w:hAnsi="Arial"/>
          <w:b/>
          <w:i/>
          <w:caps w:val="false"/>
          <w:smallCaps w:val="false"/>
          <w:sz w:val="20"/>
        </w:rPr>
        <w:t>regulatory approval will be subject to ongoing regulatory obligations and continued regulatory review, which may result in significant additional expenses, limit or withdraw regulatory approval and subject us to penalties if we fail to comply with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i/>
          <w:caps w:val="false"/>
          <w:smallCaps w:val="false"/>
          <w:sz w:val="20"/>
        </w:rPr>
        <w:t>Jelmyto, Zusduri</w:t>
      </w:r>
      <w:r>
        <w:rPr>
          <w:rFonts w:ascii="Arial" w:hAnsi="Arial"/>
          <w:caps w:val="false"/>
          <w:smallCaps w:val="false"/>
          <w:sz w:val="20"/>
        </w:rPr>
        <w:t xml:space="preserve"> and any of our product candidates that receive regulatory approval will be subject to continual regulatory review by the FDA and/or foreign regulatory authorities. Additionally, </w:t>
      </w:r>
      <w:r>
        <w:rPr>
          <w:rFonts w:ascii="Arial" w:hAnsi="Arial"/>
          <w:i/>
          <w:caps w:val="false"/>
          <w:smallCaps w:val="false"/>
          <w:sz w:val="20"/>
        </w:rPr>
        <w:t xml:space="preserve">Jelmyto </w:t>
      </w:r>
      <w:r>
        <w:rPr>
          <w:rFonts w:ascii="Arial" w:hAnsi="Arial"/>
          <w:caps w:val="false"/>
          <w:smallCaps w:val="false"/>
          <w:sz w:val="20"/>
        </w:rPr>
        <w:t>and </w:t>
      </w:r>
      <w:r>
        <w:rPr>
          <w:rFonts w:ascii="Arial" w:hAnsi="Arial"/>
          <w:i/>
          <w:caps w:val="false"/>
          <w:smallCaps w:val="false"/>
          <w:sz w:val="20"/>
        </w:rPr>
        <w:t>Zusduri</w:t>
      </w:r>
      <w:r>
        <w:rPr>
          <w:rFonts w:ascii="Arial" w:hAnsi="Arial"/>
          <w:caps w:val="false"/>
          <w:smallCaps w:val="false"/>
          <w:sz w:val="20"/>
        </w:rPr>
        <w:t> are, and any of our product candidates that receive regulatory approval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FDA approvals of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 xml:space="preserve">Zusduri </w:t>
      </w:r>
      <w:r>
        <w:rPr>
          <w:rFonts w:ascii="Arial" w:hAnsi="Arial"/>
          <w:caps w:val="false"/>
          <w:smallCaps w:val="false"/>
          <w:sz w:val="20"/>
        </w:rPr>
        <w:t xml:space="preserve">are, and any regulatory approvals that we receive for our product candidates may be, subject to limitations on the approved indications for which the product may be marketed or to the conditions of approval. In addition, any regulatory approvals that we receive for our current or future product candidates may contain requirements for potentially costly post-marketing testing, including Phase 4 clinical trials, and surveillance to monitor the safety and efficacy of the product. In addition, the manufacturing processes, labeling, packaging, distribution, adverse event reporting, storage, advertising, promotion and recordkeeping for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 xml:space="preserve">Zusduri </w:t>
      </w:r>
      <w:r>
        <w:rPr>
          <w:rFonts w:ascii="Arial" w:hAnsi="Arial"/>
          <w:caps w:val="false"/>
          <w:smallCaps w:val="false"/>
          <w:sz w:val="20"/>
        </w:rPr>
        <w:t>are, and any of our product candidates that receive regulatory approval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Later discovery of previously unknown problems with our products or product candidates, including adverse events of unanticipated severity or frequency, or problems with our third-party manufacturers’ processes, or failure to comply with regulatory requirements, may result in,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restrictions on the marketing or manufacturing of the product, withdrawal of the product from the market, or voluntary or mandatory product recalls;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fines, warning letters or holds on clinical trials;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refusal by the FDA to approve pending applications or supplements to approved applications submitted by us, or suspension or revocation of product license approvals;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product seizure or detention, or refusal to permit the import or export of products; and 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significant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subject to various U.S. federal, state and foreign health care laws, including those intended to prevent health care fraud and abuse. These laws may impact, among other things, our clinical research, sales and marketing activities, and constrain the business or financial arrangements with healthcare providers, physicians, and other parties that have the ability to directly or indirectly influence the prescribing, ordering, marketing, or distribution of products for which we obtain marketing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 Remuneration has been broadly defined to include anything of value, including, but not limited to, cash, improper discounts, and free or reduced-price items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Federal false claims laws, including the federal civil False Claims Act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Many states have similar fraud and abuse statutes and regulations that may be broader in scope and may apply regardless of payor, in addition to items and services reimbursed under Medicaid and other state programs. State and federal authorities have aggressively targeted pharmaceutical companies for, among other things, alleged violations of these anti-fraud statutes, based on among other things, unlawful financial inducements paid to prescribers and beneficiaries, as well as impermissible promotional practices, including certain marketing arrangements that rely on volume-based pricing and off-label promotion of FDA-approved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federal Health Insurance Portability and Accountability Act of 1996 ("HIPAA"), among other things, imposes civil and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HIPAA, as amended by the Health Information Technology for Economic and Clinical Health Act of 2009 (“HITECH”), and their implementing regulations, impose, among other things, specified requirements on covered entities, including certain healthcare providers, health plans, and healthcare clearinghouses, and their business associates as well as their covered subcontractors relating to the privacy,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operations are also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CMS information related to payments and other transfers of value provided to physicians (defined to include doctors, dentists, optometrists, podiatrists and chiropractors), certain other healthcare professionals (such as physician assistants and nurse practitioners)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drug pricing, and/or state laws that require pharmaceutical companies to comply with the pharmaceutical industry’s voluntary compliance guidelines and the relevant compliance guidelines promulgated by the federal government.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Many states have also adopted laws similar to each of the above federal laws, which may be broader in scope and apply to items or services reimbursed by any payor, including commercial insurers. Some state and local laws require us to maintain certain regulatory licenses to manufacture or distribute pharmaceutical products commercially and/or to register our pharmaceutical sales representatives. In addition, we may be subject to certain foreign healthcare laws that are analogous to the U.S. healthcare laws described above. If any of our business activities, including but not limited to our relationships with healthcare providers, are found to violate any of the aforementioned laws, we may be subject to significant administrative, civil and criminal penalties, damages, monetary fines, disgorgement,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Also, the FCPA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changes to manufacturing methods;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recall, replacement, or discontinuance of one or more of our products;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 recordkeeping.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We and the third parties with whom we work are subject to stringent and changing U.S. and foreign</w:t>
      </w:r>
      <w:r>
        <w:rPr>
          <w:rFonts w:ascii="Arial" w:hAnsi="Arial"/>
          <w:caps w:val="false"/>
          <w:smallCaps w:val="false"/>
          <w:sz w:val="20"/>
        </w:rPr>
        <w:t> </w:t>
      </w:r>
      <w:r>
        <w:rPr>
          <w:rFonts w:ascii="Arial" w:hAnsi="Arial"/>
          <w:b/>
          <w:i/>
          <w:caps w:val="false"/>
          <w:smallCaps w:val="false"/>
          <w:sz w:val="20"/>
        </w:rPr>
        <w:t>laws, regulations, and rules, contractual obligations, industry standards, self-regulatory schemes, policies</w:t>
      </w:r>
      <w:r>
        <w:rPr>
          <w:rFonts w:ascii="Arial" w:hAnsi="Arial"/>
          <w:caps w:val="false"/>
          <w:smallCaps w:val="false"/>
          <w:sz w:val="20"/>
        </w:rPr>
        <w:t> </w:t>
      </w:r>
      <w:r>
        <w:rPr>
          <w:rFonts w:ascii="Arial" w:hAnsi="Arial"/>
          <w:b/>
          <w:i/>
          <w:caps w:val="false"/>
          <w:smallCaps w:val="false"/>
          <w:sz w:val="20"/>
        </w:rPr>
        <w:t>and other obligations related to data privacy and security. The actual or perceived failure by us or by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w:t>
      </w:r>
      <w:r>
        <w:rPr>
          <w:rFonts w:ascii="Arial" w:hAnsi="Arial"/>
          <w:caps w:val="false"/>
          <w:smallCaps w:val="false"/>
          <w:sz w:val="20"/>
        </w:rPr>
        <w:t> </w:t>
      </w:r>
      <w:r>
        <w:rPr>
          <w:rFonts w:ascii="Arial" w:hAnsi="Arial"/>
          <w:b/>
          <w:i/>
          <w:caps w:val="false"/>
          <w:smallCaps w:val="false"/>
          <w:sz w:val="20"/>
        </w:rPr>
        <w:t>or otherwise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ordinary course of our business, we collect, receive, store, process, generate, use, transfer, disclose, make accessible, protect, secure, dispose of, transmit, and share (collectively, "process") Sensitive Information. Our data processing activities are subject to numerous data privacy and security obligations, such as domestic and foreign laws and regulations, guidance, industry standards, external and internal privacy and security policies, contractual requirements, and other obligations relating to privacy, data protection,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United States, federal, state, and local governments have enacted numerous privacy, data protection, and data security laws, including data breach notification laws, personal data privacy laws, and consumer protection laws (e.g., Section 5 of the Federal Trade Commission Act), and other similar laws (e.g., wiretapping laws). For example, as further described above, HIPAA imposes specific requirements relating to the privacy, security, and transmission of individually identifiable health information. Additionally,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types of personal data,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laws are being considered at the federal, state, and local levels and we expect more states to pass similar laws in the future. Furthermore, we are or may become subject to new laws governing the privacy of consumer health data.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These laws demonstrate our vulnerability to the evolving regulatory environment related to personal data. As we expand our operations, these and similar laws may increase our compliance costs and potential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Outside the United States, an increasing number of laws, regulations, and industry standards apply to privacy, data protection, and data security. For example, the European Union’s General Data Protection Regulation (“EU GDPR”) and the United Kingdom’s GDPR (“UK GDPR”) impose strict requirements for processing personal data. Our upcoming clinical trial will include sites in the EU, which will increase our exposure to potential liability under the EU GDPR.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We have expanded our business to include additional clinical trial operations in the European Union and eastern Europe, subjecting us to increased governmental regulation in such jurisdictions, such as the EU GDPR. Assisting our customers, partners, and vendors in complying with the EU GDPR or other foreign laws, or complying with such laws ourselves, has in the past and may in the future cause us to incur substantial operational costs or require us to change our business practices. Additionally, under various privacy laws and other obligations, we may be required to obtain certain consents to process personal data. Our inability or failure to do so could result in adverse consequences, including class action litigation and mass arbitration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Moreover,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Inability to import personal data from Europe to the United States may limit our ability to conduct clinical trial activities in Europe, limit our ability to collaborate with contract research organizations, service providers, contractors and other entities subject to European data protection laws, adversely impact our operations, product development and ability to provide our products, and require us to increase our data processing capabilities in Europe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employees and personnel use AI technologies to perform their work, and the disclosure and use of personal data in generative AI technologies is subject to various privacy laws and other privacy obligations. Governments have passed and are likely to pass additional laws regulating AI technologies.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Additionally, we are or may become subject to industry standards related to data privacy or security adopted by industry groups. We publish privacy policies, marketing materials, whitepapers, and other statements such as statements related to security or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Our business model materially depends on our ability to process personal data, so we are particularly exposed to the risks associated with the rapidly changing legal landscape. For example, we may be at heightened risk of regulatory scrutiny due to collection of key-coded clinical trial participant information, and any changes in the regulatory framework could require us to fundamentally change our business model.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active in bringing privacy-related claims against companies, including class claims and mass arbitration demands, and we have been subject in the past, and may be subject in the future, to such claims and demands. Some of these claims allow for the recovery of statutory damages on a per-violation basis, and, if viable, carry the potential for monumental statutory damages, depending on the volume of data and the number of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and substantial changes to our business model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If we fail to comply with environmental, health and safety laws and regulations, we could become subject to fines or penalties or incur costs that could negatively impact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It may be difficult for us to profitably sell our products and product candidates that receive regulatory approval if coverage and reimbursement for these products is limited by government authorities and/or third-party payor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In addition to any healthcare reform measures which may affect reimbursement, market acceptance and sales of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 xml:space="preserve">Zusduri </w:t>
      </w:r>
      <w:r>
        <w:rPr>
          <w:rFonts w:ascii="Arial" w:hAnsi="Arial"/>
          <w:caps w:val="false"/>
          <w:smallCaps w:val="false"/>
          <w:sz w:val="20"/>
        </w:rPr>
        <w:t xml:space="preserve">and our product candidates, if approved, will depend on the coverage and reimbursement policies of third-party payors, like government authorities, private health insurers, and managed care organizations. Third-party payors decide which medications they will cover and separately establish reimbursement levels. CMS has established a permanent and product-specific J-code for </w:t>
      </w:r>
      <w:r>
        <w:rPr>
          <w:rFonts w:ascii="Arial" w:hAnsi="Arial"/>
          <w:i/>
          <w:caps w:val="false"/>
          <w:smallCaps w:val="false"/>
          <w:sz w:val="20"/>
        </w:rPr>
        <w:t>Jelmyto</w:t>
      </w:r>
      <w:r>
        <w:rPr>
          <w:rFonts w:ascii="Arial" w:hAnsi="Arial"/>
          <w:caps w:val="false"/>
          <w:smallCaps w:val="false"/>
          <w:sz w:val="20"/>
        </w:rPr>
        <w:t xml:space="preserve"> that took effect on January 1, 2021. Our existing pass-through status was set to expire in the fourth quarter of 2023. However, CMS granted </w:t>
      </w:r>
      <w:r>
        <w:rPr>
          <w:rFonts w:ascii="Arial" w:hAnsi="Arial"/>
          <w:i/>
          <w:caps w:val="false"/>
          <w:smallCaps w:val="false"/>
          <w:sz w:val="20"/>
        </w:rPr>
        <w:t>Jelmyto</w:t>
      </w:r>
      <w:r>
        <w:rPr>
          <w:rFonts w:ascii="Arial" w:hAnsi="Arial"/>
          <w:caps w:val="false"/>
          <w:smallCaps w:val="false"/>
          <w:sz w:val="20"/>
        </w:rPr>
        <w:t xml:space="preserve"> a New Technology APC, effective from October 1, 2023. A service is paid separately under a New Technology APC until sufficient claims data have been collected to allow CMS to assign the procedure to a clinical APC group that is appropriate in clinical and resource terms. This generally occurs within two to three years from the time a new HCPCS code becomes effective. However, if CMS are able to collect sufficient claims data in less than two years, CMS may consider reassigning the service to an appropriate APC, or, if CMS does not have sufficient data at the end of three years upon which to base its reassignment to an appropriate clinical APC, CMS may keep the service in a New Technology APC until adequate data become available. Loss of our New Technology APC may result in Medicare beneficiaries losing access to </w:t>
      </w:r>
      <w:r>
        <w:rPr>
          <w:rFonts w:ascii="Arial" w:hAnsi="Arial"/>
          <w:i/>
          <w:caps w:val="false"/>
          <w:smallCaps w:val="false"/>
          <w:sz w:val="20"/>
        </w:rPr>
        <w:t>Jelmyto</w:t>
      </w:r>
      <w:r>
        <w:rPr>
          <w:rFonts w:ascii="Arial" w:hAnsi="Arial"/>
          <w:caps w:val="false"/>
          <w:smallCaps w:val="false"/>
          <w:sz w:val="20"/>
        </w:rPr>
        <w:t xml:space="preserve"> in the hospital outpatient setting and </w:t>
      </w:r>
      <w:r>
        <w:rPr>
          <w:rFonts w:ascii="Arial" w:hAnsi="Arial"/>
          <w:i/>
          <w:caps w:val="false"/>
          <w:smallCaps w:val="false"/>
          <w:sz w:val="20"/>
        </w:rPr>
        <w:t>Jelmyto</w:t>
      </w:r>
      <w:r>
        <w:rPr>
          <w:rFonts w:ascii="Arial" w:hAnsi="Arial"/>
          <w:caps w:val="false"/>
          <w:smallCaps w:val="false"/>
          <w:sz w:val="20"/>
        </w:rPr>
        <w:t xml:space="preserve"> becoming packaged into a comprehensive APC.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primary trend in the U.S. healthcare industry and elsewhere is cost containment.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Although our experience to date has demonstrated coverage for </w:t>
      </w:r>
      <w:r>
        <w:rPr>
          <w:rFonts w:ascii="Arial" w:hAnsi="Arial"/>
          <w:i/>
          <w:caps w:val="false"/>
          <w:smallCaps w:val="false"/>
          <w:sz w:val="20"/>
        </w:rPr>
        <w:t>Jelmyto</w:t>
      </w:r>
      <w:r>
        <w:rPr>
          <w:rFonts w:ascii="Arial" w:hAnsi="Arial"/>
          <w:caps w:val="false"/>
          <w:smallCaps w:val="false"/>
          <w:sz w:val="20"/>
        </w:rPr>
        <w:t xml:space="preserve">, we cannot be sure that adequate coverage will be available for </w:t>
      </w:r>
      <w:r>
        <w:rPr>
          <w:rFonts w:ascii="Arial" w:hAnsi="Arial"/>
          <w:i/>
          <w:caps w:val="false"/>
          <w:smallCaps w:val="false"/>
          <w:sz w:val="20"/>
        </w:rPr>
        <w:t>Zusduri</w:t>
      </w:r>
      <w:r>
        <w:rPr>
          <w:rFonts w:ascii="Arial" w:hAnsi="Arial"/>
          <w:caps w:val="false"/>
          <w:smallCaps w:val="false"/>
          <w:sz w:val="20"/>
        </w:rPr>
        <w:t xml:space="preserve"> or our product candidates, if approved, or, if coverage is available, the level of reimbursement will be adequate to make our products affordable for patients or profitable for us. In addition, if inflation or other factors were to significantly increase our business costs, it may not be feasible to pass price increases on to our customers due to the process by which healthcare providers are reimbursed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CMS’s determinations. Our experience to date has demonstrated coverage with CMS and commercial payors for </w:t>
      </w:r>
      <w:r>
        <w:rPr>
          <w:rFonts w:ascii="Arial" w:hAnsi="Arial"/>
          <w:i/>
          <w:caps w:val="false"/>
          <w:smallCaps w:val="false"/>
          <w:sz w:val="20"/>
        </w:rPr>
        <w:t>Jelmyto</w:t>
      </w:r>
      <w:r>
        <w:rPr>
          <w:rFonts w:ascii="Arial" w:hAnsi="Arial"/>
          <w:caps w:val="false"/>
          <w:smallCaps w:val="false"/>
          <w:sz w:val="20"/>
        </w:rPr>
        <w:t xml:space="preserve">, and we have established written policies with certain commercial providers. However, it is difficult to predict what third-party payors will decide with respect to reimbursement for fundamentally novel products such as </w:t>
      </w:r>
      <w:r>
        <w:rPr>
          <w:rFonts w:ascii="Arial" w:hAnsi="Arial"/>
          <w:i/>
          <w:caps w:val="false"/>
          <w:smallCaps w:val="false"/>
          <w:sz w:val="20"/>
        </w:rPr>
        <w:t>Zusduri</w:t>
      </w:r>
      <w:r>
        <w:rPr>
          <w:rFonts w:ascii="Arial" w:hAnsi="Arial"/>
          <w:caps w:val="false"/>
          <w:smallCaps w:val="false"/>
          <w:sz w:val="20"/>
        </w:rPr>
        <w:t>, as there is no body of established practices and precedents for these new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Moreover, for products administered under the supervision of a physician, obtaining and maintaining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such as </w:t>
      </w:r>
      <w:r>
        <w:rPr>
          <w:rFonts w:ascii="Arial" w:hAnsi="Arial"/>
          <w:i/>
          <w:caps w:val="false"/>
          <w:smallCaps w:val="false"/>
          <w:sz w:val="20"/>
        </w:rPr>
        <w:t>Zusduri</w:t>
      </w:r>
      <w:r>
        <w:rPr>
          <w:rFonts w:ascii="Arial" w:hAnsi="Arial"/>
          <w:caps w:val="false"/>
          <w:smallCaps w:val="false"/>
          <w:sz w:val="20"/>
        </w:rPr>
        <w:t>,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Reimbursement by a third-party payor may depend upon a number of factors including the third-party payor’s determination that use of a product is:</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 covered benefit under its health plan;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safe, effective and medically necessary;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appropriate for the specific patient;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cost-effective;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neither experimental nor investigational.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Obtaining and maintaining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Although we have obtained written policy coverage in commercial plans as well as coverage for government plans for </w:t>
      </w:r>
      <w:r>
        <w:rPr>
          <w:rFonts w:ascii="Arial" w:hAnsi="Arial"/>
          <w:i/>
          <w:caps w:val="false"/>
          <w:smallCaps w:val="false"/>
          <w:sz w:val="20"/>
        </w:rPr>
        <w:t>Jelmyto</w:t>
      </w:r>
      <w:r>
        <w:rPr>
          <w:rFonts w:ascii="Arial" w:hAnsi="Arial"/>
          <w:caps w:val="false"/>
          <w:smallCaps w:val="false"/>
          <w:sz w:val="20"/>
        </w:rPr>
        <w:t> to date, we cannot be sure that adequate coverage or reimbursement will continue to be available for </w:t>
      </w:r>
      <w:r>
        <w:rPr>
          <w:rFonts w:ascii="Arial" w:hAnsi="Arial"/>
          <w:i/>
          <w:caps w:val="false"/>
          <w:smallCaps w:val="false"/>
          <w:sz w:val="20"/>
        </w:rPr>
        <w:t>Jelmyto</w:t>
      </w:r>
      <w:r>
        <w:rPr>
          <w:rFonts w:ascii="Arial" w:hAnsi="Arial"/>
          <w:caps w:val="false"/>
          <w:smallCaps w:val="false"/>
          <w:sz w:val="20"/>
        </w:rPr>
        <w:t xml:space="preserve">, or be available for </w:t>
      </w:r>
      <w:r>
        <w:rPr>
          <w:rFonts w:ascii="Arial" w:hAnsi="Arial"/>
          <w:i/>
          <w:caps w:val="false"/>
          <w:smallCaps w:val="false"/>
          <w:sz w:val="20"/>
        </w:rPr>
        <w:t>Zusduri</w:t>
      </w:r>
      <w:r>
        <w:rPr>
          <w:rFonts w:ascii="Arial" w:hAnsi="Arial"/>
          <w:caps w:val="false"/>
          <w:smallCaps w:val="false"/>
          <w:sz w:val="20"/>
        </w:rPr>
        <w:t> or any of our product candidates, if approved. Also, we cannot be sure that reimbursement amounts will not reduce the demand for, or the price of, our future products. If reimbursement is not available, or is available only to limited levels, we may not be able to successfully commercialize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 xml:space="preserve">Zusduri </w:t>
      </w:r>
      <w:r>
        <w:rPr>
          <w:rFonts w:ascii="Arial" w:hAnsi="Arial"/>
          <w:caps w:val="false"/>
          <w:smallCaps w:val="false"/>
          <w:sz w:val="20"/>
        </w:rPr>
        <w:t>or our product candidates, or achieve profitably at all, even if approved. Additionally, coverage policies and reimbursement rates may change at any time. Even if favorable coverage and reimbursement status is attained for any of our products or product candidates that receive regulatory approval, less favorable coverage policies and reimbursement rates may be implemented in the future. For example, beginning on January 1, 2023, manufacturers began to be required to pay quarterly refunds to CMS for discarded amounts of single-dose container and single-use package drugs covered under Medicare Part B. Rebates will generally be based on the discarded volume above 10% of the total allowed amount. CMS has been receptive to evaluating the feasibility of the 10% threshold, and where appropriate, has modified the discarded volume threshold accordingly. In unique circumstances, CMS will increase the applicable threshold to 35%. At this time, CMS has determined that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Zusduri</w:t>
      </w:r>
      <w:r>
        <w:rPr>
          <w:rFonts w:ascii="Arial" w:hAnsi="Arial"/>
          <w:caps w:val="false"/>
          <w:smallCaps w:val="false"/>
          <w:sz w:val="20"/>
        </w:rPr>
        <w:t xml:space="preserve"> fit within this unique circumstance classification. We do not expect </w:t>
      </w:r>
      <w:r>
        <w:rPr>
          <w:rFonts w:ascii="Arial" w:hAnsi="Arial"/>
          <w:i/>
          <w:caps w:val="false"/>
          <w:smallCaps w:val="false"/>
          <w:sz w:val="20"/>
        </w:rPr>
        <w:t>Zusduri</w:t>
      </w:r>
      <w:r>
        <w:rPr>
          <w:rFonts w:ascii="Arial" w:hAnsi="Arial"/>
          <w:caps w:val="false"/>
          <w:smallCaps w:val="false"/>
          <w:sz w:val="20"/>
        </w:rPr>
        <w:t> to exceed the applicable 35% threshold. If we are unable to obtain and maintain sufficient third</w:t>
        <w:noBreakHyphen/>
        <w:t>party coverage and adequate reimbursement for our products, the commercial success of our products may be greatly hindered and our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 xml:space="preserve">Risks Related to Ownership of Our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The market price of our ordinary shares has been and may continue to be subject to fluctuation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success of our commercialization of </w:t>
            </w:r>
            <w:r>
              <w:rPr>
                <w:rFonts w:ascii="Arial" w:hAnsi="Arial"/>
                <w:i/>
                <w:caps w:val="false"/>
                <w:smallCaps w:val="false"/>
                <w:sz w:val="20"/>
              </w:rPr>
              <w:t xml:space="preserve">Jelmyto </w:t>
            </w:r>
            <w:r>
              <w:rPr>
                <w:rFonts w:ascii="Arial" w:hAnsi="Arial"/>
                <w:caps w:val="false"/>
                <w:smallCaps w:val="false"/>
                <w:sz w:val="20"/>
              </w:rPr>
              <w:t xml:space="preserve">and </w:t>
            </w:r>
            <w:r>
              <w:rPr>
                <w:rFonts w:ascii="Arial" w:hAnsi="Arial"/>
                <w:i/>
                <w:caps w:val="false"/>
                <w:smallCaps w:val="false"/>
                <w:sz w:val="20"/>
              </w:rPr>
              <w:t>Zusduri</w:t>
            </w:r>
            <w:r>
              <w:rPr>
                <w:rFonts w:ascii="Arial" w:hAnsi="Arial"/>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rPr>
            </w:pPr>
            <w:r>
              <w:rPr>
                <w:rFonts w:ascii="Arial" w:hAnsi="Arial"/>
              </w:rPr>
              <w:t xml:space="preserve">the success of our commercial launch of </w:t>
            </w:r>
            <w:r>
              <w:rPr>
                <w:rFonts w:ascii="Arial" w:hAnsi="Arial"/>
                <w:i/>
              </w:rPr>
              <w:t>Zusduri</w:t>
            </w:r>
            <w:r>
              <w:rPr>
                <w:rFonts w:ascii="Arial" w:hAnsi="Arial"/>
              </w:rPr>
              <w: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actual or anticipated variations in our and our competitors’ results of operations and financial condition;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physician and market acceptance of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Zusduri</w:t>
            </w:r>
            <w:r>
              <w:rPr>
                <w:rFonts w:ascii="Arial" w:hAnsi="Arial"/>
                <w:caps w:val="false"/>
                <w:smallCaps w:val="false"/>
                <w:sz w:val="20"/>
              </w:rPr>
              <w:t> or any other approved product;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mix of products that we sell;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any voluntary or mandatory recall of </w:t>
            </w:r>
            <w:r>
              <w:rPr>
                <w:rFonts w:ascii="Arial" w:hAnsi="Arial"/>
                <w:i/>
                <w:caps w:val="false"/>
                <w:smallCaps w:val="false"/>
                <w:sz w:val="20"/>
              </w:rPr>
              <w:t>Jelmyto, Zusduri</w:t>
            </w:r>
            <w:r>
              <w:rPr>
                <w:rFonts w:ascii="Arial" w:hAnsi="Arial"/>
                <w:caps w:val="false"/>
                <w:smallCaps w:val="false"/>
                <w:sz w:val="20"/>
              </w:rPr>
              <w:t> or any other approved product, or the imposition of any additional labeling, marketing or promotional restrictions;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success or failure to obtain approval for and commercialize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changes in the structure of healthcare payment systems;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changes in earnings estimates or recommendations by securities analysts, if our ordinary shares are covered by analysts;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development of technological innovations or new competitive products by others;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announcements of technological innovations or new products by us;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publication of the results of nonclinical or clinical trials for </w:t>
            </w:r>
            <w:r>
              <w:rPr>
                <w:rFonts w:ascii="Arial" w:hAnsi="Arial"/>
                <w:i/>
                <w:caps w:val="false"/>
                <w:smallCaps w:val="false"/>
                <w:sz w:val="20"/>
              </w:rPr>
              <w:t>Jelmyto</w:t>
            </w:r>
            <w:r>
              <w:rPr>
                <w:rFonts w:ascii="Arial" w:hAnsi="Arial"/>
                <w:caps w:val="false"/>
                <w:smallCaps w:val="false"/>
                <w:sz w:val="20"/>
              </w:rPr>
              <w:t xml:space="preserve">, </w:t>
            </w:r>
            <w:r>
              <w:rPr>
                <w:rFonts w:ascii="Arial" w:hAnsi="Arial"/>
                <w:i/>
                <w:caps w:val="false"/>
                <w:smallCaps w:val="false"/>
                <w:sz w:val="20"/>
              </w:rPr>
              <w:t xml:space="preserve">Zusduri </w:t>
            </w:r>
            <w:r>
              <w:rPr>
                <w:rFonts w:ascii="Arial" w:hAnsi="Arial"/>
                <w:caps w:val="false"/>
                <w:smallCaps w:val="false"/>
                <w:sz w:val="20"/>
              </w:rPr>
              <w:t>or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failure by us to achieve a publicly announced milestone;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delays between our expenditures to develop and market new or enhanced product candidates and the generation of sales from those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developments concerning intellectual property rights;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announcement of, or developments in, any litigation matters, including any product liability claims related to </w:t>
            </w:r>
            <w:r>
              <w:rPr>
                <w:rFonts w:ascii="Arial" w:hAnsi="Arial"/>
                <w:i/>
                <w:caps w:val="false"/>
                <w:smallCaps w:val="false"/>
                <w:sz w:val="20"/>
              </w:rPr>
              <w:t>Jelmyto, Zusduri</w:t>
            </w:r>
            <w:r>
              <w:rPr>
                <w:rFonts w:ascii="Arial" w:hAnsi="Arial"/>
                <w:caps w:val="false"/>
                <w:smallCaps w:val="false"/>
                <w:sz w:val="20"/>
              </w:rPr>
              <w:t> or any of our product candidates;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regulatory developments and the decisions of regulatory authorities as to the approval or rejection of new or modified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changes in the amounts that we spend to develop, acquire or license new products, technologies or businesses;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changes in our expenditures to promote our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sale or proposed sale, or the sale by our significant shareholders, of our ordinary shares or other securities in the future;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changes in key personnel;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success or failure of our research and development projects or those of our competitors;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trading volume of our ordinary shares;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general economic and market conditions and other factors, including factors unrelated to our operating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Future sales of our ordinary shares could reduce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our sale of additional ordinary shares or other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Future equity offerings could result in future dilution and could cause the price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In November 2025, we filed the ATM Prospectus providing for the offer and sale of ordinary shares pursuant to the ATM Sales Agreement having an aggregate offering price of up to $75.0 million, which became effective automatically. As of June 30, 2026, the remaining capacity under the ATM Prospectus was approximately $42.4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We have never paid cash dividends on our share capital, and we do not anticipate paying any cash dividends in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The 2026 Loan Agreement also restricts our ability to pay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If we are classified as a passive foreign investment company</w:t>
      </w:r>
      <w:r>
        <w:rPr>
          <w:rFonts w:ascii="Arial" w:hAnsi="Arial"/>
          <w:caps w:val="false"/>
          <w:smallCaps w:val="false"/>
          <w:sz w:val="20"/>
        </w:rPr>
        <w:t> </w:t>
      </w:r>
      <w:r>
        <w:rPr>
          <w:rFonts w:ascii="Arial" w:hAnsi="Arial"/>
          <w:b/>
          <w:i/>
          <w:caps w:val="false"/>
          <w:smallCaps w:val="false"/>
          <w:sz w:val="20"/>
        </w:rPr>
        <w:t>("PFIC"), our U.S. shareholders may suffer adverse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Based on our analysis of our income, assets, activities and market capitalization, we do not believe that we were a PFIC for the taxable year ended December 31, 2025. However, because the determination of whether or not we are a PFIC is a fact-intensive determination made on an annual basis, and because the applicable law is subject to varying interpretation, we cannot provide any assurances regarding our PFIC status for any past, current or future taxable years. Our U.S. tax counsel has not provided any opinion regarding our PFIC status in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shareholders who are individuals, having interest charges apply to distributions by us and gains from the sales of our shares, and additional reporting requirements under U.S. federal income tax laws and regulations. A U.S. 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shareholder of a PFIC generally may mitigate these adverse U.S. federal income tax consequences by making a qualified electing fund (“QEF”) election, or, in some circumstances, a “mark to market” election. However, there is no assurance that we will provide the information required by the IRS in order to enable U.S. shareholders to make a timely QEF election. Moreover, there is no assurance that we will have timely knowledge of our status as a PFIC in the future. Accordingly, U.S. shareholders may be unable to make a timely QEF election with respect to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Changes to tax laws could have a material adverse effect on us and reduce net returns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tax treatment is subject to changes in tax laws, regulations and treaties, or the interpretation thereof, as well as tax policy initiatives and reforms under consideration and the practices of tax authorities in jurisdictions in which we operate, including those related to the Organisation for Economic Co-Operation and Development’s ("OECD") Base Erosion and Profit Shifting ("BEPS") Project (including "BEPS 2.0"), and the European Commission’s state aid investigations and other initiatives. Such changes may include (but are not limited to) the taxation of operating income, investment income, dividends received or, in the specific context of withholding tax, dividends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OECD has published a package of measures, and is expected to continue to publish further technical provisions and administrative guidance, for reform as a product of BEPS, which include, among other things, the introduction of a global minimum tax (referred to as the “Pillar Two rules”). Many countries have enacted, or are in the process of enacting, core elements of the Pillar Two rules. Based on our current understanding of the minimum revenue thresholds, we currently expect to be outside the scope of the Pillar Two rules, but could fall within their scope in the future, which could increase our tax obligations and compliance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July 4, 2025, the OBBBA was signed into law, introducing significant changes to U.S. federal tax law. The OBBBA includes a broad range of changes to existing U.S. tax law, including but not limited to the reinstatement of current expensing of domestic research and development costs and one hundred percent bonus depreciation for certain qualified business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Tax authorities may disagree with our positions and conclusions regarding certain tax positions, resulting in unanticipated costs, taxes or non-realization of expected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may decide to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ability to use our U.S. net operating loss carryforwards and certain other tax attributes to offset future taxable income and taxes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Under U.S. federal income tax law, federal net operating losses ("NOLs") incurred in tax years beginning after December 31, 2017, may be carried forward indefinitely, but the deductibility of such federal NOLs is limited to 80% of taxable income.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utilize its pre-change NOL carryforwards and other pre-change tax attributes to offset its post-change income or taxes may be limited. We have not performed a detailed analysis to determine whether an ownership change under Section 382 of the Code has occurred for UroGen Pharma, Inc. If we undergo or have undergone an ownership change, our ability to utilize NOLs and other tax attributes could be limited by Sections 382 and 383 of the Code. Future changes in our share ownership, some of which are outside of our control, could result in an ownership change under Section 382 of the Code. As a result, even if we attain profitability, we may be unable to use a material portion of our NOLs and other tax attributes, which could negatively impact our future cash flows. In addition, at the state level, there may be periods during which the use of net operating loss carryforwards is suspended or otherwise limited, which could accelerate or permanently increase state taxes 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 xml:space="preserve">Risks Related to our Operations in Israel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research and development and other significant operations are located in Israel and, therefore, our results may be adversely affected by political, economic and military conditions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Our research and development facility is located in Ra’anana, Israel, and certain of our key vendors and suppliers, including Isotopia Molecular Imaging Ltd., our contracted supplier for the hydrogel contained in </w:t>
      </w:r>
      <w:r>
        <w:rPr>
          <w:rFonts w:ascii="Arial" w:hAnsi="Arial"/>
          <w:i/>
          <w:caps w:val="false"/>
          <w:smallCaps w:val="false"/>
          <w:sz w:val="20"/>
        </w:rPr>
        <w:t>Jelmyto</w:t>
      </w:r>
      <w:r>
        <w:rPr>
          <w:rFonts w:ascii="Arial" w:hAnsi="Arial"/>
          <w:caps w:val="false"/>
          <w:smallCaps w:val="false"/>
          <w:sz w:val="20"/>
        </w:rPr>
        <w:t xml:space="preserve"> and </w:t>
      </w:r>
      <w:r>
        <w:rPr>
          <w:rFonts w:ascii="Arial" w:hAnsi="Arial"/>
          <w:i/>
          <w:caps w:val="false"/>
          <w:smallCaps w:val="false"/>
          <w:sz w:val="20"/>
        </w:rPr>
        <w:t>Zusduri</w:t>
      </w:r>
      <w:r>
        <w:rPr>
          <w:rFonts w:ascii="Arial" w:hAnsi="Arial"/>
          <w:caps w:val="false"/>
          <w:smallCaps w:val="false"/>
          <w:sz w:val="20"/>
        </w:rPr>
        <w:t>, are located in Israel. If these or any future facilities in Israel were to be damaged, destroyed or otherwise unable to operate, whether due to war, acts of hostility, earthquakes, fire, floods, hurricanes, storms, tornadoes, other natural disasters, employee malfeasance, terrorist acts, pandemics, power outages or otherwise, or if performance of our research and development is disrupted for any other reason, such an event could delay our clinical trials or, if our product candidates are approved, jeopardize the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October 2023, Hamas initiated an attack against Israel. In response, Israel’s security cabinet declared war against Hamas. Since the commencement of these events, there have been hostilities along Israel’s northern border with Lebanon (with Hezbollah) and on other fronts from various extremist groups in region, such as the Houthis in Yemen. In addition, there have been direct hostilities between Iran and Israel. For example, in June 2025, in light of continued nuclear threats and intelligence assessments indicating imminent attacks, Israel launched a military operation directly targeting military and nuclear infrastructure inside Iran, resulting in approximately 12 days of direct hostilities between Israel and Iran and, in February 2026, the United States and Israel launched coordinated military strikes against Iran, which were followed by retaliatory actions by Iran, including missile and drone attacks targeting Israel and U.S. forces and allied assets in the region. These escalations heightened regional instability and resulted in significant travel restrictions, facility closures and shelter-in-place orders in Israel and temporary closures of Israeli airspace and port activity. While ceasefires have been entered into, the situation remains fragile and if any ceasefires collapse, a new war or hostilities commence or hostilities escalate or expand to other fronts, we may be adversely affected. These situations may potentially escalate in the future to more violent events or into a greater regional conflict, which may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effects of hostilities involving Israel are difficult to predict, as are the economic implications on our business and operations and on Israel’s economy in general. For example, these events may be intertwined with wider macroeconomic factors relating to a deterioration of Israel’s economic standing that may involve, for instance, a downgrade in Israel’s credit rating and outlook by rating agencies. Furthermore, recent political uprisings, social unrest and violence in various countries in the Middle East may affect stability in the region.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Any of these implications on Israel’s security, business, economic or financial conditions may have an adverse effect on our ability to effectively conduct our business, our results of operations and our ability to raise additional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Our commercial insurance does not cover losses that may occur as a result of an event associated with the security situation in the Middle East. Although the Israeli government is currently committed to covering the reinstatement value of certain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Further, our operations could be disrupted by the obligations of our employees to perform military service. Some our employees in Israel may be military reservists, and may be called upon to perform military reserve duty for periods ranging from several days to several weeks per year (and in some cases more) until they reach the age of 40 (and in some cases, older) and, in the event of a military conflict, may be called to active duty for extended periods of time. For example, following October 7, 2023, the Israeli Defense Forces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results of operations, liquidity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Provisions of Israeli law and our articles of association may delay, prevent or otherwise impede a merger with, or an acquisition of, us, even when the terms of such a transaction are favorable to us and our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Furthermore, Israeli tax considerations may make potential transactions unappealing to us or to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These provisions could delay, prevent or impede an acquisition of us or our merger with another company, even if such an acquisition or merger would be considered to be beneficial by some of our shareholders and may limit the price that investors may be willing to pay in the future for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i/>
          <w:caps w:val="false"/>
          <w:smallCaps w:val="false"/>
          <w:sz w:val="20"/>
        </w:rPr>
        <w:t>It may be difficult to enforce a judgment of a U.S. court against us</w:t>
      </w:r>
      <w:r>
        <w:rPr>
          <w:rFonts w:ascii="Arial" w:hAnsi="Arial"/>
          <w:caps w:val="false"/>
          <w:smallCaps w:val="false"/>
          <w:sz w:val="20"/>
        </w:rPr>
        <w:t> </w:t>
      </w:r>
      <w:r>
        <w:rPr>
          <w:rFonts w:ascii="Arial" w:hAnsi="Arial"/>
          <w:b/>
          <w:i/>
          <w:caps w:val="false"/>
          <w:smallCaps w:val="false"/>
          <w:sz w:val="20"/>
        </w:rPr>
        <w:t>and</w:t>
      </w:r>
      <w:r>
        <w:rPr>
          <w:rFonts w:ascii="Arial" w:hAnsi="Arial"/>
          <w:caps w:val="false"/>
          <w:smallCaps w:val="false"/>
          <w:sz w:val="20"/>
        </w:rPr>
        <w:t> </w:t>
      </w:r>
      <w:r>
        <w:rPr>
          <w:rFonts w:ascii="Arial" w:hAnsi="Arial"/>
          <w:b/>
          <w:i/>
          <w:caps w:val="false"/>
          <w:smallCaps w:val="false"/>
          <w:sz w:val="20"/>
        </w:rPr>
        <w:t>our officers and directors in Israel or the United States, to assert U.S. securities laws claims in Israel or to serve process on our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incorporated in Israel. A judgment obtained against us or any of officers and directors who reside outside of the United States, including a judgment based on the civil liability provisions of U.S. federal securities laws, may not be collectible in the United States. Moreover, Israeli courts might not enforce judgments rendered outside Israel, which may make it difficult to collect on judgments rendered against us or such persons. It also may be difficult to effect service of process on these persons within the United States. Additionally, it may be difficult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is little binding case law in Israel that addresses the matters described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Your rights and responsibilities as a shareholder will be governed by Israeli law, which differs in some material respects from the rights and responsibilities of shareholders of U.S.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is limited case law available to assist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 xml:space="preserve">Risks Related to Our Management and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We depend on our executive officers and key clinical, technical and commercial personnel to operate our business effectively, and we must attract and retain highly skilled employees in order to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June 30, 2026, we had 300 employees. Therefore, knowledge of our product candidates and clinical trials is concentrated among a small number of individuals. Members of our executive team as well as key clinical, scientific, technical and commercial personnel may resign at any time and there can be no assurance that we will be able to continue to retain such personnel. If we cannot recruit suitable replacements in a timely manner, our business will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 xml:space="preserve">General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If equity research analysts do not publish research or reports about us or our business or if they issue unfavorable commentary or downgrade our ordinary shares, the price of our ordinary shares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business could be negatively affected as a result of actions of activist shareholders, and such activism could impact the trading value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Shareholders may, from time to time, engage in proxy solicitations or advance shareholder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shareholders. We may choose to initiate, or may become subject to, litigation as a result of a proxy contest or matters arising from a proxy contest, which would serve as a further distraction to our board of directors and management and would require us to incur significant additional costs. In addition, actions such as those described above could cause significant fluctuations in our share price based upon temporary or speculative market perceptions or other factors that do not necessarily reflect the underlying fundamentals and prospects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Adverse developments affecting the financial services industry could adversely affect our current and projected business operations and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Unstable market, economic and geo-political conditions may have serious adverse consequences on our business, financial condition and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global credit and financial markets have experienced extreme volatility and disruptions in the past</w:t>
      </w:r>
      <w:r>
        <w:rPr>
          <w:rFonts w:ascii="Arial" w:hAnsi="Arial"/>
          <w:caps w:val="false"/>
          <w:smallCaps w:val="false"/>
          <w:sz w:val="20"/>
          <w:u w:val="single"/>
        </w:rPr>
        <w:t>.</w:t>
      </w:r>
      <w:r>
        <w:rPr>
          <w:rFonts w:ascii="Arial" w:hAnsi="Arial"/>
          <w:caps w:val="false"/>
          <w:smallCaps w:val="false"/>
          <w:sz w:val="20"/>
        </w:rPr>
        <w:t> These disruptions can result in severely diminished liquidity and credit availability, increase in inflation, declines in consumer confidence, declines in economic growth, increases in unemployment rates, further bank failures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bank failures or continued unpredictable and unstable market conditions. If the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share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Other international and geo-political events could also have a serious adverse impact on our business. While we cannot predict the broader consequences, geo-political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Our business could be negatively impacted by environmental, social and corporate governance matters or our reporting of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There is an increasing focus from certain investors, employees, partners, and other stakeholders concerning environmental, social and corporate governance matters. We may be, or be perceived to be, not acting responsibly in connection with these matters, which could negatively impact us. For instance, the SEC recently finalized rules designed to enhance and standardize climate-related disclosures, which were stayed pending judicial review; the SEC subsequently voted to cease its defense of the climate-related disclosure rules, effectively halting their implementation. If other climate-related disclosure rules or other environmental, social and corporate governance rules become effective or become applicable to us, they may significantly increase our compliance and reporting costs and may also result in disclosures that certain investors or other stakeholders deem to negatively impact our reputation and/or that harm our share price.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bookmarkStart w:id="14" w:name="uses"/>
      <w:bookmarkEnd w:id="14"/>
      <w:r>
        <w:rPr>
          <w:rFonts w:ascii="Arial" w:hAnsi="Arial"/>
          <w:b/>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bookmarkStart w:id="15" w:name="duss"/>
      <w:bookmarkEnd w:id="15"/>
      <w:r>
        <w:rPr>
          <w:rFonts w:ascii="Arial" w:hAnsi="Arial"/>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6" w:name="msd"/>
      <w:bookmarkEnd w:id="16"/>
      <w:r>
        <w:rPr>
          <w:rFonts w:ascii="Arial;Helvetica;sans-serif" w:hAnsi="Arial;Helvetica;sans-serif"/>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i"/>
      <w:bookmarkEnd w:id="17"/>
      <w:r>
        <w:rPr>
          <w:rFonts w:ascii="Arial;Helvetica;sans-serif" w:hAnsi="Arial;Helvetica;sans-serif"/>
          <w:b/>
          <w:caps w:val="false"/>
          <w:smallCaps w:val="false"/>
          <w:sz w:val="20"/>
        </w:rPr>
        <w:t xml:space="preserve">Item </w:t>
      </w:r>
      <w:r>
        <w:rPr>
          <w:rStyle w:val="Emphasis"/>
          <w:rFonts w:ascii="Arial;Helvetica;sans-serif" w:hAnsi="Arial;Helvetica;sans-serif"/>
          <w:b/>
          <w:caps w:val="false"/>
          <w:smallCaps w:val="false"/>
          <w:sz w:val="20"/>
        </w:rPr>
        <w:t>5.</w:t>
      </w:r>
      <w:r>
        <w:rPr>
          <w:rFonts w:ascii="Arial;Helvetica;sans-serif" w:hAnsi="Arial;Helvetica;sans-serif"/>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i/>
          <w:caps w:val="false"/>
          <w:smallCaps w:val="false"/>
          <w:sz w:val="20"/>
        </w:rPr>
        <w:t xml:space="preserve">Rule </w:t>
      </w:r>
      <w:r>
        <w:rPr>
          <w:rStyle w:val="Emphasis"/>
          <w:rFonts w:ascii="Arial;Helvetica;sans-serif" w:hAnsi="Arial;Helvetica;sans-serif"/>
          <w:i/>
          <w:caps w:val="false"/>
          <w:smallCaps w:val="false"/>
          <w:sz w:val="20"/>
        </w:rPr>
        <w:t>10b5</w:t>
      </w:r>
      <w:r>
        <w:rPr>
          <w:rFonts w:ascii="Arial;Helvetica;sans-serif" w:hAnsi="Arial;Helvetica;sans-serif"/>
          <w:i/>
          <w:caps w:val="false"/>
          <w:smallCaps w:val="false"/>
          <w:sz w:val="20"/>
        </w:rPr>
        <w:t>-</w:t>
      </w:r>
      <w:r>
        <w:rPr>
          <w:rStyle w:val="Emphasis"/>
          <w:rFonts w:ascii="Arial;Helvetica;sans-serif" w:hAnsi="Arial;Helvetica;sans-serif"/>
          <w:i/>
          <w:caps w:val="false"/>
          <w:smallCaps w:val="false"/>
          <w:sz w:val="20"/>
        </w:rPr>
        <w:t>1</w:t>
      </w:r>
      <w:r>
        <w:rPr>
          <w:rFonts w:ascii="Arial;Helvetica;sans-serif" w:hAnsi="Arial;Helvetica;sans-serif"/>
          <w:i/>
          <w:caps w:val="false"/>
          <w:smallCaps w:val="false"/>
          <w:sz w:val="20"/>
        </w:rPr>
        <w:t xml:space="preserve"> Trading Arrangement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months ended </w:t>
      </w:r>
      <w:r>
        <w:rPr>
          <w:rStyle w:val="Emphasis"/>
          <w:rFonts w:ascii="Arial;Helvetica;sans-serif" w:hAnsi="Arial;Helvetica;sans-serif"/>
          <w:caps w:val="false"/>
          <w:smallCaps w:val="false"/>
          <w:sz w:val="20"/>
        </w:rPr>
        <w:t xml:space="preserve">June 30, 2026, </w:t>
      </w:r>
      <w:r>
        <w:rPr>
          <w:rFonts w:ascii="Arial;Helvetica;sans-serif" w:hAnsi="Arial;Helvetica;sans-serif"/>
          <w:caps w:val="false"/>
          <w:smallCaps w:val="false"/>
          <w:sz w:val="20"/>
        </w:rPr>
        <w:t xml:space="preserve">none of our directors or officers adopted, modified or terminated a “Rule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trading arrangement” or “non-Rule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trading arrangement,” as each term is defined in Item </w:t>
      </w:r>
      <w:r>
        <w:rPr>
          <w:rStyle w:val="Emphasis"/>
          <w:rFonts w:ascii="Arial;Helvetica;sans-serif" w:hAnsi="Arial;Helvetica;sans-serif"/>
          <w:caps w:val="false"/>
          <w:smallCaps w:val="false"/>
          <w:sz w:val="20"/>
        </w:rPr>
        <w:t>408</w:t>
      </w:r>
      <w:r>
        <w:rPr>
          <w:rFonts w:ascii="Arial;Helvetica;sans-serif" w:hAnsi="Arial;Helvetica;sans-serif"/>
          <w:caps w:val="false"/>
          <w:smallCaps w:val="false"/>
          <w:sz w:val="20"/>
        </w:rPr>
        <w:t xml:space="preserve">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April 22, 2026, </w:t>
      </w:r>
      <w:r>
        <w:rPr>
          <w:rFonts w:ascii="Arial;Helvetica;sans-serif" w:hAnsi="Arial;Helvetica;sans-serif"/>
          <w:caps w:val="false"/>
          <w:smallCaps w:val="false"/>
          <w:sz w:val="20"/>
        </w:rPr>
        <w:t xml:space="preserve">we entered into a supply agreement (“Supply Agreement”) with TAPI NL B.V. ("TAPI"), effective as of </w:t>
      </w:r>
      <w:r>
        <w:rPr>
          <w:rStyle w:val="Emphasis"/>
          <w:rFonts w:ascii="Arial;Helvetica;sans-serif" w:hAnsi="Arial;Helvetica;sans-serif"/>
          <w:caps w:val="false"/>
          <w:smallCaps w:val="false"/>
          <w:sz w:val="20"/>
        </w:rPr>
        <w:t xml:space="preserve">January 1, 2026, </w:t>
      </w:r>
      <w:r>
        <w:rPr>
          <w:rFonts w:ascii="Arial;Helvetica;sans-serif" w:hAnsi="Arial;Helvetica;sans-serif"/>
          <w:caps w:val="false"/>
          <w:smallCaps w:val="false"/>
          <w:sz w:val="20"/>
        </w:rPr>
        <w:t>pursuant to which, on a non-exclusive worldwide basis, TAPI agreed to supply, and we agreed to purchase, specified percentages of our commercial requirements for mitomycin for the manufacture, development, and commercialization of certain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Under the Supply Agreement, mitomycin pricing is fixed, subject to certain permitted adjustments by TAPI, and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under specified circumstances involving TAPI's failure to timely confirm or deliver purchase orders or repeated quality or delivery failures, source a qualified alternative mitomycin material from a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supplier for the affected shortfall quantities, subject to certain limitations set forth in the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Supply Agreement has an initial term of </w:t>
      </w:r>
      <w:r>
        <w:rPr>
          <w:rStyle w:val="Emphasis"/>
          <w:rFonts w:ascii="Arial;Helvetica;sans-serif" w:hAnsi="Arial;Helvetica;sans-serif"/>
          <w:caps w:val="false"/>
          <w:smallCaps w:val="false"/>
          <w:sz w:val="20"/>
        </w:rPr>
        <w:t>ten</w:t>
      </w:r>
      <w:r>
        <w:rPr>
          <w:rFonts w:ascii="Arial;Helvetica;sans-serif" w:hAnsi="Arial;Helvetica;sans-serif"/>
          <w:caps w:val="false"/>
          <w:smallCaps w:val="false"/>
          <w:sz w:val="20"/>
        </w:rPr>
        <w:t xml:space="preserve"> years following the date of our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commercial sale of the finished product that uses mitomycin as the active ingredient, subject to automatic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-year renewals absent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prior written notice of non-renewal. Either party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terminate the Supply Agreement in the case of the other party’s insolvency in the event of an uncured material breach of the other party, or in the event a party determines in good faith, supported by an opinion of independent patent counsel, that continued supply or sale of the mitomycin or the finished product would present a significant risk of infringement of a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party's intellectual property rights and that party ceases the applicable activities. TAPI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also terminate the Supply Agreement upon a specified period of time of longer than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year’s prior written notice if TAPI and its affiliates discontinue all manufacturing of mitomycin, provided that at least a specified period of time longer than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year remains before the Supply Agreement would otherwise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 xml:space="preserve">The foregoing description is qualified in its entirety by reference to the Supply Agreement, which is filed as Exhibit </w:t>
      </w:r>
      <w:r>
        <w:rPr>
          <w:rStyle w:val="Emphasis"/>
          <w:rFonts w:ascii="Arial;Helvetica;sans-serif" w:hAnsi="Arial;Helvetica;sans-serif"/>
          <w:caps w:val="false"/>
          <w:smallCaps w:val="false"/>
          <w:sz w:val="20"/>
        </w:rPr>
        <w:t>10.1</w:t>
      </w:r>
      <w:r>
        <w:rPr>
          <w:rFonts w:ascii="Arial;Helvetica;sans-serif" w:hAnsi="Arial;Helvetica;sans-serif"/>
          <w:caps w:val="false"/>
          <w:smallCaps w:val="false"/>
          <w:sz w:val="20"/>
        </w:rPr>
        <w:t xml:space="preserve"> to this Quarterly Report on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Arial" w:hAnsi="Arial"/>
          <w:sz w:val="20"/>
        </w:rPr>
        <w:t>87</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caps w:val="false"/>
          <w:smallCaps w:val="false"/>
          <w:sz w:val="20"/>
        </w:rPr>
      </w:pPr>
      <w:bookmarkStart w:id="18" w:name="ex"/>
      <w:bookmarkEnd w:id="18"/>
      <w:r>
        <w:rPr>
          <w:rFonts w:ascii="Arial;Helvetica;sans-serif" w:hAnsi="Arial;Helvetica;sans-serif"/>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9"/>
        <w:gridCol w:w="60"/>
        <w:gridCol w:w="9356"/>
      </w:tblGrid>
      <w:tr>
        <w:trPr/>
        <w:tc>
          <w:tcPr>
            <w:tcW w:w="789"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Exhibit</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56"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pPr>
            <w:hyperlink r:id="rId2">
              <w:r>
                <w:rPr>
                  <w:rStyle w:val="InternetLink"/>
                  <w:rFonts w:ascii="Arial;Helvetica;sans-serif" w:hAnsi="Arial;Helvetica;sans-serif"/>
                  <w:caps w:val="false"/>
                  <w:smallCaps w:val="false"/>
                  <w:sz w:val="20"/>
                  <w:u w:val="single"/>
                </w:rPr>
                <w:t>Amended and Restated Articles of Association of the Registrant (incorporated by reference to Exhibit 3.1 to the Registrant</w:t>
              </w:r>
            </w:hyperlink>
            <w:hyperlink r:id="rId3">
              <w:r>
                <w:rPr>
                  <w:rStyle w:val="InternetLink"/>
                  <w:rFonts w:ascii="Arial;Helvetica;sans-serif" w:hAnsi="Arial;Helvetica;sans-serif"/>
                  <w:caps w:val="false"/>
                  <w:smallCaps w:val="false"/>
                  <w:sz w:val="20"/>
                </w:rPr>
                <w:t>’</w:t>
              </w:r>
            </w:hyperlink>
            <w:hyperlink r:id="rId4">
              <w:r>
                <w:rPr>
                  <w:rStyle w:val="InternetLink"/>
                  <w:rFonts w:ascii="Arial;Helvetica;sans-serif" w:hAnsi="Arial;Helvetica;sans-serif"/>
                  <w:caps w:val="false"/>
                  <w:smallCaps w:val="false"/>
                  <w:sz w:val="20"/>
                  <w:u w:val="single"/>
                </w:rPr>
                <w:t>s Current Report on Form 8-K, filed with the SEC on June 23, 2026).</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lineRule="auto" w:line="288" w:before="0" w:after="283"/>
              <w:jc w:val="left"/>
              <w:rPr>
                <w:rFonts w:ascii="Arial;Helvetica;sans-serif" w:hAnsi="Arial;Helvetica;sans-serif"/>
                <w:sz w:val="20"/>
              </w:rPr>
            </w:pPr>
            <w:r>
              <w:rPr>
                <w:rFonts w:ascii="Arial;Helvetica;sans-serif" w:hAnsi="Arial;Helvetica;san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hyperlink w:anchor="ex_997518.htm">
              <w:r>
                <w:rPr>
                  <w:rStyle w:val="InternetLink"/>
                  <w:rFonts w:ascii="Arial;Helvetica;sans-serif" w:hAnsi="Arial;Helvetica;sans-serif"/>
                  <w:sz w:val="20"/>
                </w:rPr>
                <w:t>Supply Agreement, dated April 22, 2026, by and between UroGen Pharma Ltd. and TAPI NL B.V.</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10.2</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hyperlink r:id="rId5">
              <w:r>
                <w:rPr>
                  <w:rStyle w:val="InternetLink"/>
                  <w:rFonts w:ascii="Arial;Helvetica;sans-serif" w:hAnsi="Arial;Helvetica;sans-serif"/>
                  <w:sz w:val="20"/>
                </w:rPr>
                <w:t>Amendment to Amended and Restated Non-Employee Director and Officer Compensation Policy (incorporated by reference to Exhibit 10.1 to the Registrant’s Current Report on Form 8-K, filed with the SEC on June 23, 2026).</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10.3</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hyperlink r:id="rId6">
              <w:r>
                <w:rPr>
                  <w:rStyle w:val="InternetLink"/>
                  <w:rFonts w:ascii="Arial;Helvetica;sans-serif" w:hAnsi="Arial;Helvetica;sans-serif"/>
                  <w:sz w:val="20"/>
                </w:rPr>
                <w:t>UroGen Pharma Ltd. 2017 Equity Incentive Plan, as amended (incorporated by reference to Exhibit 10.2 to the Registrant’s Current Report on Form 8-K, filed with the SEC on June 23, 2026).</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hyperlink w:anchor="ex_996115.htm">
              <w:r>
                <w:rPr>
                  <w:rStyle w:val="InternetLink"/>
                  <w:rFonts w:ascii="Arial;Helvetica;sans-serif" w:hAnsi="Arial;Helvetica;sans-serif"/>
                  <w:sz w:val="20"/>
                </w:rPr>
                <w:t>Amendment 1 to the License and Supply Agreement, dated January 18, 2026, by and between UroGen Pharma Ltd. and medac Gesellschaft für klinische Spezialpräparate m.b.H.</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31.1</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hyperlink w:anchor="ex_979963.htm">
              <w:r>
                <w:rPr>
                  <w:rStyle w:val="InternetLink"/>
                  <w:rFonts w:ascii="Arial;Helvetica;sans-serif" w:hAnsi="Arial;Helvetica;sans-serif"/>
                  <w:sz w:val="20"/>
                </w:rPr>
                <w:t>Certification of Principal Executive Officer pursuant to Rules 13a-14(a) or 15d-14(a) under the Securities Exchange Act of 1934, as adopted pursuant to Section 302 of the Sarbanes-Oxley Act of 2002.</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pPr>
            <w:hyperlink w:anchor="ex_979964.htm">
              <w:r>
                <w:rPr>
                  <w:rStyle w:val="InternetLink"/>
                  <w:rFonts w:ascii="Arial;Helvetica;sans-serif" w:hAnsi="Arial;Helvetica;sans-serif"/>
                  <w:caps w:val="false"/>
                  <w:smallCaps w:val="false"/>
                  <w:sz w:val="20"/>
                </w:rPr>
                <w:t>Certification of Principal Financial Officer pursuant to Rules 13a-14(a) or 15d-14(a) under the Securities Exchange Act of 1934, as amended, as adopted pursuant to Section 302 of the Sarbanes-Oxley Act of 2002.</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pPr>
            <w:hyperlink w:anchor="ex_979965.htm">
              <w:r>
                <w:rPr>
                  <w:rStyle w:val="InternetLink"/>
                  <w:rFonts w:ascii="Arial;Helvetica;sans-serif" w:hAnsi="Arial;Helvetica;sans-serif"/>
                  <w:caps w:val="false"/>
                  <w:smallCaps w:val="false"/>
                  <w:sz w:val="20"/>
                </w:rPr>
                <w:t>Certification of Principal Executive Officer pursuant to 18 U.S.C. Section 1350, as adopted pursuant to Section 906 of the Sarbanes-Oxley Act of 2002.</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pPr>
            <w:hyperlink w:anchor="ex_979966.htm">
              <w:r>
                <w:rPr>
                  <w:rStyle w:val="InternetLink"/>
                  <w:rFonts w:ascii="Arial;Helvetica;sans-serif" w:hAnsi="Arial;Helvetica;sans-serif"/>
                  <w:caps w:val="false"/>
                  <w:smallCaps w:val="false"/>
                  <w:sz w:val="20"/>
                </w:rPr>
                <w:t>Certification of Principal Financial Officer pursuant to 18 U.S.C. Section 1350, as adopted pursuant to Section 906 of the Sarbanes-Oxley Act of 2002.</w:t>
              </w:r>
            </w:hyperlink>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Inline XBRL Instance Document – The instance document does not appear in the interactive data file because its XBRL tags are embedded within the Inline XBRL document</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Schema Document</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Calculation Linkbase Document</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Definition Linkbase Document</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Label Linkbase Document</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Presentation Linkbase Document</w:t>
            </w:r>
          </w:p>
        </w:tc>
      </w:tr>
      <w:tr>
        <w:trPr/>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283"/>
              <w:jc w:val="left"/>
              <w:rPr/>
            </w:pPr>
            <w:r>
              <w:rPr/>
              <w:t> </w:t>
            </w:r>
          </w:p>
        </w:tc>
      </w:tr>
      <w:tr>
        <w:trPr/>
        <w:tc>
          <w:tcPr>
            <w:tcW w:w="789"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56"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cover page from the Company’s Quarterly Report on Form 10-Q has been formatted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Certain information in this exhibit has been redacted pursuant to Item 601(b)(10)(iv) of Regulation S-K because it is both not material and is the type of information that the registrant treats as private or confidential.</w:t>
            </w:r>
          </w:p>
        </w:tc>
      </w:tr>
      <w:tr>
        <w:trPr/>
        <w:tc>
          <w:tcPr>
            <w:tcW w:w="20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00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Schedules and exhibits have been omitted pursuant to Item 601(a)(5) of Regulation S-K.</w:t>
            </w:r>
          </w:p>
        </w:tc>
      </w:tr>
      <w:tr>
        <w:trPr/>
        <w:tc>
          <w:tcPr>
            <w:tcW w:w="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19" w:name="sigs"/>
      <w:bookmarkEnd w:id="19"/>
      <w:r>
        <w:rPr>
          <w:rFonts w:ascii="Arial;Helvetica;sans-serif" w:hAnsi="Arial;Helvetica;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625"/>
        <w:gridCol w:w="60"/>
        <w:gridCol w:w="320"/>
        <w:gridCol w:w="4100"/>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20" w:type="dxa"/>
            <w:gridSpan w:val="2"/>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UroGen Pharma Ltd.</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August 5,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Elizabeth Barrett</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Elizabeth Barrett</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Chief Executive Officer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(Principal Executive Officer)</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August 5,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Chris Degnan</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Chris Degnan</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Chief Financial Officer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Arial" w:hAnsi="Arial"/>
          <w:sz w:val="20"/>
        </w:rPr>
      </w:pPr>
      <w:r>
        <w:rPr>
          <w:rFonts w:ascii="Arial" w:hAnsi="Arial"/>
          <w:sz w:val="20"/>
        </w:rPr>
        <w:t xml:space="preserve">89 </w:t>
      </w:r>
    </w:p>
    <w:p>
      <w:pPr>
        <w:pStyle w:val="TextBody"/>
        <w:bidi w:val="0"/>
        <w:spacing w:before="0" w:after="0"/>
        <w:ind w:left="0" w:right="0" w:hanging="0"/>
        <w:jc w:val="right"/>
        <w:rPr>
          <w:rFonts w:ascii="Times New Roman;Times;serif" w:hAnsi="Times New Roman;Times;serif"/>
          <w:b/>
          <w:sz w:val="20"/>
        </w:rPr>
      </w:pPr>
      <w:bookmarkStart w:id="20" w:name="ex_997518.htm"/>
      <w:bookmarkStart w:id="21" w:name="ksex_997518"/>
      <w:bookmarkEnd w:id="20"/>
      <w:bookmarkEnd w:id="21"/>
      <w:r>
        <w:rPr>
          <w:rFonts w:ascii="Times New Roman;Times;serif" w:hAnsi="Times New Roman;Times;serif"/>
          <w:b/>
          <w:sz w:val="20"/>
        </w:rPr>
        <w:t>Exhibit 10.1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CERTAIN INFORMATION CONTAINED IN THIS EXHIBIT, MARKED BY [***], HAS BEEN EXCLUDED BECAUSE THE REGISTRANT HAS DETERMINED THE</w:t>
      </w:r>
      <w:r>
        <w:rPr>
          <w:rFonts w:ascii="Times New Roman" w:hAnsi="Times New Roman"/>
          <w:caps w:val="false"/>
          <w:smallCaps w:val="false"/>
          <w:sz w:val="20"/>
        </w:rPr>
        <w:t> </w:t>
      </w:r>
      <w:r>
        <w:rPr>
          <w:rFonts w:ascii="Times New Roman" w:hAnsi="Times New Roman"/>
          <w:b/>
          <w:caps w:val="false"/>
          <w:smallCaps w:val="false"/>
          <w:sz w:val="20"/>
        </w:rPr>
        <w:t>INFORMATION IS BOTH NOT MATERIAL AND IS THE TYPE THAT THE REGISTRANT TREATS AS PRIVATE OR CONFIDENTIAL.</w:t>
      </w:r>
    </w:p>
    <w:p>
      <w:pPr>
        <w:pStyle w:val="TextBody"/>
        <w:bidi w:val="0"/>
        <w:spacing w:before="0" w:after="0"/>
        <w:ind w:left="0" w:right="0" w:hanging="0"/>
        <w:jc w:val="left"/>
        <w:rPr/>
      </w:pPr>
      <w:r>
        <w:rPr/>
        <w:t> </w:t>
      </w:r>
    </w:p>
    <w:tbl>
      <w:tblPr>
        <w:tblW w:w="6950" w:type="dxa"/>
        <w:jc w:val="left"/>
        <w:tblInd w:w="0" w:type="dxa"/>
        <w:tblLayout w:type="fixed"/>
        <w:tblCellMar>
          <w:top w:w="0" w:type="dxa"/>
          <w:left w:w="0" w:type="dxa"/>
          <w:bottom w:w="0" w:type="dxa"/>
          <w:right w:w="0" w:type="dxa"/>
        </w:tblCellMar>
      </w:tblPr>
      <w:tblGrid>
        <w:gridCol w:w="6950"/>
      </w:tblGrid>
      <w:tr>
        <w:trPr/>
        <w:tc>
          <w:tcPr>
            <w:tcW w:w="695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SUPPLY AGREEMENT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(the “</w:t>
            </w:r>
            <w:r>
              <w:rPr>
                <w:rFonts w:ascii="Times New Roman" w:hAnsi="Times New Roman"/>
                <w:b/>
                <w:caps w:val="false"/>
                <w:smallCaps w:val="false"/>
                <w:sz w:val="24"/>
              </w:rPr>
              <w:t>Agreement</w:t>
            </w:r>
            <w:r>
              <w:rPr>
                <w:rFonts w:ascii="Times New Roman" w:hAnsi="Times New Roman"/>
                <w:caps w:val="false"/>
                <w:smallCaps w:val="false"/>
                <w:sz w:val="24"/>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entered into on this 1st day of January, 2026</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between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TAPI NL B.V</w:t>
            </w:r>
            <w:r>
              <w:rPr>
                <w:rFonts w:ascii="Times New Roman" w:hAnsi="Times New Roman"/>
                <w:caps w:val="false"/>
                <w:smallCaps w:val="false"/>
                <w:sz w:val="24"/>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 company incorporated under the laws of the Netherlands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whose registered office is at Piet Heinkade 55, 1019 GM Amsterdam, The Netherlands</w:t>
            </w:r>
          </w:p>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t>
            </w:r>
            <w:r>
              <w:rPr>
                <w:rFonts w:ascii="Times New Roman" w:hAnsi="Times New Roman"/>
                <w:b/>
                <w:caps w:val="false"/>
                <w:smallCaps w:val="false"/>
                <w:sz w:val="24"/>
              </w:rPr>
              <w:t>TAPI</w:t>
            </w:r>
            <w:r>
              <w:rPr>
                <w:rFonts w:ascii="Times New Roman" w:hAnsi="Times New Roman"/>
                <w:caps w:val="false"/>
                <w:smallCaps w:val="false"/>
                <w:sz w:val="24"/>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UroGen Pharma Ltd.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 company incorporated under the laws of Israel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 registered office at 9 HaTaasia St., Ra’anana 4365007, Israel</w:t>
            </w:r>
          </w:p>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t>
            </w:r>
            <w:r>
              <w:rPr>
                <w:rFonts w:ascii="Times New Roman" w:hAnsi="Times New Roman"/>
                <w:b/>
                <w:caps w:val="false"/>
                <w:smallCaps w:val="false"/>
                <w:sz w:val="24"/>
              </w:rPr>
              <w:t>Purchaser</w:t>
            </w:r>
            <w:r>
              <w:rPr>
                <w:rFonts w:ascii="Times New Roman" w:hAnsi="Times New Roman"/>
                <w:caps w:val="false"/>
                <w:smallCaps w:val="false"/>
                <w:sz w:val="24"/>
              </w:rPr>
              <w:t>”)</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234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275"/>
        <w:gridCol w:w="6200"/>
        <w:gridCol w:w="260"/>
      </w:tblGrid>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INTERPRETATION AND DEFINITIONS</w:t>
            </w:r>
          </w:p>
        </w:tc>
        <w:tc>
          <w:tcPr>
            <w:tcW w:w="260" w:type="dxa"/>
            <w:tcBorders/>
            <w:shd w:fill="CCEEFF" w:val="clear"/>
            <w:vAlign w:val="center"/>
          </w:tcPr>
          <w:p>
            <w:pPr>
              <w:pStyle w:val="TableContents"/>
              <w:bidi w:val="0"/>
              <w:spacing w:before="0" w:after="283"/>
              <w:jc w:val="right"/>
              <w:rPr/>
            </w:pPr>
            <w:r>
              <w:rPr/>
              <w:t>2</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PURCHASE OF ACTIVE MATERIAL</w:t>
            </w:r>
          </w:p>
        </w:tc>
        <w:tc>
          <w:tcPr>
            <w:tcW w:w="260" w:type="dxa"/>
            <w:tcBorders/>
            <w:shd w:fill="FFFFFF" w:val="clear"/>
            <w:vAlign w:val="center"/>
          </w:tcPr>
          <w:p>
            <w:pPr>
              <w:pStyle w:val="TableContents"/>
              <w:bidi w:val="0"/>
              <w:spacing w:before="0" w:after="283"/>
              <w:jc w:val="right"/>
              <w:rPr/>
            </w:pPr>
            <w:r>
              <w:rPr/>
              <w:t>4</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ORDERS, QUANTITIES, LEAD TIME AND DELIVERY</w:t>
            </w:r>
          </w:p>
        </w:tc>
        <w:tc>
          <w:tcPr>
            <w:tcW w:w="260" w:type="dxa"/>
            <w:tcBorders/>
            <w:shd w:fill="CCEEFF" w:val="clear"/>
            <w:vAlign w:val="center"/>
          </w:tcPr>
          <w:p>
            <w:pPr>
              <w:pStyle w:val="TableContents"/>
              <w:bidi w:val="0"/>
              <w:spacing w:before="0" w:after="283"/>
              <w:jc w:val="right"/>
              <w:rPr/>
            </w:pPr>
            <w:r>
              <w:rPr/>
              <w:t>5</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 AND PAYMENT</w:t>
            </w:r>
          </w:p>
        </w:tc>
        <w:tc>
          <w:tcPr>
            <w:tcW w:w="260" w:type="dxa"/>
            <w:tcBorders/>
            <w:shd w:fill="FFFFFF" w:val="clear"/>
            <w:vAlign w:val="center"/>
          </w:tcPr>
          <w:p>
            <w:pPr>
              <w:pStyle w:val="TableContents"/>
              <w:bidi w:val="0"/>
              <w:spacing w:before="0" w:after="283"/>
              <w:jc w:val="right"/>
              <w:rPr/>
            </w:pPr>
            <w:r>
              <w:rPr/>
              <w:t>8</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QUALITY INSPECTION OF PRODUCT and REGULATORY INSPECTIONS</w:t>
            </w:r>
          </w:p>
        </w:tc>
        <w:tc>
          <w:tcPr>
            <w:tcW w:w="260" w:type="dxa"/>
            <w:tcBorders/>
            <w:shd w:fill="CCEEFF" w:val="clear"/>
            <w:vAlign w:val="center"/>
          </w:tcPr>
          <w:p>
            <w:pPr>
              <w:pStyle w:val="TableContents"/>
              <w:bidi w:val="0"/>
              <w:spacing w:before="0" w:after="283"/>
              <w:jc w:val="right"/>
              <w:rPr/>
            </w:pPr>
            <w:r>
              <w:rPr/>
              <w:t>9</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WARRANTIES</w:t>
            </w:r>
          </w:p>
        </w:tc>
        <w:tc>
          <w:tcPr>
            <w:tcW w:w="260" w:type="dxa"/>
            <w:tcBorders/>
            <w:shd w:fill="FFFFFF" w:val="clear"/>
            <w:vAlign w:val="center"/>
          </w:tcPr>
          <w:p>
            <w:pPr>
              <w:pStyle w:val="TableContents"/>
              <w:bidi w:val="0"/>
              <w:spacing w:before="0" w:after="283"/>
              <w:jc w:val="right"/>
              <w:rPr/>
            </w:pPr>
            <w:r>
              <w:rPr/>
              <w:t>11</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CLAIMS FOR PATENT INFRINGEMENT</w:t>
            </w:r>
          </w:p>
        </w:tc>
        <w:tc>
          <w:tcPr>
            <w:tcW w:w="260" w:type="dxa"/>
            <w:tcBorders/>
            <w:shd w:fill="CCEEFF" w:val="clear"/>
            <w:vAlign w:val="center"/>
          </w:tcPr>
          <w:p>
            <w:pPr>
              <w:pStyle w:val="TableContents"/>
              <w:bidi w:val="0"/>
              <w:spacing w:before="0" w:after="283"/>
              <w:jc w:val="right"/>
              <w:rPr/>
            </w:pPr>
            <w:r>
              <w:rPr/>
              <w:t>12</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w:t>
            </w:r>
          </w:p>
        </w:tc>
        <w:tc>
          <w:tcPr>
            <w:tcW w:w="260" w:type="dxa"/>
            <w:tcBorders/>
            <w:shd w:fill="FFFFFF" w:val="clear"/>
            <w:vAlign w:val="center"/>
          </w:tcPr>
          <w:p>
            <w:pPr>
              <w:pStyle w:val="TableContents"/>
              <w:bidi w:val="0"/>
              <w:spacing w:before="0" w:after="283"/>
              <w:jc w:val="right"/>
              <w:rPr/>
            </w:pPr>
            <w:r>
              <w:rPr/>
              <w:t>13</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w:t>
            </w:r>
          </w:p>
        </w:tc>
        <w:tc>
          <w:tcPr>
            <w:tcW w:w="260" w:type="dxa"/>
            <w:tcBorders/>
            <w:shd w:fill="CCEEFF" w:val="clear"/>
            <w:vAlign w:val="center"/>
          </w:tcPr>
          <w:p>
            <w:pPr>
              <w:pStyle w:val="TableContents"/>
              <w:bidi w:val="0"/>
              <w:spacing w:before="0" w:after="283"/>
              <w:jc w:val="right"/>
              <w:rPr/>
            </w:pPr>
            <w:r>
              <w:rPr/>
              <w:t>14</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BREACH AND TERMINATION</w:t>
            </w:r>
          </w:p>
        </w:tc>
        <w:tc>
          <w:tcPr>
            <w:tcW w:w="260" w:type="dxa"/>
            <w:tcBorders/>
            <w:shd w:fill="FFFFFF" w:val="clear"/>
            <w:vAlign w:val="center"/>
          </w:tcPr>
          <w:p>
            <w:pPr>
              <w:pStyle w:val="TableContents"/>
              <w:bidi w:val="0"/>
              <w:spacing w:before="0" w:after="283"/>
              <w:jc w:val="right"/>
              <w:rPr/>
            </w:pPr>
            <w:r>
              <w:rPr/>
              <w:t>14</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CONFIDENTIALITY</w:t>
            </w:r>
          </w:p>
        </w:tc>
        <w:tc>
          <w:tcPr>
            <w:tcW w:w="260" w:type="dxa"/>
            <w:tcBorders/>
            <w:shd w:fill="CCEEFF" w:val="clear"/>
            <w:vAlign w:val="center"/>
          </w:tcPr>
          <w:p>
            <w:pPr>
              <w:pStyle w:val="TableContents"/>
              <w:bidi w:val="0"/>
              <w:spacing w:before="0" w:after="283"/>
              <w:jc w:val="right"/>
              <w:rPr/>
            </w:pPr>
            <w:r>
              <w:rPr/>
              <w:t>15</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AND DISPUTE RESOLUTION</w:t>
            </w:r>
          </w:p>
        </w:tc>
        <w:tc>
          <w:tcPr>
            <w:tcW w:w="260" w:type="dxa"/>
            <w:tcBorders/>
            <w:shd w:fill="FFFFFF" w:val="clear"/>
            <w:vAlign w:val="center"/>
          </w:tcPr>
          <w:p>
            <w:pPr>
              <w:pStyle w:val="TableContents"/>
              <w:bidi w:val="0"/>
              <w:spacing w:before="0" w:after="283"/>
              <w:jc w:val="right"/>
              <w:rPr/>
            </w:pPr>
            <w:r>
              <w:rPr/>
              <w:t>17</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FORCE MAJEURE</w:t>
            </w:r>
          </w:p>
        </w:tc>
        <w:tc>
          <w:tcPr>
            <w:tcW w:w="260" w:type="dxa"/>
            <w:tcBorders/>
            <w:shd w:fill="CCEEFF" w:val="clear"/>
            <w:vAlign w:val="center"/>
          </w:tcPr>
          <w:p>
            <w:pPr>
              <w:pStyle w:val="TableContents"/>
              <w:bidi w:val="0"/>
              <w:spacing w:before="0" w:after="283"/>
              <w:jc w:val="right"/>
              <w:rPr/>
            </w:pPr>
            <w:r>
              <w:rPr/>
              <w:t>17</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TRADE SANCTION LAWS</w:t>
            </w:r>
          </w:p>
        </w:tc>
        <w:tc>
          <w:tcPr>
            <w:tcW w:w="260" w:type="dxa"/>
            <w:tcBorders/>
            <w:shd w:fill="FFFFFF" w:val="clear"/>
            <w:vAlign w:val="center"/>
          </w:tcPr>
          <w:p>
            <w:pPr>
              <w:pStyle w:val="TableContents"/>
              <w:bidi w:val="0"/>
              <w:spacing w:before="0" w:after="283"/>
              <w:jc w:val="right"/>
              <w:rPr/>
            </w:pPr>
            <w:r>
              <w:rPr/>
              <w:t>18</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PROVISIONS</w:t>
            </w:r>
          </w:p>
        </w:tc>
        <w:tc>
          <w:tcPr>
            <w:tcW w:w="260" w:type="dxa"/>
            <w:tcBorders/>
            <w:shd w:fill="CCEEFF" w:val="clear"/>
            <w:vAlign w:val="center"/>
          </w:tcPr>
          <w:p>
            <w:pPr>
              <w:pStyle w:val="TableContents"/>
              <w:bidi w:val="0"/>
              <w:spacing w:before="0" w:after="283"/>
              <w:jc w:val="right"/>
              <w:rPr/>
            </w:pPr>
            <w:r>
              <w:rPr/>
              <w:t>20</w:t>
            </w:r>
          </w:p>
        </w:tc>
      </w:tr>
      <w:tr>
        <w:trPr/>
        <w:tc>
          <w:tcPr>
            <w:tcW w:w="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260" w:type="dxa"/>
            <w:tcBorders/>
            <w:shd w:fill="FFFFFF" w:val="clear"/>
            <w:vAlign w:val="center"/>
          </w:tcPr>
          <w:p>
            <w:pPr>
              <w:pStyle w:val="TableContents"/>
              <w:bidi w:val="0"/>
              <w:spacing w:before="0" w:after="283"/>
              <w:jc w:val="right"/>
              <w:rPr/>
            </w:pPr>
            <w:r>
              <w:rPr/>
              <w:t>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TAPI is a supplier of active pharmaceutical ingredients manufactured by or for TAPI at the TAPI Facility, as defined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Purchaser is a pharmaceutical company, with activities focusing on research, development, production, licensing, manufacturing and marketing of pharmaceutical products;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TAPI wishes to supply the Active Material, as defined below, to Purchaser under the terms and conditions set out below; and Purchaser wishes to acquire the Active Material from TAPI under such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THEREFORE, </w:t>
      </w:r>
      <w:r>
        <w:rPr>
          <w:rFonts w:ascii="Times New Roman" w:hAnsi="Times New Roman"/>
          <w:caps w:val="false"/>
          <w:smallCaps w:val="false"/>
          <w:sz w:val="20"/>
        </w:rPr>
        <w:t>in consideration of the premises and of the mutual covenants and agreements set forth in this Agreement, and other good and valuable consideration the adequacy and sufficiency of which is acknowledged, 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35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INTERPRETATION AND DEFINITIONS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320"/>
        <w:gridCol w:w="498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4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preamble to this Agreement forms an integral part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10"/>
        <w:gridCol w:w="9835"/>
      </w:tblGrid>
      <w:tr>
        <w:trPr/>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Clause headings in this Agreement are intended solely for convenience of reference and shall be given no effect in the interpretation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8"/>
        <w:gridCol w:w="9857"/>
      </w:tblGrid>
      <w:tr>
        <w:trPr/>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signed appendices to this Agreement, if any, whether attached at the time of signature hereof or at any time thereafter, shall be construed as an integral part of this Agreement. In case of any inconsistency between the appendices and the body of the Agreement, the body of the Agreement shall take precedence and prevail over the appendices to the extent of any such inconsistency.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9"/>
        <w:gridCol w:w="9836"/>
      </w:tblGrid>
      <w:tr>
        <w:trPr/>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8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this Agreement, the following expressions shall bear the meanings assigned to them below and cognate expressions shall bear corresponding meanings.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2"/>
        <w:gridCol w:w="9698"/>
      </w:tblGrid>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9698"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Active Material</w:t>
            </w:r>
            <w:r>
              <w:rPr>
                <w:rFonts w:ascii="Times New Roman;Times;serif" w:hAnsi="Times New Roman;Times;serif"/>
                <w:caps w:val="false"/>
                <w:smallCaps w:val="false"/>
                <w:sz w:val="20"/>
              </w:rPr>
              <w:t>” – the active pharmaceutical ingredients detailed in Appendix A.</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96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c>
          <w:tcPr>
            <w:tcW w:w="9698"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Affiliates</w:t>
            </w:r>
            <w:r>
              <w:rPr>
                <w:rFonts w:ascii="Times New Roman;Times;serif" w:hAnsi="Times New Roman;Times;serif"/>
                <w:caps w:val="false"/>
                <w:smallCaps w:val="false"/>
                <w:sz w:val="20"/>
              </w:rPr>
              <w:t>” – with regard to either Party, any person, corporation, company, partnership, joint venture or other entity controlling, controlled by or under common control with such Party. For such purpose the term “control” means the holding, either directly or through one or more other controlled entities, of more than fifty percent (50%) of the common voting stock or ordinary shares in, or the right to appoint more than fifty percent (50%) of the directors of, or the right to share more than fifty percent (50%) of the profits of, the said corporation, company, partnership, joint venture or entity.</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96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1.4.3.</w:t>
            </w:r>
          </w:p>
        </w:tc>
        <w:tc>
          <w:tcPr>
            <w:tcW w:w="9698"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Alternative Material</w:t>
            </w:r>
            <w:r>
              <w:rPr>
                <w:rFonts w:ascii="Times New Roman;Times;serif" w:hAnsi="Times New Roman;Times;serif"/>
                <w:caps w:val="false"/>
                <w:smallCaps w:val="false"/>
                <w:sz w:val="20"/>
              </w:rPr>
              <w:t>” – active material equivalent to the Active Material, which is manufactured by a Third Party holding a drug master file for such active material, of a quality which is not intended to be inferior to the Active Material manufactured by TAPI, the supply of which will not infringe the intellectual property rights of TAPI.</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96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c>
          <w:tcPr>
            <w:tcW w:w="9698"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Commercial Quantities</w:t>
            </w:r>
            <w:r>
              <w:rPr>
                <w:rFonts w:ascii="Times New Roman;Times;serif" w:hAnsi="Times New Roman;Times;serif"/>
                <w:caps w:val="false"/>
                <w:smallCaps w:val="false"/>
                <w:sz w:val="20"/>
              </w:rPr>
              <w:t>” – the quantities of Active Material for manufacture of the Finished Product for commercial use in the Territory;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39"/>
        <w:gridCol w:w="9591"/>
      </w:tblGrid>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1.4.5.</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Commercial Requirements</w:t>
            </w:r>
            <w:r>
              <w:rPr>
                <w:rFonts w:ascii="Times New Roman;Times;serif" w:hAnsi="Times New Roman;Times;serif"/>
                <w:caps w:val="false"/>
                <w:smallCaps w:val="false"/>
                <w:sz w:val="20"/>
              </w:rPr>
              <w:t>” – with respect to a Contract Year, Purchaser's and/or of its Affiliates’ and/or its and its Affiliates’ Licensees' needs of the Commercial Quantities for such Contract Year.</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Contract Year</w:t>
            </w:r>
            <w:r>
              <w:rPr>
                <w:rFonts w:ascii="Times New Roman;Times;serif" w:hAnsi="Times New Roman;Times;serif"/>
                <w:caps w:val="false"/>
                <w:smallCaps w:val="false"/>
                <w:sz w:val="20"/>
              </w:rPr>
              <w:t>” – for the first Contract Year, the period beginning on January 1, 2026 and ending on 31 December, 2026; and for each Contract Year thereafter, each twelve (12)-month period thereafter.</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1.4.7.</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Effective Date</w:t>
            </w:r>
            <w:r>
              <w:rPr>
                <w:rFonts w:ascii="Times New Roman;Times;serif" w:hAnsi="Times New Roman;Times;serif"/>
                <w:caps w:val="false"/>
                <w:smallCaps w:val="false"/>
                <w:sz w:val="20"/>
              </w:rPr>
              <w:t>” - the date at the head of this Agreement, provided that the Agreement has been duly executed by both Parties;</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Finished Product</w:t>
            </w:r>
            <w:r>
              <w:rPr>
                <w:rFonts w:ascii="Times New Roman;Times;serif" w:hAnsi="Times New Roman;Times;serif"/>
                <w:caps w:val="false"/>
                <w:smallCaps w:val="false"/>
                <w:sz w:val="20"/>
              </w:rPr>
              <w:t>” - the finished form of pharmaceutical product to be manufactured by Purchaser and/or its designee(s), using the Active Material as the active ingredient.</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1.4.9.</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cGMP</w:t>
            </w:r>
            <w:r>
              <w:rPr>
                <w:rFonts w:ascii="Times New Roman;Times;serif" w:hAnsi="Times New Roman;Times;serif"/>
                <w:caps w:val="false"/>
                <w:smallCaps w:val="false"/>
                <w:sz w:val="20"/>
              </w:rPr>
              <w:t>" – current good manufacturing practices in accordance with (i) International Conference on Harmonization (ICH); Guidance for Industry: Q7A Good Manufacturing Practice Guide for Active Pharmaceutical Ingredients, and (ii) EudraLex Volume 4 – Part II.</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1.4.10.</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Launch</w:t>
            </w:r>
            <w:r>
              <w:rPr>
                <w:rFonts w:ascii="Times New Roman;Times;serif" w:hAnsi="Times New Roman;Times;serif"/>
                <w:caps w:val="false"/>
                <w:smallCaps w:val="false"/>
                <w:sz w:val="20"/>
              </w:rPr>
              <w:t>" - shall mean the first commercial sale of Finished Product by or on behalf of Purchaser to an independent Third Party in any part of the Territory and “</w:t>
            </w:r>
            <w:r>
              <w:rPr>
                <w:rFonts w:ascii="Times New Roman;Times;serif" w:hAnsi="Times New Roman;Times;serif"/>
                <w:b/>
                <w:caps w:val="false"/>
                <w:smallCaps w:val="false"/>
                <w:sz w:val="20"/>
              </w:rPr>
              <w:t>Launch Date</w:t>
            </w:r>
            <w:r>
              <w:rPr>
                <w:rFonts w:ascii="Times New Roman;Times;serif" w:hAnsi="Times New Roman;Times;serif"/>
                <w:caps w:val="false"/>
                <w:smallCaps w:val="false"/>
                <w:sz w:val="20"/>
              </w:rPr>
              <w:t>” means the date of that sale.</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1.4.11.</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Manufacture</w:t>
            </w:r>
            <w:r>
              <w:rPr>
                <w:rFonts w:ascii="Times New Roman;Times;serif" w:hAnsi="Times New Roman;Times;serif"/>
                <w:caps w:val="false"/>
                <w:smallCaps w:val="false"/>
                <w:sz w:val="20"/>
              </w:rPr>
              <w:t>” or “</w:t>
            </w:r>
            <w:r>
              <w:rPr>
                <w:rFonts w:ascii="Times New Roman;Times;serif" w:hAnsi="Times New Roman;Times;serif"/>
                <w:b/>
                <w:caps w:val="false"/>
                <w:smallCaps w:val="false"/>
                <w:sz w:val="20"/>
              </w:rPr>
              <w:t>Manufacturing</w:t>
            </w:r>
            <w:r>
              <w:rPr>
                <w:rFonts w:ascii="Times New Roman;Times;serif" w:hAnsi="Times New Roman;Times;serif"/>
                <w:caps w:val="false"/>
                <w:smallCaps w:val="false"/>
                <w:sz w:val="20"/>
              </w:rPr>
              <w:t>” means, with respect to the Active Material, any and all processes and activities directed to producing, manufacturing, processing, sourcing of materials, packaging, labeling, inspecting, quality assurance testing and release, shipping (subject to the applicable Incoterm) and/or storage of such Active Material (at TAPI’s premises) or any components of or raw materials or packaging materials with respect thereto, or any intermediate of any of the foregoing.</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1.4.12.</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Nominated Contract Manufacturer(s)</w:t>
            </w:r>
            <w:r>
              <w:rPr>
                <w:rFonts w:ascii="Times New Roman;Times;serif" w:hAnsi="Times New Roman;Times;serif"/>
                <w:caps w:val="false"/>
                <w:smallCaps w:val="false"/>
                <w:sz w:val="20"/>
              </w:rPr>
              <w:t>” means, third party manufacturer as may be confirmed by Purchaser to TAPI in writing from time to time as being appointed by Purchaser and/or its Affiliates to manufacture Finished Product on behalf of Purchaser and to whom supplies of Active Material may be made by TAPI for this purpose pursuant to this Agreement".</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1.4.13.</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Marketing Authorizations</w:t>
            </w:r>
            <w:r>
              <w:rPr>
                <w:rFonts w:ascii="Times New Roman;Times;serif" w:hAnsi="Times New Roman;Times;serif"/>
                <w:caps w:val="false"/>
                <w:smallCaps w:val="false"/>
                <w:sz w:val="20"/>
              </w:rPr>
              <w:t>” – the required authorizations and approvals to be granted by any of the Regulatory Authorities in their respective country or countries in the Territory, for the marketing, use, sale or distribution of the Finished Product in the Territory.</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1.4.14.</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Party</w:t>
            </w:r>
            <w:r>
              <w:rPr>
                <w:rFonts w:ascii="Times New Roman;Times;serif" w:hAnsi="Times New Roman;Times;serif"/>
                <w:caps w:val="false"/>
                <w:smallCaps w:val="false"/>
                <w:sz w:val="20"/>
              </w:rPr>
              <w:t>” – TAPI or Purchaser as the context requires, and “Parties” collectively TAPI and Purchaser.</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95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1.4.15.</w:t>
            </w:r>
          </w:p>
        </w:tc>
        <w:tc>
          <w:tcPr>
            <w:tcW w:w="959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Quarter</w:t>
            </w:r>
            <w:r>
              <w:rPr>
                <w:rFonts w:ascii="Times New Roman;Times;serif" w:hAnsi="Times New Roman;Times;serif"/>
                <w:caps w:val="false"/>
                <w:smallCaps w:val="false"/>
                <w:sz w:val="20"/>
              </w:rPr>
              <w:t>” – a three-month consecutive period with the first three month period commencing on the first of either January 1, April 1, July 1 or October 1 at least six (6) months prior to the Launch Date, and each subsequent 3 month calendar period commencing on the day immediately following the last day of the then immediately preceding period.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35"/>
        <w:gridCol w:w="9595"/>
      </w:tblGrid>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1.4.16.</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Regulatory Authorities</w:t>
            </w:r>
            <w:r>
              <w:rPr>
                <w:rFonts w:ascii="Times New Roman;Times;serif" w:hAnsi="Times New Roman;Times;serif"/>
                <w:caps w:val="false"/>
                <w:smallCaps w:val="false"/>
                <w:sz w:val="20"/>
              </w:rPr>
              <w:t>” - any and all governmental bodies and/or organizations competent for regulating the importation, distribution, use or sale of the Active Material or Finished Product in any of the countries in the Territory.</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1.4.17.</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Re-Test Date</w:t>
            </w:r>
            <w:r>
              <w:rPr>
                <w:rFonts w:ascii="Times New Roman;Times;serif" w:hAnsi="Times New Roman;Times;serif"/>
                <w:caps w:val="false"/>
                <w:smallCaps w:val="false"/>
                <w:sz w:val="20"/>
              </w:rPr>
              <w:t>”- for each batch of Active Material supplied by TAPI under this Agreement, the required re-test date as specified in the CoA for such batch.</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1.4.18.</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Re-Test Period</w:t>
            </w:r>
            <w:r>
              <w:rPr>
                <w:rFonts w:ascii="Times New Roman;Times;serif" w:hAnsi="Times New Roman;Times;serif"/>
                <w:caps w:val="false"/>
                <w:smallCaps w:val="false"/>
                <w:sz w:val="20"/>
              </w:rPr>
              <w:t>” – for each batch of Active Material supplied by TAPI under this Agreement, the total period of time from release of such batch until the Re-Test Date, which period shall not be shorter than the shelf life of the Active Material approved by the FDA (</w:t>
            </w:r>
            <w:r>
              <w:rPr>
                <w:rFonts w:ascii="Times New Roman;Times;serif" w:hAnsi="Times New Roman;Times;serif"/>
                <w:i/>
                <w:caps w:val="false"/>
                <w:smallCaps w:val="false"/>
                <w:sz w:val="20"/>
              </w:rPr>
              <w:t>i.e.</w:t>
            </w:r>
            <w:r>
              <w:rPr>
                <w:rFonts w:ascii="Times New Roman;Times;serif" w:hAnsi="Times New Roman;Times;serif"/>
                <w:caps w:val="false"/>
                <w:smallCaps w:val="false"/>
                <w:sz w:val="20"/>
              </w:rPr>
              <w:t>, [***] as of the Effective Date).</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1.4.19.</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Specifications</w:t>
            </w:r>
            <w:r>
              <w:rPr>
                <w:rFonts w:ascii="Times New Roman;Times;serif" w:hAnsi="Times New Roman;Times;serif"/>
                <w:caps w:val="false"/>
                <w:smallCaps w:val="false"/>
                <w:sz w:val="20"/>
              </w:rPr>
              <w:t xml:space="preserve">” – the technical specifications of the Active Material set out in </w:t>
            </w:r>
            <w:r>
              <w:rPr>
                <w:rFonts w:ascii="Times New Roman;Times;serif" w:hAnsi="Times New Roman;Times;serif"/>
                <w:b/>
                <w:caps w:val="false"/>
                <w:smallCaps w:val="false"/>
                <w:sz w:val="20"/>
              </w:rPr>
              <w:t>Appendix B</w:t>
            </w:r>
            <w:r>
              <w:rPr>
                <w:rFonts w:ascii="Times New Roman;Times;serif" w:hAnsi="Times New Roman;Times;serif"/>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1.4.20.</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TAPI</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Facility</w:t>
            </w:r>
            <w:r>
              <w:rPr>
                <w:rFonts w:ascii="Times New Roman;Times;serif" w:hAnsi="Times New Roman;Times;serif"/>
                <w:caps w:val="false"/>
                <w:smallCaps w:val="false"/>
                <w:sz w:val="20"/>
              </w:rPr>
              <w:t>” - the manufacturing facility of each Active Material specified in Appendix A, and as referenced in the applicable drug master file (or application thereof) as an approved facility to manufacture the Active Material, including but not limited to subcontractors to be retained by such facility for purposes of manufacture of the Active Material pursuant to this Agreement, in accordance with the applicable drug master file. Change of the manufacturing facility for manufacturing the Active Material shall be informed to Purchaser at least [***] in advance, during which period Purchaser shall have the right to continue ordering the relevant Active Material from the current facility until such change becomes effective.</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1.4.21.</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Territory</w:t>
            </w:r>
            <w:r>
              <w:rPr>
                <w:rFonts w:ascii="Times New Roman;Times;serif" w:hAnsi="Times New Roman;Times;serif"/>
                <w:caps w:val="false"/>
                <w:smallCaps w:val="false"/>
                <w:sz w:val="20"/>
              </w:rPr>
              <w:t>” – world-wide, subject to Section 14.</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1.4.22.</w:t>
            </w:r>
          </w:p>
        </w:tc>
        <w:tc>
          <w:tcPr>
            <w:tcW w:w="959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Third Party</w:t>
            </w:r>
            <w:r>
              <w:rPr>
                <w:rFonts w:ascii="Times New Roman;Times;serif" w:hAnsi="Times New Roman;Times;serif"/>
                <w:caps w:val="false"/>
                <w:smallCaps w:val="false"/>
                <w:sz w:val="20"/>
              </w:rPr>
              <w:t>” – any person or entity other than Purchaser, TAPI or any Affiliate of Purchaser or TAPI.</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170"/>
        <w:gridCol w:w="4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44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SALES AND PURCHASE OF ACTIVE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8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effect from the Effective Date, TAPI hereby agrees on a non-exclusive basis to sell and supply the Active Materials to Purchaser and/or Purchaser’s Nominated Contract Manufacturer solely for the manufacture by Purchaser and/or its designee(s) of the Finished Products in the Territory or the development and/or commercialization thereof solely in the Territory, and Purchaser hereby agrees to purchase on a non-exclusive basis the Active Materials supplied by TAPI on the terms and conditions set out in this Agreement solely for the said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transfer of Marketing Authorizations to a third party ("Licensee"), Purchaser shall: (i) for the sole purpose of registration of the Finished Product and on a confidentiality basis, inform TAPI in writing of the identity (including contact details) of Licensee prior to any such transfer; (ii) inform the Licensee with all notifications and/or information received from TAPI which relates to significant changes in the method of manufacture of the Active Material and/or Specifications likely to affect the quality and safety of the Active Material. TAPI shall provide the Licensee (or the applicable Regulatory Authorities) with a “Letter of Access”. In such case, Purchaser shall remain primarily liable for the performance of all its obligations pursuant to this Agreement unless and until this Agreement is assigned to a Third Party pursuant to Section 15.1. TAPI shall not contact directly or indirectly the Licensee without Purchaser’s prior written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8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shall (a) maintain, at its own expense, the TAPI’s Facility required for the Manufacture of Active Material in a state of repair and operating efficiency consistent with the requirements of cGMP and all applicable laws and regulations, (b) be responsible for obtaining, at its expense, any licenses or permits required for the operations of TAPI’s Facility and other licenses or permits, as well as any regulatory and government approvals necessary for the Manufacture the Active Material under this Agreement (other than any regulatory approvals specific to the Active Material), and (c) provide personnel having the appropriate skills, qualification, training and experience necessary to Manufacture the Active Material.</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48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ORDERS, QUANTITIES, LEAD TIME AND DELIVERY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9"/>
        <w:gridCol w:w="9866"/>
      </w:tblGrid>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8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Development Supply</w:t>
            </w:r>
            <w:r>
              <w:rPr>
                <w:rFonts w:ascii="Times New Roman;Times;serif" w:hAnsi="Times New Roman;Times;serif"/>
                <w:caps w:val="false"/>
                <w:smallCaps w:val="false"/>
                <w:sz w:val="20"/>
              </w:rPr>
              <w:t>. Subject to the terms and conditions of this Agreement, Purchaser agrees to purchase certain quantities of the Active Material from TAPI and TAPI agrees to supply Purchaser with Active Material for development purposes related to the Finished Product, including securing the Marketing Authorizations of the Finished Product in the Territory (the "</w:t>
            </w:r>
            <w:r>
              <w:rPr>
                <w:rFonts w:ascii="Times New Roman;Times;serif" w:hAnsi="Times New Roman;Times;serif"/>
                <w:b/>
                <w:caps w:val="false"/>
                <w:smallCaps w:val="false"/>
                <w:sz w:val="20"/>
              </w:rPr>
              <w:t>Development Quantities</w:t>
            </w:r>
            <w:r>
              <w:rPr>
                <w:rFonts w:ascii="Times New Roman;Times;serif" w:hAnsi="Times New Roman;Times;serif"/>
                <w:caps w:val="false"/>
                <w:smallCaps w:val="false"/>
                <w:sz w:val="20"/>
              </w:rPr>
              <w:t>"). With regard to the Developmental Quantities, Purchaser will use commercially reasonable efforts to provide TAPI with its projected requirements (including delivery dates) from time to time during the Term; provided that Purchaser shall have no obligation to purchase any, or any minimums of, Development Quantities. If Purchaser desires to purchase Development Quantities from TAPI, Purchaser shall provide TAPI with purchase orders and such orders shall be subject to TAPI's written confirmation. No order of Development Quantities shall be binding upon TAPI or Purchaser unless and until accepted by TAPI in writing; provided that TAPI will use commercially reasonable efforts to accept any purchase order submitted by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7"/>
        <w:gridCol w:w="9838"/>
      </w:tblGrid>
      <w:tr>
        <w:trPr/>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8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provisions of this Section 3 shall apply, with any necessary changes, to order and supply of Development Quantities of Active Material purchased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8"/>
        <w:gridCol w:w="9857"/>
      </w:tblGrid>
      <w:tr>
        <w:trPr/>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8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Commercial Supply</w:t>
            </w:r>
            <w:r>
              <w:rPr>
                <w:rFonts w:ascii="Times New Roman;Times;serif" w:hAnsi="Times New Roman;Times;serif"/>
                <w:caps w:val="false"/>
                <w:smallCaps w:val="false"/>
                <w:sz w:val="20"/>
              </w:rPr>
              <w:t>. For each of the first [***] Contract Years during the Term, subject to Sections 3.7 and 3.8. Purchaser shall order from TAPI with respect to each Active Material, at least, the percentage of the Commercial Requirements corresponding to such Contract Year, as specified in Appendix A (such commitment, the “</w:t>
            </w:r>
            <w:r>
              <w:rPr>
                <w:rFonts w:ascii="Times New Roman;Times;serif" w:hAnsi="Times New Roman;Times;serif"/>
                <w:b/>
                <w:caps w:val="false"/>
                <w:smallCaps w:val="false"/>
                <w:sz w:val="20"/>
              </w:rPr>
              <w:t>Purchase Order Commitment</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98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its Affiliates, and/or Nominated Contract Manufacturers, shall use the Active Material supplied by TAPI under this Agreement only for the manufacture of Finished Products or development and/or commercialization thereof in the Territory. Purchaser, its Affiliates and/or Nominated Contract Manufacturers are prohibited from reselling or otherwise transferring all or any portion of Active Material supplied by TAPI under this Agreement that is not used in the manufacture of Finished Products for sale in the Territory to any other person or entity, either directly or indirectly, including through its contract manufacturers or other third parties, without written permission of TAPI.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98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Forecasts</w:t>
            </w:r>
            <w:r>
              <w:rPr>
                <w:rFonts w:ascii="Times New Roman;Times;serif" w:hAnsi="Times New Roman;Times;serif"/>
                <w:caps w:val="false"/>
                <w:smallCaps w:val="false"/>
                <w:sz w:val="20"/>
              </w:rPr>
              <w:t>. By the [***] (or on such other date or frequency as the Parties may agree in writing) during the Term (as defined below), Purchaser shall provide TAPI in writing, with a good faith rolling forecast of the Commercial Quantities of Active Material it expects to be delivered by TAPI, including quantities required by any Nominated Contract Manufacturer (if any), in the [***] shall be considered binding (the "</w:t>
            </w:r>
            <w:r>
              <w:rPr>
                <w:rFonts w:ascii="Times New Roman;Times;serif" w:hAnsi="Times New Roman;Times;serif"/>
                <w:b/>
                <w:caps w:val="false"/>
                <w:smallCaps w:val="false"/>
                <w:sz w:val="20"/>
              </w:rPr>
              <w:t>Binding Forecasted Quarter</w:t>
            </w:r>
            <w:r>
              <w:rPr>
                <w:rFonts w:ascii="Times New Roman;Times;serif" w:hAnsi="Times New Roman;Times;serif"/>
                <w:caps w:val="false"/>
                <w:smallCaps w:val="false"/>
                <w:sz w:val="20"/>
              </w:rPr>
              <w:t>") on both Purchaser and TAPI, provided the Forecast was approved by TAPI as provided below. The quantities of Active Material detailed in each of the [***] will be non-binding.</w:t>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Forecast shall be subject to TAPI’s written approval. TAPI shall confirm or reject any Forecast within [***] Failure to respond within such period shall not constitute acceptance; in such case, Purchaser shall promptly follow up in writing, and TAPI shall provide confirmation or rejection within [***]. TAPI shall not unreasonably withhold confirmation, provided that acceptance is subject to, without limitation, availability of manufacturing capacity, compliance with applicable regulatory requirements and fulfillment of all obligations under this Agreement. Upon written confirmation by TAPI, the Forecast shall become a “Confirmed Forecast” and shall be binding on both Parties. Any modification or cancellation of a Confirmed Forecast shall require prior written consent of TAPI.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8"/>
        <w:gridCol w:w="9867"/>
      </w:tblGrid>
      <w:tr>
        <w:trPr/>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98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Orders</w:t>
            </w:r>
            <w:r>
              <w:rPr>
                <w:rFonts w:ascii="Times New Roman;Times;serif" w:hAnsi="Times New Roman;Times;serif"/>
                <w:caps w:val="false"/>
                <w:smallCaps w:val="false"/>
                <w:sz w:val="20"/>
              </w:rPr>
              <w:t>. Purchaser and/or any Nominated Contract Manufacturer (if any), acting on Purchaser’s behalf, shall be committed to place firm purchase orders for the quantities specified in the Binding Forecasted Quarter ("</w:t>
            </w:r>
            <w:r>
              <w:rPr>
                <w:rFonts w:ascii="Times New Roman;Times;serif" w:hAnsi="Times New Roman;Times;serif"/>
                <w:b/>
                <w:caps w:val="false"/>
                <w:smallCaps w:val="false"/>
                <w:sz w:val="20"/>
              </w:rPr>
              <w:t>Purchase Orders</w:t>
            </w:r>
            <w:r>
              <w:rPr>
                <w:rFonts w:ascii="Times New Roman;Times;serif" w:hAnsi="Times New Roman;Times;serif"/>
                <w:caps w:val="false"/>
                <w:smallCaps w:val="false"/>
                <w:sz w:val="20"/>
              </w:rPr>
              <w:t>"). Purchase Orders shall reference this Agreement and specify the Active Material, quantities, prices, delivery destination and required delivery dates, which shall be at least [***] from the date of placing the Purchase Order, except as otherwise specifically and expressly agreed to in writing by TAPI ("</w:t>
            </w:r>
            <w:r>
              <w:rPr>
                <w:rFonts w:ascii="Times New Roman;Times;serif" w:hAnsi="Times New Roman;Times;serif"/>
                <w:b/>
                <w:caps w:val="false"/>
                <w:smallCaps w:val="false"/>
                <w:sz w:val="20"/>
              </w:rPr>
              <w:t>Lead Time</w:t>
            </w:r>
            <w:r>
              <w:rPr>
                <w:rFonts w:ascii="Times New Roman;Times;serif" w:hAnsi="Times New Roman;Times;serif"/>
                <w:caps w:val="false"/>
                <w:smallCaps w:val="false"/>
                <w:sz w:val="20"/>
              </w:rPr>
              <w:t>"). Purchase Orders shall be subject to confirmation and acceptance by TAPI, not to be commercially unreasonably withheld. Notwithstanding the foregoing, TAPI shall be obligated to confirm and accept the Purchase Orders that contain quantities consistent with the Confirmed Forecasts and that contain delivery dates that meet the Lead Time (each such confirmed and accepted Purchase Order, the “</w:t>
            </w:r>
            <w:r>
              <w:rPr>
                <w:rFonts w:ascii="Times New Roman;Times;serif" w:hAnsi="Times New Roman;Times;serif"/>
                <w:b/>
                <w:caps w:val="false"/>
                <w:smallCaps w:val="false"/>
                <w:sz w:val="20"/>
              </w:rPr>
              <w:t>Confirmed Purchase Order</w:t>
            </w:r>
            <w:r>
              <w:rPr>
                <w:rFonts w:ascii="Times New Roman;Times;serif" w:hAnsi="Times New Roman;Times;serif"/>
                <w:caps w:val="false"/>
                <w:smallCaps w:val="false"/>
                <w:sz w:val="20"/>
              </w:rPr>
              <w:t>”), and TAPI may reject Purchase Orders: (i) to the extent the quantities exceed the Binding Forecasted Quantities (and only with respect to such excess quantities) or (ii) that do not meet the Lead Time, or (iii) in the event of Force Majeure (as defined below) or for other reasons beyond TAPI’s reasonable control. TAPI’s said confirmation and acceptance shall be provided within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c>
          <w:tcPr>
            <w:tcW w:w="98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the avoidance of doubt, Purchaser shall remain fully responsible for the performance of all obligations under this Agreement, irrespective of whether any Purchase Orders are submitted by a Nominated Contract Manufacturer on Purchaser’s behalf. TAPI shall supply the quantities set forth in each Confirmed Purchase Order by the delivery dates set forth therein (provided that such delivery dates are consistent (at least) with the Lead Time). TAPI shall promptly advise Purchaser if, for any reason, including without limitation force majeure as defined in Section 13 hereof, it believes that it will be unable to supply Purchaser (a) with the requisite quantities of Active Material specified in a Confirmed Purchase Order, or (b) by the date of delivery specified in any Confirmed Purchase Order.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9"/>
        <w:gridCol w:w="9866"/>
      </w:tblGrid>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c>
          <w:tcPr>
            <w:tcW w:w="98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TAPI (i) fails to confirm a Purchase Order within the timelines set forth in Section 3.6, or (ii) fails to deliver a Confirmed Purchase Orders or part thereof by more than [***] beyond the delivery dates specified in the Confirmed Purchase Orders, then, notwithstanding Section 3.3, for so long as TAPI’s inability persists, Purchaser may, as its sole and exclusive remedy, purchase the Alternative Material, solely to the extent of the shortfall in TAPI’s supply of the Active Material, only until such time as TAPI is able to and successfully does resume timely supply to Purchaser of the Active Material Purchaser's right pursuant to this section shall not apply to the quantities specified in the Purchase Order which exceed [***] of the quantities set forth in the Binding Forecasted Quarter. The Parties agree that in the event specified under this clause, the Purchase Order Commitment will be reduced proportionately, solely during such time of delay, to reflect the quantities that were not delivered.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3.9.</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and without limiting Purchaser’s rights and remedies under Section 3.7, it is hereby clarified that failure to deliver the full quantity of the Active Material (i) on time, or (ii) in quality (due to the same quality route cause), on [***], will entitle Purchaser to procure the Alternative Material from any alternative qualified supplier solely for the quantities required to cover the shortfall and until TAPI implements a corrective action and resumes timely supply of conforming Active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01"/>
        <w:gridCol w:w="9744"/>
      </w:tblGrid>
      <w:tr>
        <w:trPr/>
        <w:tc>
          <w:tcPr>
            <w:tcW w:w="6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3.10.</w:t>
            </w:r>
          </w:p>
        </w:tc>
        <w:tc>
          <w:tcPr>
            <w:tcW w:w="97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Delivery</w:t>
            </w:r>
            <w:r>
              <w:rPr>
                <w:rFonts w:ascii="Times New Roman;Times;serif" w:hAnsi="Times New Roman;Times;serif"/>
                <w:caps w:val="false"/>
                <w:smallCaps w:val="false"/>
                <w:sz w:val="20"/>
              </w:rPr>
              <w:t>. The Active Material shall be delivered [***] (as per Incoterms 2020) Purchaser’s or its designee’s site as specified in the Confirmed Purchase Order or any other location as may be mutually agreed upon in writing by the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
        <w:gridCol w:w="9729"/>
      </w:tblGrid>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7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Risk of Loss and Title</w:t>
            </w:r>
            <w:r>
              <w:rPr>
                <w:rFonts w:ascii="Times New Roman;Times;serif" w:hAnsi="Times New Roman;Times;serif"/>
                <w:caps w:val="false"/>
                <w:smallCaps w:val="false"/>
                <w:sz w:val="20"/>
              </w:rPr>
              <w:t>. Risk of loss and/or damage to the Active Material ordered by Purchaser, and title therein, will pass to Purchaser upon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5"/>
        <w:gridCol w:w="9760"/>
      </w:tblGrid>
      <w:tr>
        <w:trPr/>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the time of the delivery, the Active Material shall conform to the Specifications. TAPI undertakes to provide a certificate of analysis ("COA") confirming the Specifications with every shipment of the Active Material. Purchaser shall be informed prior to the implementation of any changes in the method of manufacture of the Active Material and/or Specifications reasonably to affect the quality and safety of the Active Material and TAPI will make such changes subject to the change control procedure specified in the Quality Agreement. At the time of the delivery, the Active Material shall have a remaining Re-Test Period not less than [***] of the Re-Test Period. If any Active Material does not have such remaining Re-Test Period at the time of delivery, TAPI will replace such Active Material at no cost to Purchaser, unless otherwise agreed in writing by the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6"/>
        <w:gridCol w:w="9749"/>
      </w:tblGrid>
      <w:tr>
        <w:trPr/>
        <w:tc>
          <w:tcPr>
            <w:tcW w:w="6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3.13.</w:t>
            </w:r>
          </w:p>
        </w:tc>
        <w:tc>
          <w:tcPr>
            <w:tcW w:w="97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Packaging</w:t>
            </w:r>
            <w:r>
              <w:rPr>
                <w:rFonts w:ascii="Times New Roman;Times;serif" w:hAnsi="Times New Roman;Times;serif"/>
                <w:caps w:val="false"/>
                <w:smallCaps w:val="false"/>
                <w:sz w:val="20"/>
              </w:rPr>
              <w:t>. The Active Material shall be delivered to Purchaser in the standard packaging used at TAPI’s Facility for active pharmaceutical ingredients; provided that such standard packaging shall be in compliance with the applicable drug master file and all applicable laws, rules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320" w:type="dxa"/>
        <w:jc w:val="left"/>
        <w:tblInd w:w="0" w:type="dxa"/>
        <w:tblLayout w:type="fixed"/>
        <w:tblCellMar>
          <w:top w:w="0" w:type="dxa"/>
          <w:left w:w="0" w:type="dxa"/>
          <w:bottom w:w="0" w:type="dxa"/>
          <w:right w:w="0" w:type="dxa"/>
        </w:tblCellMar>
      </w:tblPr>
      <w:tblGrid>
        <w:gridCol w:w="60"/>
        <w:gridCol w:w="170"/>
        <w:gridCol w:w="2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0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PRICE AND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6"/>
        <w:gridCol w:w="9849"/>
      </w:tblGrid>
      <w:tr>
        <w:trPr/>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8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for the Active Material will be fixed as specified in Appendix A (the "</w:t>
            </w:r>
            <w:r>
              <w:rPr>
                <w:rFonts w:ascii="Times New Roman;Times;serif" w:hAnsi="Times New Roman;Times;serif"/>
                <w:b/>
                <w:caps w:val="false"/>
                <w:smallCaps w:val="false"/>
                <w:sz w:val="20"/>
              </w:rPr>
              <w:t>Price</w:t>
            </w:r>
            <w:r>
              <w:rPr>
                <w:rFonts w:ascii="Times New Roman;Times;serif" w:hAnsi="Times New Roman;Times;serif"/>
                <w:caps w:val="false"/>
                <w:smallCaps w:val="false"/>
                <w:sz w:val="20"/>
              </w:rPr>
              <w:t>"), but subject at all times to this Section 4:</w:t>
            </w:r>
          </w:p>
        </w:tc>
      </w:tr>
      <w:tr>
        <w:trPr/>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 subject to the rest of this Section 4.1, TAPI shall be entitled to modify the Price [***]. TAPI shall notify Purchaser in writing of any price increase by no later than [***] and any such price adjustment shall become effective [***].</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60"/>
        <w:gridCol w:w="320"/>
        <w:gridCol w:w="815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8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prices and deliveries provided for herein are on a [***] basis, as described in Section 3.10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1"/>
        <w:gridCol w:w="9854"/>
      </w:tblGrid>
      <w:tr>
        <w:trPr/>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8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shall issue and dispatch invoices with each delivery (or partial delivery) of the Active Material delivered by it together with such certificates and documentation as may be required for the purposes of customs clearance of the Active Material including without limitation a signed certificate of analysis.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payments shall be made in US Dollars (US$) within [***] after Purchaser’s receipt of the applicable invoices, which TAPI shall issue [***] the delivery of the applicable batches of Active Material. Prices do not include any VAT and sales tax, which shall be payable by Purchaser if applicable. Payments shall be made by wire transfer to TAPI’s designated bank account as notified to Purchaser by TAPI. Amounts not paid when due shall accrue interest calculated at the LIBOR rate per annum plus [***] (but in no event greater than the maximum rate permitted by law), calculated on a daily basis. No deductions of any kind from any payment becoming due to TAPI may be made in the absence of an official credit memorandum from TAPI authorizing the deduction, except in accordance with credit given pursuant to Section 5.3.2.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Taxes</w:t>
            </w:r>
            <w:r>
              <w:rPr>
                <w:rFonts w:ascii="Times New Roman;Times;serif" w:hAnsi="Times New Roman;Times;serif"/>
                <w:caps w:val="false"/>
                <w:smallCaps w:val="false"/>
                <w:sz w:val="20"/>
              </w:rPr>
              <w:t>. Purchaser shall be responsible for the payment of any and all currently applicable or hereinafter imposed taxes, duties, levies, fees and other charges that are imposed by any local, national, public or quasi-public government entity that arise out of this Agreement and/or the purchase and importation of the Active Material.</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extent withholding taxes are imposed on any payment due to TAPI, the amount paid by Purchaser to TAPI shall be increased by an amount sufficient to result in a net payment to TAPI, after withholding taxes, equal to the total price set out in the applicable purchase order. The Parties agree to reasonably cooperate with each other in order not to withhold taxes or to withhold taxes at a reduced rate or to claim exemption from withholding.</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the delivery terms specified in Section 3.9 of this Agreement, the Parties agree that any tariffs levied by any governmental authority for the import or export of an Active Material shall be paid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93"/>
        <w:gridCol w:w="9852"/>
      </w:tblGrid>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98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shall keep full and true books of account and other records in accordance with generally accepted accounting practice in the Territory so that details of sales of Finished Product, and Purchaser’s purchase obligations pursuant to this Agreement may be properly ascertained.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9"/>
        <w:gridCol w:w="9866"/>
      </w:tblGrid>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98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agrees, on not less than thirty (30) days written notice from TAPI, to permit an independent, certified third party accounting firm reasonably acceptable to Purchaser, on behalf of TAPI, to have access, at a time convenient to Purchaser, to such books of account and other pertinent records as may be necessary to verify, and solely for the purpose of verifying, compliance of Purchaser’s Purchase Order Commitment pursuant to this Agreement with respect to completed periods only. Such records shall include, but not be limited to Purchaser’s [***]. TAPI shall not have the right to access such records more than [***]. All records made available pursuant to this Section 4.7 shall be the Confidential Information of Purchaser and subject to the provisions of Section 11 hereof. The independent, certified third party accounting firm (a) shall be required to execute a confidentiality agreement with Purchaser, (b) shall only disclose to TAPI whether Purchaser complied with its purchase obligations pursuant to this Agreement, and (c) shall not provide any other information to TAPI without the prior consent of Purchaser.</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70"/>
        <w:gridCol w:w="6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6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QUALITY INSPECTION OF PRODUCT and REGULATORY INSPECTIONS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or its designee shall inspect each shipment upon its receipt of Active Material for shortage, damage and for conformance with the Specifications. Any Active Material not rejected within [***] of delivery to Purchaser or its contract manufacturer (other than Active Materials with Latent Defects) shall be deemed to have been accepted by Purchaser (for clarity, under [***], “delivery” shall be deemed to occur when the goods [***]). Any latent defects in Active Material that are not reasonably discoverable during such [***] period by means of the inspection specified in this Section (“</w:t>
            </w:r>
            <w:r>
              <w:rPr>
                <w:rFonts w:ascii="Times New Roman;Times;serif" w:hAnsi="Times New Roman;Times;serif"/>
                <w:b/>
                <w:caps w:val="false"/>
                <w:smallCaps w:val="false"/>
                <w:sz w:val="20"/>
              </w:rPr>
              <w:t>Latent Defect</w:t>
            </w:r>
            <w:r>
              <w:rPr>
                <w:rFonts w:ascii="Times New Roman;Times;serif" w:hAnsi="Times New Roman;Times;serif"/>
                <w:caps w:val="false"/>
                <w:smallCaps w:val="false"/>
                <w:sz w:val="20"/>
              </w:rPr>
              <w:t>”) shall be notified by Purchaser to TAPI within [***] after discovery thereof and in any event no later than the date of expiration of the Re-Test Period for the relevant Active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6"/>
        <w:gridCol w:w="9859"/>
      </w:tblGrid>
      <w:tr>
        <w:trPr/>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98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Purchaser alleges that any Active Material delivered to it or its designee does not meet the Specifications, Purchaser shall notify TAPI setting out full details of the alleged defect. Purchaser shall, on request by TAPI, provide TAPI with a sample of the allegedly non-conforming Active Material, which shall be examined by TAPI as soon as reasonably practicable but in any event within [***] of receipt thereof by TAPI.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5"/>
        <w:gridCol w:w="9850"/>
      </w:tblGrid>
      <w:tr>
        <w:trPr/>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9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TAPI is in agreement with the contentions as to non-conformance (</w:t>
            </w:r>
            <w:r>
              <w:rPr>
                <w:rFonts w:ascii="Times New Roman;Times;serif" w:hAnsi="Times New Roman;Times;serif"/>
                <w:i/>
                <w:caps w:val="false"/>
                <w:smallCaps w:val="false"/>
                <w:sz w:val="20"/>
              </w:rPr>
              <w:t>i.e.</w:t>
            </w:r>
            <w:r>
              <w:rPr>
                <w:rFonts w:ascii="Times New Roman;Times;serif" w:hAnsi="Times New Roman;Times;serif"/>
                <w:caps w:val="false"/>
                <w:smallCaps w:val="false"/>
                <w:sz w:val="20"/>
              </w:rPr>
              <w:t>, the Active Material delivered does not meet the Specifications raised by Purchaser or if an independent laboratory pursuant to Section 5.4 decides against TAPI: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4"/>
        <w:gridCol w:w="9696"/>
      </w:tblGrid>
      <w:tr>
        <w:trPr/>
        <w:tc>
          <w:tcPr>
            <w:tcW w:w="7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5.3.1.</w:t>
            </w:r>
          </w:p>
        </w:tc>
        <w:tc>
          <w:tcPr>
            <w:tcW w:w="96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shall, as instructed by TAPI, either return to TAPI any Active Material that is nonconforming, or otherwise dispose of such Active Material, [***], and in accordance with instructions provided by TAPI. If TAPI does not so direct, within [***] following Purchaser's notification of non-conformity, Purchaser may dispose of such Active Material as Purchaser may deem reasonably appropriate, provided that any such disposal complies with environmentally acceptable standards, and [***] the costs of such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33"/>
        <w:gridCol w:w="9697"/>
      </w:tblGrid>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5.3.2.</w:t>
            </w:r>
          </w:p>
        </w:tc>
        <w:tc>
          <w:tcPr>
            <w:tcW w:w="96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Upon receipt of the non-conforming Active Material or confirmation of disposal, as the case may be, TAPI shall at its sole discretion either: (1) credit Purchaser the amount paid or invoiced for such Active Material or (2) dispatch to Purchaser replacement Active Material at no cost to Purchaser as soon as is reasonably practicable but in any event within [***] following Purchaser's notification of non-conformance (in which case all directly related documented costs, including the costs of Manufacture and shipment of the replacement batch,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5.3.3.</w:t>
            </w:r>
          </w:p>
        </w:tc>
        <w:tc>
          <w:tcPr>
            <w:tcW w:w="96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WITHOUT LIMITING PURCHASER’S RIGHT UNDER SECTION 3.9, TAPI’S LIABILITY IN DELIVERY OF ACTIVE MATERIAL THAT DOES NOT MEET THE SPECIFICATIONS OR ANY OTHER WARRANTY SET FORTH IN SECTION 6.1.1 OR 6.1.2 REMAINS STRICTLY LIMITED ONLY TO REPLACEMENT OF OR CREDIT FOR THE ACTIVE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9"/>
        <w:gridCol w:w="9866"/>
      </w:tblGrid>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98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TAPI is not in agreement with the contentions as to non-conformance raised by Purchaser, representative samples of the allegedly non-conforming Active Material, together with details of Purchaser’s contentions as to non-conformance, shall be submitted to a mutually acceptable independent laboratory which shall examine such samples in a method specified by the Parties as part of a mutually agreed testing procedure. The Parties shall endeavor to procure that within [***], the said laboratory issues its finding as to whether the Active Material conforms to the specifications. The results of the said laboratory shall be final and binding on the Parties, and not subject to appeal or review, and the costs associated with such submission and determination shall be borne by the Party against which the laboratory decides. Notwithstanding the above, if it is determined that the non-conformance is due to damage to the Active Material caused by Purchaser or its agents, TAPI will have no liability to Purchaser with respect to such non-conformance and the cost of any testing and evaluation by the independent laboratory will be borne solely by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7"/>
        <w:gridCol w:w="9868"/>
      </w:tblGrid>
      <w:tr>
        <w:trPr/>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98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shall, upon receiving a written request from Purchaser, supply directly to the applicable Regulatory Authority technical information on the Active Material and methods of manufacture to the extent that such information is required or requested by any Regulatory Authority located within the Territory to enable Purchaser to obtain and maintain the Marketing Authorizations. Upon TAPI receiving at least [***] advance notice in writing from Purchaser (or less if required by Regulatory Authority or other governmental agency), and not more than [***] (or more often if required or requested by Regulatory Authority or governmental agency or in the case of “for cause” audits), TAPI shall permit Purchaser, by prior arrangement with and at a time reasonably acceptable to TAPI and during business hours, to inspect those areas of TAPI’s Facilities where Active Material is Manufactured for Purchaser, and audit its records (in the presence of a representative of TAPI) relating to the manufacturing and quality control of the Active Material to the extent reasonably necessary to enable Purchaser to verify TAPI’s compliance with the Quality Agreement and applicable laws, rules and regulations, including any regulatory requirements to which TAPI or Purchaser is subject and which are applicable to the Manufacture, importation, and marketing of the Active Material. Purchaser acknowledges that all information supplied by TAPI or acquired by Purchaser by virtue of the provisions of this Section 5.5 shall be strictly confidential and subject to the provisions of Section 11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06"/>
        <w:gridCol w:w="9839"/>
      </w:tblGrid>
      <w:tr>
        <w:trPr/>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98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undertakes to be solely responsible for any recall of the Finished Products at any time, and to accept any liability arising in respect of the Finished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98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hereby acknowledge and agree that the API quality agreement, dated [***], by and between Purchaser and [***] (such agreement, as may be amended from time to time, the “</w:t>
            </w:r>
            <w:r>
              <w:rPr>
                <w:rFonts w:ascii="Times New Roman;Times;serif" w:hAnsi="Times New Roman;Times;serif"/>
                <w:b/>
                <w:caps w:val="false"/>
                <w:smallCaps w:val="false"/>
                <w:sz w:val="20"/>
              </w:rPr>
              <w:t>Quality Agreement</w:t>
            </w:r>
            <w:r>
              <w:rPr>
                <w:rFonts w:ascii="Times New Roman;Times;serif" w:hAnsi="Times New Roman;Times;serif"/>
                <w:caps w:val="false"/>
                <w:smallCaps w:val="false"/>
                <w:sz w:val="20"/>
              </w:rPr>
              <w:t>”) sets forth the quality assurance arrangements and procedures with respect to the manufacture and supply of the Active Material under this Agreement. To the extent that the terms of this Agreement and those of the Quality Agreement are in conflict, the terms of this Agreement shall control except with respect to quality assurance system issues, which shall be governed by the Quality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98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and its Affiliates and their designees shall have the right to reference any drug master file owned or controlled by TAPI applicable to the Active Material and TAPI will provide authorization to Regulatory Authorities to access such drug master file on behalf of Purchaser, its Affiliates and their designees, in each case, to the extent pertaining to the Active Material or any Finished Product.</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13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WARRANTIES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320"/>
        <w:gridCol w:w="471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4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hereby represents and warrants to the Purchaser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0"/>
        <w:gridCol w:w="9680"/>
      </w:tblGrid>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6.1.1.</w:t>
            </w:r>
          </w:p>
        </w:tc>
        <w:tc>
          <w:tcPr>
            <w:tcW w:w="96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Active Material upon delivery shall conform to the Specifications and be Manufactured with good workmanship in accordance with industry standards and shall not be adulterated or misbranded;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3"/>
        <w:gridCol w:w="9687"/>
      </w:tblGrid>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6.1.2.</w:t>
            </w:r>
          </w:p>
        </w:tc>
        <w:tc>
          <w:tcPr>
            <w:tcW w:w="96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Active Material to be supplied hereunder shall be manufactured, stored and packaged for shipment in accordance with cGMP at a TAPI Facility, and in compliance with the Quality Agreement, drug master file, and all other applicable laws,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61"/>
        <w:gridCol w:w="9669"/>
      </w:tblGrid>
      <w:tr>
        <w:trPr/>
        <w:tc>
          <w:tcPr>
            <w:tcW w:w="75"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6.1.3.</w:t>
            </w:r>
          </w:p>
        </w:tc>
        <w:tc>
          <w:tcPr>
            <w:tcW w:w="96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Active Materials supplied hereunder shall be free and clear of all security interests, liens, or other encumbrances of any kind or character;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3"/>
        <w:gridCol w:w="9852"/>
      </w:tblGrid>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98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and without limiting Purchaser’s rights under Section 3.9, the replacement of non-conforming Active Material shall be Purchaser’s sole remedy for claims that any shipment of Active Material failed to comply with the warranties set forth in Section 6.1.1. or 6.1.2.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98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WARRANTIES SET OUT IN THIS AGREEMENT ARE THE ONLY WARRANTIES GIVEN BY TAPI AND ARE MADE IN LIEU OF ALL OTHER WARRANTIES, EXPRESSED OR IMPLIED. ANY EXPRESS, IMPLIED, STATUTORY OR OTHER WARRANTIES, INCLUDING, BUT NOT LIMITED TO THE IMPLIED WARRANTIES OF MERCHANTABILITY, NON-INFRINGEMENT AND FITNESS FOR A PARTICULAR PURPOSE AS APPLICABLE TO THE ACTIVE MATERIAL ARE HEREBY EXCLUDED.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98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warrants and represents that it is not debarred under the Generic Drug Enforcement Act of 1992, 21 U.S.C. 335[a] (the “Generic Drug Enforcement Act”), and that it has not been convicted of a crime for which it could be debarred under the Generic Drug Enforcement Act. In connection with the Active Material, TAPI further warrants and represents, in that it shall not use in any capacity the services of any person debarred under the Generic Drug Enforcement Act, or convicted of a crime for which a person can be debarred under the Generic Drug Enforcement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8"/>
        <w:gridCol w:w="9857"/>
      </w:tblGrid>
      <w:tr>
        <w:trPr/>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98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makes no warranty as to the patentability of any of the Active Materials or as to immunity from any action for infringement of Third Party intellectual property rights including but not limited to registered patents or patent applications arising out of the regulatory approvals, importation into the territory, distribution, marketing, sale and/or use of the Active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c>
          <w:tcPr>
            <w:tcW w:w="9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hereby agrees, on behalf of itself and its Affiliates, that TAPI does not make hereunder, nor has it made prior to entering into this Agreement, any representation whatsoever as to whether Purchaser should commercialize the Active Material and any and all use by Purchaser and its Affiliates of the Active Material is and shall be Purchaser’s responsibility and at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8"/>
        <w:gridCol w:w="9867"/>
      </w:tblGrid>
      <w:tr>
        <w:trPr/>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c>
          <w:tcPr>
            <w:tcW w:w="98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THE MAXIMUM EXTENT PERMITTED BY APPLICABLE LAW, IN NO EVENT WILL A PARTY BE LIABLE TO THE OTHER PARTY, OR TO ANY THIRD PARTY, FOR ANY INDIRECT, SPECIAL, INCIDENTAL, CONSEQUENTIAL, PUNITIVE OR EXEMPLARY DAMAGES, SUFFERED BY THE OTHER PARTY AND ARISING OUT OF OR IN ANY WAY RELATING TO THIS AGREEMENT, INCLUDING, WITHOUT LIMITATION, DAMAGES FOR ANY LOSS OR DAMAGE TO BUSINESS EARNINGS, ANTICIPATED SALES, ANTICIPATED OR LOST PROFITS OR GOODWILL, OR WORK STOPPAGE OR ANY AND ALL OTHER COMMERCIAL DAMAGES OR LOSSES, EVEN IF SUCH PARTY IS ADVISED OR SHOULD HAVE KNOWN OF THE POSSIBILITY OF SUCH DAMAGES, AND REGARDLESS OF THE LEGAL OR EQUITABLE THEORY (WHETHER CONTRACT, TORT (INCLUDING NEGLIGENCE) OR OTHERWISE) UPON WHICH THE CLAIM IS BASED. THE LIMITATIONS IN THIS SECTION 6.7 SHALL NOT APPLY TO (I) DAMAGES RESULTING FROM BREACHES BY A PARTY OF ITS CONFIDENTIALITY AND NON-USE OBLIGATIONS UNDER SECTION 11 OR FROM A PARTY’S FRAUD, GROSS NEGLIGENCE OR WILLFUL MISCONDUCT, OR (II) THIRD PARTY CLAIMS OR DAMAGES THAT ARE INDEMNIFIABLE UNDER SECTION 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9"/>
        <w:gridCol w:w="9836"/>
      </w:tblGrid>
      <w:tr>
        <w:trPr/>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c>
          <w:tcPr>
            <w:tcW w:w="98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any limitation of liability shall be deemed invalid by any applicable law, then each Party’s liability shall be within the limitation permitted by that law.</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366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CLAIMS FOR PATENT INFRINGEMENT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a warning, demand or claim for patent infringement is brought against either Party on account of TAPI’s supply of Active Material to Purchaser and use thereof in the manufacture, use, marketing or sale of the Finished Product, or either Party has reason to believe that any such claim might be brought against any Party, such Party shall inform the other Party, immediately, both orally and in writing of the particulars of the claim as soon as possible.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9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the warning, demand or claim for patent infringement is brought against the Purchaser on account of TAPI’s supply of Active Material to Purchaser and use thereof in the manufacture, use, marketing or sale of the Finished Product, or Purchaser has reason to believe that any such claim might be brought against it, Purchaser will: (i) consult with TAPI with respect to the conduct of any litigation arising from the claim, including strategy, tactics, choice of counsel, selection of expert witnesses and the like, and (ii) submit to the other Party or its designated counsel drafts of any pleadings, briefs, witness statements or the like at least [***] before they are provided to any opposing party or submitted to any tribunal. TAPI may provide comments on such drafts to Purchaser, which shall be considered in good faith if presented in a timely manner prior to the applicable deadline for submission to any opposing party or any tribunal.</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320"/>
        <w:gridCol w:w="878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8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provisions of this Section 7 shall survive the expiration or termination of this Agreement for any reason.</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170"/>
        <w:gridCol w:w="1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185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INDEMNIFICATION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7"/>
        <w:gridCol w:w="9868"/>
      </w:tblGrid>
      <w:tr>
        <w:trPr/>
        <w:tc>
          <w:tcPr>
            <w:tcW w:w="60" w:type="dxa"/>
            <w:tcBorders/>
            <w:vAlign w:val="center"/>
          </w:tcPr>
          <w:p>
            <w:pPr>
              <w:pStyle w:val="TableContents"/>
              <w:bidi w:val="0"/>
              <w:spacing w:before="0" w:after="283"/>
              <w:jc w:val="both"/>
              <w:rPr/>
            </w:pPr>
            <w:r>
              <w:rPr/>
              <w:t> </w:t>
            </w:r>
          </w:p>
        </w:tc>
        <w:tc>
          <w:tcPr>
            <w:tcW w:w="2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98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shall defend, indemnify and hold harmless TAPI, its Affiliates and each of their respective officers, directors, agents, employees and shareholders (collectively, “</w:t>
            </w:r>
            <w:r>
              <w:rPr>
                <w:rFonts w:ascii="Times New Roman;Times;serif" w:hAnsi="Times New Roman;Times;serif"/>
                <w:b/>
                <w:caps w:val="false"/>
                <w:smallCaps w:val="false"/>
                <w:sz w:val="20"/>
              </w:rPr>
              <w:t>TAPI Indemnitees</w:t>
            </w:r>
            <w:r>
              <w:rPr>
                <w:rFonts w:ascii="Times New Roman;Times;serif" w:hAnsi="Times New Roman;Times;serif"/>
                <w:caps w:val="false"/>
                <w:smallCaps w:val="false"/>
                <w:sz w:val="20"/>
              </w:rPr>
              <w:t>”) from and against any and all claims, damages, loss and expense suffered by TAPI arising from claims by third parties in connection with or resulting from any of the following: (a) the storage, handling, manufacture, license, use, marketing, advertising, promotion, distribution or sale of the Finished Product containing the Active Material supplied by TAPI under this Agreement by Purchaser or its Affiliates, Nominated Contract Manufacturers, sublicensees, distributors or agents or the conduct of business by Purchaser or its Affiliates, sublicensees, distributors or agents in the Territory, including, but not limited to, liabilities for product liability and returned goods; (b) the breach of any representation, warranty or covenant by Purchaser under this Agreement; (c) negligence or willful misconduct by the Purchaser or its Affiliates and/or Nominated Contract Manufacturers and each of their respective officers, directors, agents, employees in connection with the implementation of this Agreement; (d) violation of any applicable law by Purchaser or any of its Affiliates and/or Nominated Contract Manufacturers and each of their respective officers, directors, agents, employees; (e) any bodily injury, illness or death of any person caused or alleged to be caused by the use, distribution or sale of the Finished Product containing the Active Material supplied by TAPI under this Agreement; and (f) any actual or alleged infringement (whether direct, contributory or induced) or violation of any patent, trade secret or proprietary rights of any Third Party, arising out of Purchaser's or its Affiliates and each of their respective officers, directors, agents and employees manufacturing, importing, registering, storing, distributing, marketing or selling the Active Material and/or Finished Product containing the Active Material supplied by TAPI under this Agreement. It is hereby clarified that Purchaser will not be liable to indemnify TAPI for any third party claims if related to Active Material not supplied to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2"/>
        <w:gridCol w:w="9863"/>
      </w:tblGrid>
      <w:tr>
        <w:trPr/>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98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and without derogating from the limitations of TAPI's liabilities as set forth in this Agreement, TAPI shall defend, indemnify and hold harmless the Purchaser, its Affiliates and each of their respective officers, directors, agents, employees and shareholders (collectively, “</w:t>
            </w:r>
            <w:r>
              <w:rPr>
                <w:rFonts w:ascii="Times New Roman;Times;serif" w:hAnsi="Times New Roman;Times;serif"/>
                <w:b/>
                <w:caps w:val="false"/>
                <w:smallCaps w:val="false"/>
                <w:sz w:val="20"/>
              </w:rPr>
              <w:t>Purchaser Indemnitees</w:t>
            </w:r>
            <w:r>
              <w:rPr>
                <w:rFonts w:ascii="Times New Roman;Times;serif" w:hAnsi="Times New Roman;Times;serif"/>
                <w:caps w:val="false"/>
                <w:smallCaps w:val="false"/>
                <w:sz w:val="20"/>
              </w:rPr>
              <w:t>”) from and against any and all damages, loss or expense suffered by Purchaser arising from claims by third parties in connection with or resulting from gross negligence or willful misconduct by TAPI or any of its Affiliates and each of their respective officers, directors, agents, employees in connection with the implementation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9190" w:type="dxa"/>
        <w:jc w:val="left"/>
        <w:tblInd w:w="0" w:type="dxa"/>
        <w:tblLayout w:type="fixed"/>
        <w:tblCellMar>
          <w:top w:w="0" w:type="dxa"/>
          <w:left w:w="0" w:type="dxa"/>
          <w:bottom w:w="0" w:type="dxa"/>
          <w:right w:w="0" w:type="dxa"/>
        </w:tblCellMar>
      </w:tblPr>
      <w:tblGrid>
        <w:gridCol w:w="60"/>
        <w:gridCol w:w="320"/>
        <w:gridCol w:w="881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Purchaser and TAPI (“</w:t>
            </w:r>
            <w:r>
              <w:rPr>
                <w:rFonts w:ascii="Times New Roman;Times;serif" w:hAnsi="Times New Roman;Times;serif"/>
                <w:b/>
                <w:caps w:val="false"/>
                <w:smallCaps w:val="false"/>
                <w:sz w:val="20"/>
              </w:rPr>
              <w:t>the Indemnitee</w:t>
            </w:r>
            <w:r>
              <w:rPr>
                <w:rFonts w:ascii="Times New Roman;Times;serif" w:hAnsi="Times New Roman;Times;serif"/>
                <w:caps w:val="false"/>
                <w:smallCaps w:val="false"/>
                <w:sz w:val="20"/>
              </w:rPr>
              <w:t>”) undertakes in favor of the other of them (“</w:t>
            </w:r>
            <w:r>
              <w:rPr>
                <w:rFonts w:ascii="Times New Roman;Times;serif" w:hAnsi="Times New Roman;Times;serif"/>
                <w:b/>
                <w:caps w:val="false"/>
                <w:smallCaps w:val="false"/>
                <w:sz w:val="20"/>
              </w:rPr>
              <w:t>the Indemnifier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2"/>
        <w:gridCol w:w="9678"/>
      </w:tblGrid>
      <w:tr>
        <w:trPr/>
        <w:tc>
          <w:tcPr>
            <w:tcW w:w="75" w:type="dxa"/>
            <w:tcBorders/>
            <w:vAlign w:val="center"/>
          </w:tcPr>
          <w:p>
            <w:pPr>
              <w:pStyle w:val="TableContents"/>
              <w:bidi w:val="0"/>
              <w:spacing w:before="0" w:after="283"/>
              <w:jc w:val="both"/>
              <w:rPr/>
            </w:pPr>
            <w:r>
              <w:rPr/>
              <w:t> </w:t>
            </w:r>
          </w:p>
        </w:tc>
        <w:tc>
          <w:tcPr>
            <w:tcW w:w="4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8.3.1.</w:t>
            </w:r>
          </w:p>
        </w:tc>
        <w:tc>
          <w:tcPr>
            <w:tcW w:w="96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promptly notify the Indemnifier of the bringing or threat of any claim or legal proceeding against the Indemnitee and for which the Indemnitee seeks to be indemnified by the Indemnifier;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3"/>
        <w:gridCol w:w="9697"/>
      </w:tblGrid>
      <w:tr>
        <w:trPr/>
        <w:tc>
          <w:tcPr>
            <w:tcW w:w="75" w:type="dxa"/>
            <w:tcBorders/>
            <w:vAlign w:val="center"/>
          </w:tcPr>
          <w:p>
            <w:pPr>
              <w:pStyle w:val="TableContents"/>
              <w:bidi w:val="0"/>
              <w:spacing w:before="0" w:after="283"/>
              <w:jc w:val="both"/>
              <w:rPr/>
            </w:pPr>
            <w:r>
              <w:rPr/>
              <w:t> </w:t>
            </w:r>
          </w:p>
        </w:tc>
        <w:tc>
          <w:tcPr>
            <w:tcW w:w="4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8.3.2.</w:t>
            </w:r>
          </w:p>
        </w:tc>
        <w:tc>
          <w:tcPr>
            <w:tcW w:w="96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such reasonable assistance as the Indemnifier may request, at the Indemnifier’s expense, concerning the conduct of such claim, or the defence of such proceeding and at the Indemnifier’s request to permit the Indemnifier to assume and control the defence of such claim; provided that the Indemnitee may participate in and monitor such defence with counsel of its own choosing at its own expense. If the Indemnifier does not assume the defence of the claim, then the Indemnitee may defend the claim, but will have no obligation to do so.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6"/>
        <w:gridCol w:w="9684"/>
      </w:tblGrid>
      <w:tr>
        <w:trPr/>
        <w:tc>
          <w:tcPr>
            <w:tcW w:w="75" w:type="dxa"/>
            <w:tcBorders/>
            <w:vAlign w:val="center"/>
          </w:tcPr>
          <w:p>
            <w:pPr>
              <w:pStyle w:val="TableContents"/>
              <w:bidi w:val="0"/>
              <w:spacing w:before="0" w:after="283"/>
              <w:jc w:val="both"/>
              <w:rPr/>
            </w:pPr>
            <w:r>
              <w:rPr/>
              <w:t> </w:t>
            </w:r>
          </w:p>
        </w:tc>
        <w:tc>
          <w:tcPr>
            <w:tcW w:w="4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8.3.3.</w:t>
            </w:r>
          </w:p>
        </w:tc>
        <w:tc>
          <w:tcPr>
            <w:tcW w:w="96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to make, without the Indemnifier’s express written authorization, any admission of liability to a claimant or plaintiff or his or her legal representative or insurer in respect of such claim or such proceedings or threatened proceedings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3"/>
        <w:gridCol w:w="9677"/>
      </w:tblGrid>
      <w:tr>
        <w:trPr/>
        <w:tc>
          <w:tcPr>
            <w:tcW w:w="75" w:type="dxa"/>
            <w:tcBorders/>
            <w:vAlign w:val="center"/>
          </w:tcPr>
          <w:p>
            <w:pPr>
              <w:pStyle w:val="TableContents"/>
              <w:bidi w:val="0"/>
              <w:spacing w:before="0" w:after="283"/>
              <w:jc w:val="both"/>
              <w:rPr/>
            </w:pPr>
            <w:r>
              <w:rPr/>
              <w:t> </w:t>
            </w:r>
          </w:p>
        </w:tc>
        <w:tc>
          <w:tcPr>
            <w:tcW w:w="4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8.3.4.</w:t>
            </w:r>
          </w:p>
        </w:tc>
        <w:tc>
          <w:tcPr>
            <w:tcW w:w="96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to make, without the Indemnifier’s express written authorization, any settlement or compromise of such claim or threatened claim or such proceedings or threatened proceedings.</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320"/>
        <w:gridCol w:w="878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c>
          <w:tcPr>
            <w:tcW w:w="8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provisions of this Section 8 shall survive the expiration or termination of this Agreement for any reason.</w:t>
            </w:r>
          </w:p>
        </w:tc>
      </w:tr>
    </w:tbl>
    <w:p>
      <w:pPr>
        <w:pStyle w:val="TextBody"/>
        <w:bidi w:val="0"/>
        <w:spacing w:before="0" w:after="0"/>
        <w:ind w:left="0" w:right="0" w:hanging="0"/>
        <w:jc w:val="both"/>
        <w:rPr>
          <w:caps w:val="false"/>
          <w:smallCaps w:val="false"/>
        </w:rPr>
      </w:pPr>
      <w:r>
        <w:rPr>
          <w:caps w:val="false"/>
          <w:smallCaps w:val="false"/>
        </w:rPr>
        <w:t> </w:t>
      </w:r>
    </w:p>
    <w:tbl>
      <w:tblPr>
        <w:tblW w:w="835" w:type="dxa"/>
        <w:jc w:val="left"/>
        <w:tblInd w:w="0" w:type="dxa"/>
        <w:tblLayout w:type="fixed"/>
        <w:tblCellMar>
          <w:top w:w="0" w:type="dxa"/>
          <w:left w:w="0" w:type="dxa"/>
          <w:bottom w:w="0" w:type="dxa"/>
          <w:right w:w="0" w:type="dxa"/>
        </w:tblCellMar>
      </w:tblPr>
      <w:tblGrid>
        <w:gridCol w:w="60"/>
        <w:gridCol w:w="170"/>
        <w:gridCol w:w="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60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80" w:right="0" w:hanging="0"/>
        <w:jc w:val="both"/>
        <w:rPr>
          <w:rFonts w:ascii="Times New Roman" w:hAnsi="Times New Roman"/>
          <w:caps w:val="false"/>
          <w:smallCaps w:val="false"/>
          <w:sz w:val="20"/>
        </w:rPr>
      </w:pPr>
      <w:r>
        <w:rPr>
          <w:rFonts w:ascii="Times New Roman" w:hAnsi="Times New Roman"/>
          <w:caps w:val="false"/>
          <w:smallCaps w:val="false"/>
          <w:sz w:val="20"/>
        </w:rPr>
        <w:t>This Agreement shall commence on the Effective Date and shall remain in force for a term of ten (10) years after Launch Date (the “</w:t>
      </w:r>
      <w:r>
        <w:rPr>
          <w:rFonts w:ascii="Times New Roman" w:hAnsi="Times New Roman"/>
          <w:b/>
          <w:caps w:val="false"/>
          <w:smallCaps w:val="false"/>
          <w:sz w:val="20"/>
        </w:rPr>
        <w:t>Initial Term</w:t>
      </w:r>
      <w:r>
        <w:rPr>
          <w:rFonts w:ascii="Times New Roman" w:hAnsi="Times New Roman"/>
          <w:caps w:val="false"/>
          <w:smallCaps w:val="false"/>
          <w:sz w:val="20"/>
        </w:rPr>
        <w:t>”), unless earlier terminated in accordance with this Agreement. In addition, after the expiration of the Initial Term, this Agreement will automatically renew for consecutive two (2) year terms (each, a “</w:t>
      </w:r>
      <w:r>
        <w:rPr>
          <w:rFonts w:ascii="Times New Roman" w:hAnsi="Times New Roman"/>
          <w:b/>
          <w:caps w:val="false"/>
          <w:smallCaps w:val="false"/>
          <w:sz w:val="20"/>
        </w:rPr>
        <w:t>Renewal Period</w:t>
      </w:r>
      <w:r>
        <w:rPr>
          <w:rFonts w:ascii="Times New Roman" w:hAnsi="Times New Roman"/>
          <w:caps w:val="false"/>
          <w:smallCaps w:val="false"/>
          <w:sz w:val="20"/>
        </w:rPr>
        <w:t>”) unless either of the Parties terminates this Agreement at the end of the applicable Initial Term or any applicable Renewal Period by providing the other Party with written notice at least twelve (12) months prior to the end of the applicable Initial Term or Renewal Period. The Initial Term and all Renewal Periods shall be collectively referred to herein as the “</w:t>
      </w:r>
      <w:r>
        <w:rPr>
          <w:rFonts w:ascii="Times New Roman" w:hAnsi="Times New Roman"/>
          <w:b/>
          <w:caps w:val="false"/>
          <w:smallCaps w:val="false"/>
          <w:sz w:val="20"/>
        </w:rPr>
        <w:t>Term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275"/>
        <w:gridCol w:w="27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76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BREACH AND TERMINATION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2"/>
        <w:gridCol w:w="9733"/>
      </w:tblGrid>
      <w:tr>
        <w:trPr/>
        <w:tc>
          <w:tcPr>
            <w:tcW w:w="6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Either of TAPI or Purchaser may terminate this Agreement prior to its expiration at any time by sending a written notification to the other Party in the event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7"/>
        <w:gridCol w:w="9583"/>
      </w:tblGrid>
      <w:tr>
        <w:trPr/>
        <w:tc>
          <w:tcPr>
            <w:tcW w:w="75" w:type="dxa"/>
            <w:tcBorders/>
            <w:vAlign w:val="center"/>
          </w:tcPr>
          <w:p>
            <w:pPr>
              <w:pStyle w:val="TableContents"/>
              <w:bidi w:val="0"/>
              <w:spacing w:before="0" w:after="283"/>
              <w:jc w:val="both"/>
              <w:rPr/>
            </w:pPr>
            <w:r>
              <w:rPr/>
              <w:t> </w:t>
            </w:r>
          </w:p>
        </w:tc>
        <w:tc>
          <w:tcPr>
            <w:tcW w:w="5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95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other Party fails to perform any material obligation hereunder or the other Party materially violates any representation or warranty made herein and such failure or violation continues unremedied for a period of thirty (30) days following written notice by the terminating Party;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6"/>
        <w:gridCol w:w="9584"/>
      </w:tblGrid>
      <w:tr>
        <w:trPr/>
        <w:tc>
          <w:tcPr>
            <w:tcW w:w="75" w:type="dxa"/>
            <w:tcBorders/>
            <w:vAlign w:val="center"/>
          </w:tcPr>
          <w:p>
            <w:pPr>
              <w:pStyle w:val="TableContents"/>
              <w:bidi w:val="0"/>
              <w:spacing w:before="0" w:after="283"/>
              <w:jc w:val="both"/>
              <w:rPr/>
            </w:pPr>
            <w:r>
              <w:rPr/>
              <w:t> </w:t>
            </w:r>
          </w:p>
        </w:tc>
        <w:tc>
          <w:tcPr>
            <w:tcW w:w="5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95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other party admits to being or is declared insolvent or voluntary or involuntary proceedings are instituted by or against it in bankruptcy, or receivership, or for a winding-up or for the dissolution or re-organization of its assets, and such proceedings are not dismissed within sixty (60) days;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35"/>
        <w:gridCol w:w="9595"/>
      </w:tblGrid>
      <w:tr>
        <w:trPr/>
        <w:tc>
          <w:tcPr>
            <w:tcW w:w="75"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9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either Party is of the good faith opinion (supported by an opinion of an independent patent counsel) that the supply of the Active Material or sales of the Finished Product, as the case may be, would result in a significant risk of damages for infringement of Third Party patent or other intellectual property rights, and that Party, and its Affiliates, fully ceases to manufacture, sell, offer for sale or import the Active Material or any and all Finished Product incorporating the Active Material (as applicable) in the Territory, that Party shall have the right to terminate this Agreement. Any cessation by TAPI of manufacture or supply of Active Material for reasons set forth in this Section and any cessation by Purchaser of providing Forecasts or Purchase Orders or purchasing Active Material hereunder for reasons set forth in this Section shall not be deemed a breach of this Agreement and/or failure to supply as per Section 3 above.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7"/>
        <w:gridCol w:w="9748"/>
      </w:tblGrid>
      <w:tr>
        <w:trPr/>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7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the foregoing termination rights, if TAPI and its Affiliates discontinue all manufacturing of the Active Material, TAPI may terminate this Agreement upon [***] prior written notice to Purchaser if more than [***] otherwise remain before expiration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6"/>
        <w:gridCol w:w="9749"/>
      </w:tblGrid>
      <w:tr>
        <w:trPr/>
        <w:tc>
          <w:tcPr>
            <w:tcW w:w="6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7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agreed otherwise between the Parties, Purchaser will be required to purchase, and TAPI shall be required to supply the Active Material in respect of which Purchase Orders have been placed and confirmed prior to expiration or termination of the Agreement, but not yet supplied on the date of termination.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4"/>
        <w:gridCol w:w="9751"/>
      </w:tblGrid>
      <w:tr>
        <w:trPr/>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Upon termination of this Agreement, all rights and obligations will cease to exist except as stated in section 10.3 and for (a) the payment of unpaid invoices due, (b) the confidentiality and Indemnification rights and obligations of the Parties, which shall survive the expiration or termination of this Agreement for a period of ten (10) years..</w:t>
            </w:r>
          </w:p>
        </w:tc>
      </w:tr>
    </w:tbl>
    <w:p>
      <w:pPr>
        <w:pStyle w:val="TextBody"/>
        <w:bidi w:val="0"/>
        <w:spacing w:before="0" w:after="0"/>
        <w:ind w:left="158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275"/>
        <w:gridCol w:w="18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186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CONFIDENTIALITY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4"/>
        <w:gridCol w:w="9761"/>
      </w:tblGrid>
      <w:tr>
        <w:trPr/>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97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carrying out the terms of this Agreement it may be necessary, from time to time, for a Party, its Affiliates and/or its Nominated Contract Manufacturers to disclose (the “</w:t>
            </w:r>
            <w:r>
              <w:rPr>
                <w:rFonts w:ascii="Times New Roman;Times;serif" w:hAnsi="Times New Roman;Times;serif"/>
                <w:b/>
                <w:caps w:val="false"/>
                <w:smallCaps w:val="false"/>
                <w:sz w:val="20"/>
              </w:rPr>
              <w:t>Disclosing Party</w:t>
            </w:r>
            <w:r>
              <w:rPr>
                <w:rFonts w:ascii="Times New Roman;Times;serif" w:hAnsi="Times New Roman;Times;serif"/>
                <w:caps w:val="false"/>
                <w:smallCaps w:val="false"/>
                <w:sz w:val="20"/>
              </w:rPr>
              <w:t>”) to the other Party its Affiliates and/or its Nominated Contract Manufacturers (the “</w:t>
            </w:r>
            <w:r>
              <w:rPr>
                <w:rFonts w:ascii="Times New Roman;Times;serif" w:hAnsi="Times New Roman;Times;serif"/>
                <w:b/>
                <w:caps w:val="false"/>
                <w:smallCaps w:val="false"/>
                <w:sz w:val="20"/>
              </w:rPr>
              <w:t>Recipient</w:t>
            </w:r>
            <w:r>
              <w:rPr>
                <w:rFonts w:ascii="Times New Roman;Times;serif" w:hAnsi="Times New Roman;Times;serif"/>
                <w:caps w:val="false"/>
                <w:smallCaps w:val="false"/>
                <w:sz w:val="20"/>
              </w:rPr>
              <w:t>”) certain information which is considered by the Disclosing Party to be proprietary and of confidential nature (the “</w:t>
            </w:r>
            <w:r>
              <w:rPr>
                <w:rFonts w:ascii="Times New Roman;Times;serif" w:hAnsi="Times New Roman;Times;serif"/>
                <w:b/>
                <w:caps w:val="false"/>
                <w:smallCaps w:val="false"/>
                <w:sz w:val="20"/>
              </w:rPr>
              <w:t>Confidential Information</w:t>
            </w:r>
            <w:r>
              <w:rPr>
                <w:rFonts w:ascii="Times New Roman;Times;serif" w:hAnsi="Times New Roman;Times;serif"/>
                <w:caps w:val="false"/>
                <w:smallCaps w:val="false"/>
                <w:sz w:val="20"/>
              </w:rPr>
              <w:t>”). Confidential Information shall include but shall not be limited to, any and all information, know-how and data, technical or non-technical, concerning any finished drug product or active pharmaceutical ingredient, its manufacture, marketing and sale, plans, processes, compositions, formulations, specifications, samples, systems, techniques, analyses, production and quality control data, testing data, marketing and financial data, and such other information or data relating to any finished drug product or active pharmaceutical ingredient, whether disclosed in written, oral, visual, graphic, electronic, or other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2"/>
        <w:gridCol w:w="9763"/>
      </w:tblGrid>
      <w:tr>
        <w:trPr/>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97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Recipient of any Confidential Information shall not use it for any purpose other than for the purposes of fulfilling its obligations or exercising its rights under this Agreement (including, with respect to Purchaser, for the purposes of obtaining and maintaining Marketing Authorizations and developing, manufacturing and commercializing Finished Product). The Recipient shall disclose Confidential Information only to those of its officers, directors, employees, contractors, advisors and Affiliates and Nominated Contract Manufacturers (and such Affiliates' and/or Nominated Contract Manufacturers’ officers, directors, employees, contractors and advisors) requiring knowledge thereof in connection with their duties directly related to the implementation of or exercise of rights under this Agreement, and said officers, directors, employees, contractors, advisors and Affiliates (and such Affiliates' and Nominated Contract Manufacturers’ officers, directors, employees and advisors) shall be required to hold the information in confidence pursuant to obligations of confidentiality at least as stringent as this Agreement. The Recipient agrees that it will exercise the same degree of care and protection to preserve the proprietary and confidential nature of the Confidential Information disclosed by the Disclosing Party, as Recipient would exercise to preserve its own proprietary and confidential information, and in any case no less than a reasonable degree of care. Confidential Information shall not be deemed to include: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7"/>
        <w:gridCol w:w="9573"/>
      </w:tblGrid>
      <w:tr>
        <w:trPr/>
        <w:tc>
          <w:tcPr>
            <w:tcW w:w="75" w:type="dxa"/>
            <w:tcBorders/>
            <w:vAlign w:val="center"/>
          </w:tcPr>
          <w:p>
            <w:pPr>
              <w:pStyle w:val="TableContents"/>
              <w:bidi w:val="0"/>
              <w:spacing w:before="0" w:after="283"/>
              <w:jc w:val="both"/>
              <w:rPr/>
            </w:pPr>
            <w:r>
              <w:rPr/>
              <w:t> </w:t>
            </w:r>
          </w:p>
        </w:tc>
        <w:tc>
          <w:tcPr>
            <w:tcW w:w="5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11.2.1.</w:t>
            </w:r>
          </w:p>
        </w:tc>
        <w:tc>
          <w:tcPr>
            <w:tcW w:w="95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in the public domain or which was known to or in the possession of the Recipient (as evidenced by way of documentation) prior to the disclosure by the Disclosing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6"/>
        <w:gridCol w:w="9574"/>
      </w:tblGrid>
      <w:tr>
        <w:trPr/>
        <w:tc>
          <w:tcPr>
            <w:tcW w:w="75" w:type="dxa"/>
            <w:tcBorders/>
            <w:vAlign w:val="center"/>
          </w:tcPr>
          <w:p>
            <w:pPr>
              <w:pStyle w:val="TableContents"/>
              <w:bidi w:val="0"/>
              <w:spacing w:before="0" w:after="283"/>
              <w:jc w:val="both"/>
              <w:rPr/>
            </w:pPr>
            <w:r>
              <w:rPr/>
              <w:t> </w:t>
            </w:r>
          </w:p>
        </w:tc>
        <w:tc>
          <w:tcPr>
            <w:tcW w:w="5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11.2.2.</w:t>
            </w:r>
          </w:p>
        </w:tc>
        <w:tc>
          <w:tcPr>
            <w:tcW w:w="957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which is independently developed by Recipient or its Affiliates without use of or reference to Confidential Information and which can be evidenced by way of documentation;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9"/>
        <w:gridCol w:w="9581"/>
      </w:tblGrid>
      <w:tr>
        <w:trPr/>
        <w:tc>
          <w:tcPr>
            <w:tcW w:w="75" w:type="dxa"/>
            <w:tcBorders/>
            <w:vAlign w:val="center"/>
          </w:tcPr>
          <w:p>
            <w:pPr>
              <w:pStyle w:val="TableContents"/>
              <w:bidi w:val="0"/>
              <w:spacing w:before="0" w:after="283"/>
              <w:jc w:val="both"/>
              <w:rPr/>
            </w:pPr>
            <w:r>
              <w:rPr/>
              <w:t> </w:t>
            </w:r>
          </w:p>
        </w:tc>
        <w:tc>
          <w:tcPr>
            <w:tcW w:w="5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11.2.3.</w:t>
            </w:r>
          </w:p>
        </w:tc>
        <w:tc>
          <w:tcPr>
            <w:tcW w:w="95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that becomes available to Recipient on a non-confidential basis, whether directly or indirectly, from a source other than a Party, which source, to the best of Recipient’s knowledge, did not acquire this information on a confidential basis.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3"/>
        <w:gridCol w:w="9762"/>
      </w:tblGrid>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97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Recipient is requested or required by law, regulation, or other applicable judicial or governmental order (“Law”) to disclose any Confidential Information, the Recipient will provide, to the extent permitted by such Law, the Disclosing Party with immediate written notice of such requirement or obligation (together with a copy of any relevant court order) to enable the Disclosing Party to seek appropriate protective relief and/or to take steps to resist or narrow the scope of any required disclosure. The Recipient will cooperate with the Disclosing Party with respect to such matters and will in any event disclose only such Confidential Information that it is legally compelled to disclose and will ensure that all such Confidential Information so disclosed is accorded confidential treatment in terms of this Agreement. The Recipient will notify the Disclosing Party in writing of the means, content and timing of such disclosure prior to such disclosure being made. If prior notification is precluded by law or regulation or where enforcement action by the applicable authority precludes prior notification, the Recipient will notify the Disclosing Party as soon as reasonably practicable. Any mandatory disclosure hereunder will be limited to the extent necessary by the legal requirement.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1"/>
        <w:gridCol w:w="9754"/>
      </w:tblGrid>
      <w:tr>
        <w:trPr/>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97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Upon expiration or earlier termination of this Agreement, the Recipient of any Confidential Information shall, as the Disclosing Party may direct in writing, either destroy or return to the Disclosing Party all Confidential Information disclosed together with all copies thereof, provided, however, the Recipient may retain one archival copy thereof for the purpose of determining any continuing obligations of confidentiality.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7"/>
        <w:gridCol w:w="9728"/>
      </w:tblGrid>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97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provisions relating to confidentiality in this section shall remain in effect following termination of this Agreement for a period of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4"/>
        <w:gridCol w:w="9751"/>
      </w:tblGrid>
      <w:tr>
        <w:trPr/>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11.6.</w:t>
            </w:r>
          </w:p>
        </w:tc>
        <w:tc>
          <w:tcPr>
            <w:tcW w:w="97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publicity, press releases and other announcements relating to this Agreement or the transactions contemplated hereby shall be reviewed in advance by, and shall be subject to the written approval of, both Parties. Each Party responding to a request for such approval shall respond to the requesting Party in writing within five (5) days of such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7"/>
        <w:gridCol w:w="9758"/>
      </w:tblGrid>
      <w:tr>
        <w:trPr/>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c>
          <w:tcPr>
            <w:tcW w:w="97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any other rights and remedies the Disclosing Party may have, the Recipient acknowledges and agrees that damages alone may not be an adequate remedy for any breach of the provisions of this Section 11 by the Recipient or its Affiliates and accordingly, the Recipient agrees that the Disclosing Party may be entitled, in addition to all legal remedies, without proof of special damage, to seek the remedies of injunction, specific performance and other equitable relief that may be available against a threatened or continuing breach, with the requirement of the placement of a bond waived by the Recipient.</w:t>
            </w:r>
          </w:p>
        </w:tc>
      </w:tr>
    </w:tbl>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275"/>
        <w:gridCol w:w="44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44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GOVERNING LAW AND DISPUTE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60" w:right="0" w:hanging="0"/>
        <w:jc w:val="both"/>
        <w:rPr>
          <w:rFonts w:ascii="Times New Roman" w:hAnsi="Times New Roman"/>
          <w:caps w:val="false"/>
          <w:smallCaps w:val="false"/>
          <w:sz w:val="20"/>
        </w:rPr>
      </w:pPr>
      <w:r>
        <w:rPr>
          <w:rFonts w:ascii="Times New Roman" w:hAnsi="Times New Roman"/>
          <w:caps w:val="false"/>
          <w:smallCaps w:val="false"/>
          <w:sz w:val="20"/>
        </w:rPr>
        <w:t>This Agreement and any dispute to be determined in terms hereof, is construed, governed and ruled by the laws of the State of New York, the United States, without regard to the conflicts of law principles thereof. All disputes, controversies and claims arising out of or in connection with this Agreement, including the validity, breach or termination hereof, shall be finally settled by arbitration administered by the American Arbitration Association (AAA) in accordance with its Commercial Arbitration Rules ("Rules") in force on the date when the Notice of Arbitration is submitted in accordance with such Rules. The seat of the arbitration shall be in New York, New York, the United States. The arbitral proceedings shall be conducted in English by a single arbitrator. Notwithstanding the foregoing, in the event of an actual or threatened breach of this Agreement or in the event of potential irreparable harm, the aggrieved Party may, without waiving any remedy under this Agreement, seek provisional equitable relief (including restraining orders, specific performance, or other injunctive relief) from any court having jurisdiction over the Parties and the subject matter of the issue, without first submitting to arbitration hereunder. In addition, any claim for injunction, specific performance or other equitable relief pursuant to Section 11.7 shall not be subject to arbitration and, instead, the aggrieved Party may initiate litigation in any court of competent jurisdiction.</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275"/>
        <w:gridCol w:w="17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17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FORCE MAJEURE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04"/>
        <w:gridCol w:w="9741"/>
      </w:tblGrid>
      <w:tr>
        <w:trPr/>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13.1.</w:t>
            </w:r>
          </w:p>
        </w:tc>
        <w:tc>
          <w:tcPr>
            <w:tcW w:w="97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Force Majeure</w:t>
            </w:r>
            <w:r>
              <w:rPr>
                <w:rFonts w:ascii="Times New Roman;Times;serif" w:hAnsi="Times New Roman;Times;serif"/>
                <w:caps w:val="false"/>
                <w:smallCaps w:val="false"/>
                <w:sz w:val="20"/>
              </w:rPr>
              <w:t>" shall mean any event beyond the reasonable control of TAPI or Purchaser, as the case may be and shall include the following to the extent beyond the reasonable control of the affected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13.1.1.</w:t>
            </w:r>
          </w:p>
        </w:tc>
        <w:tc>
          <w:tcPr>
            <w:tcW w:w="95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Pandemic, epidemic, war, strike, lockout, import restriction, port closure, lack of usual means of public transportation and communication, earthquake, landslide, volcanic activity, fire, flood or inundation, tidal wave, typhoon or cyclone, hurricane, lightning or other natural or physical disaster either at the TAPI's Facility or along the transportation route that deems the site and shipment of Active Material inoperable.</w:t>
            </w:r>
          </w:p>
        </w:tc>
      </w:tr>
    </w:tbl>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575"/>
        <w:gridCol w:w="8555"/>
      </w:tblGrid>
      <w:tr>
        <w:trPr/>
        <w:tc>
          <w:tcPr>
            <w:tcW w:w="75" w:type="dxa"/>
            <w:tcBorders/>
            <w:vAlign w:val="center"/>
          </w:tcPr>
          <w:p>
            <w:pPr>
              <w:pStyle w:val="TableContents"/>
              <w:bidi w:val="0"/>
              <w:spacing w:before="0" w:after="283"/>
              <w:jc w:val="both"/>
              <w:rPr/>
            </w:pPr>
            <w:r>
              <w:rPr/>
              <w:t> </w:t>
            </w:r>
          </w:p>
        </w:tc>
        <w:tc>
          <w:tcPr>
            <w:tcW w:w="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13.1.2.</w:t>
            </w:r>
          </w:p>
        </w:tc>
        <w:tc>
          <w:tcPr>
            <w:tcW w:w="8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Shortage of labor, materials or utilities where caused by circumstances that are themselves Force Majeure.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9"/>
        <w:gridCol w:w="9746"/>
      </w:tblGrid>
      <w:tr>
        <w:trPr/>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w:t>
            </w:r>
          </w:p>
        </w:tc>
        <w:tc>
          <w:tcPr>
            <w:tcW w:w="97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Except for the obligation of a Party to make payments to the other pursuant to this Agreement (that will not be deferred or extended for any reason), neither Party shall be liable for any non-performance or delay in performance due to any event of Force Majeure.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03"/>
        <w:gridCol w:w="9742"/>
      </w:tblGrid>
      <w:tr>
        <w:trPr/>
        <w:tc>
          <w:tcPr>
            <w:tcW w:w="6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13.3.</w:t>
            </w:r>
          </w:p>
        </w:tc>
        <w:tc>
          <w:tcPr>
            <w:tcW w:w="97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either Party being so hindered or prevented, such Party shall give notice of suspension as soon as reasonably possible to the other Party stating the date and extent of such suspension and the cause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94"/>
        <w:gridCol w:w="9751"/>
      </w:tblGrid>
      <w:tr>
        <w:trPr/>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c>
          <w:tcPr>
            <w:tcW w:w="97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Party whose obligations have been suspended as aforesaid shall nevertheless make every endeavor to carry out its obligations under this Agreement, even if in a partial or compromised manner, and shall resume the performance of such obligations as soon as commercially reasonable after the removal of the cause and shall so notify the other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00"/>
        <w:gridCol w:w="9745"/>
      </w:tblGrid>
      <w:tr>
        <w:trPr/>
        <w:tc>
          <w:tcPr>
            <w:tcW w:w="6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c>
          <w:tcPr>
            <w:tcW w:w="9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such cause continues for more than [***] either Party may terminate this Agreement on [***] written notice to the other Party, and in such event neither Party shall have any claim against the other arising from such termination.</w:t>
            </w:r>
          </w:p>
        </w:tc>
      </w:tr>
    </w:tbl>
    <w:p>
      <w:pPr>
        <w:pStyle w:val="TextBody"/>
        <w:bidi w:val="0"/>
        <w:spacing w:before="0" w:after="0"/>
        <w:ind w:left="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275"/>
        <w:gridCol w:w="44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44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COMPLIANCE WITH TRADE SANCTIONS LAWS</w:t>
            </w:r>
          </w:p>
        </w:tc>
      </w:tr>
    </w:tbl>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60"/>
        <w:gridCol w:w="425"/>
        <w:gridCol w:w="99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80" w:right="0" w:hanging="0"/>
        <w:jc w:val="both"/>
        <w:rPr>
          <w:caps w:val="false"/>
          <w:smallCaps w:val="false"/>
        </w:rPr>
      </w:pPr>
      <w:r>
        <w:rPr>
          <w:caps w:val="false"/>
          <w:smallCaps w:val="false"/>
        </w:rPr>
        <w:t>“</w:t>
      </w:r>
      <w:r>
        <w:rPr>
          <w:rFonts w:ascii="Times New Roman" w:hAnsi="Times New Roman"/>
          <w:caps w:val="false"/>
          <w:smallCaps w:val="false"/>
          <w:sz w:val="20"/>
        </w:rPr>
        <w:t>Trade Sanction Laws” shall mean all customs, export and import control, economic sanctions, embargo, anti-boycott or similar laws and regulations of any country or intergovernmental or supranational organization including but not limited to the United Nations, the United States of America, Israel, the United Kingdom, Canada and the European Union that are applicable to the performance of activities under this Agreement. In the event of a conflict between TAPI’s obligations herein and any applicable Trade Sanction Laws, the applicable Trade Sanction Laws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80" w:right="0" w:hanging="0"/>
        <w:jc w:val="both"/>
        <w:rPr>
          <w:caps w:val="false"/>
          <w:smallCaps w:val="false"/>
        </w:rPr>
      </w:pPr>
      <w:r>
        <w:rPr>
          <w:caps w:val="false"/>
          <w:smallCaps w:val="false"/>
        </w:rPr>
        <w:t>“</w:t>
      </w:r>
      <w:r>
        <w:rPr>
          <w:rFonts w:ascii="Times New Roman" w:hAnsi="Times New Roman"/>
          <w:caps w:val="false"/>
          <w:smallCaps w:val="false"/>
          <w:sz w:val="20"/>
        </w:rPr>
        <w:t>Sanctioned Country” or "Sanctioned Countries" shall mean any country or territory subject to comprehensive territorial sanctions regimes including but not limited to those administered by the United States of America, Israel, the United Kingdom, Canada and the European Union (at present, applicable for Iran, Syria, Lebanon, North Korea, Cuba, the Crimea region and Sevastopol, the Donetsk, the Luhansk, the Kherson and the Zaporizhzhia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80" w:right="0" w:hanging="0"/>
        <w:jc w:val="both"/>
        <w:rPr>
          <w:caps w:val="false"/>
          <w:smallCaps w:val="false"/>
        </w:rPr>
      </w:pPr>
      <w:r>
        <w:rPr>
          <w:caps w:val="false"/>
          <w:smallCaps w:val="false"/>
        </w:rPr>
        <w:t>“</w:t>
      </w:r>
      <w:r>
        <w:rPr>
          <w:rFonts w:ascii="Times New Roman" w:hAnsi="Times New Roman"/>
          <w:caps w:val="false"/>
          <w:smallCaps w:val="false"/>
          <w:sz w:val="20"/>
        </w:rPr>
        <w:t>Sanctioned Governments” shall mean any government, including its agencies and instrumentalities, that are targeted by sanctions regimes including but not limited to those administered by the United States of America, Israel, the United Kingdom, Canada and the European Union (at present, applicable to the government of Venezuela in addition to the governments of Sanctioned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80" w:right="0" w:hanging="0"/>
        <w:jc w:val="both"/>
        <w:rPr>
          <w:rFonts w:ascii="Times New Roman" w:hAnsi="Times New Roman"/>
          <w:caps w:val="false"/>
          <w:smallCaps w:val="false"/>
          <w:sz w:val="20"/>
        </w:rPr>
      </w:pPr>
      <w:r>
        <w:rPr>
          <w:rFonts w:ascii="Times New Roman" w:hAnsi="Times New Roman"/>
          <w:caps w:val="false"/>
          <w:smallCaps w:val="false"/>
          <w:sz w:val="20"/>
        </w:rPr>
        <w:t>"Restricted Party Lists" shall mean lists of designated parties created and maintained in line with Trade Sanction Laws by any country or intergovernmental or supranational organization including but not limited to the United Nations, the United States of America, Israel, the United Kingdom, Canada and the European Union.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02"/>
        <w:gridCol w:w="9743"/>
      </w:tblGrid>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c>
          <w:tcPr>
            <w:tcW w:w="97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represents and warrants that Purchaser, any subsidiary Affiliate of Purchaser, or any of its sub-distributors or agents of the Finished Products that contain the Active Materials provided by TAPI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does not engage in any transactions or dealings which are related to the Finished Products, whether directly or indirectly through third parties, with (i) Sanctioned Governments; (ii) individuals or entities designated on the Restricted Party Lists; or (iii) entities owned (at 50% or more) or controlled, directly or indirectly, individually or in the aggregate by Sanctioned Governments or by individuals or entities designated on the Restricted Party Lists;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are not (i) Sanctioned Governments; (ii) individuals or entities designated on Restricted Party Lists; and/or (iii) owned (at 50% or more) or controlled, directly or indirectly, individually or in the aggregate by Sanctioned Governments or by individuals or entities designated on Restricted Party Lists; or (iv) otherwise targeted by applicable Trade Sanction Laws. Purchaser shall immediately notify TAPI if Purchaser, any subsidiary or Affiliate of Purchaser or, any of its sub-distributors or agents of the Finished Products that contain the Active Materials provided by TAPI under this Agreement (x) becomes designated on any Restricted Party Lists, or (y) becomes owned (at 50% or more) or controlled, directly or indirectly, individually or in the aggregate by Sanctioned Governments or by individuals or entities designated on Restricted Party Lists, or (z) if Purchaser, any Affiliate of Purchaser or any of its sub-distributors or agents of the Finished Products (containing the Active Materials provided by TAPI), has its export privileges otherwise denied, suspended or revoked in whole or in part by any government entity or agency;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specifically authorized by TAPI under this Agreement and in compliance with applicable Trade Sanction Laws, will not (directly or indirectly through third parties or third countries) sell, export, re-export, re-transfer, or divert Finished Products that contain Active Materials provided by TAPI under this Agreement (including samples and also including finished or semi-finished goods manufactured by using Active Materials provided by TAPI under this Agreement as raw materials), directly or indirectly through third parties or otherwise, to any individual or entity designated on Restricted Party Lists or located in or a resident of any Sanctioned Country or to any Sanctioned Governments (irrespective of the location of delivery).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0"/>
        <w:gridCol w:w="973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14.3.</w:t>
            </w:r>
          </w:p>
        </w:tc>
        <w:tc>
          <w:tcPr>
            <w:tcW w:w="97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TAPI represents and warrants that TAPI, any subsidiary of TAPI or, or any subcontractor to whom TAPI subcontracts or delegates any of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does not engage in any transactions or dealings which are related to the Active Materials, whether directly or indirectly through third parties, with (i) Sanctioned Governments; (ii) individuals or entities designated on the Restricted Party Lists; or (iii) entities owned (at 50% or more) or controlled, directly or indirectly, individually or in the aggregate by Sanctioned Governments or by individuals or entities designated on the Restricted Party Lists;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are not (i) Sanctioned Governments; (ii) individuals or entities designated on Restricted Party Lists; and/or (iii) owned (at 50% or more) or controlled, directly or indirectly, individually or in the aggregate by Sanctioned Governments or by individuals or entities designated on Restricted Party Lists; or (iv) otherwise targeted by applicable Trade Sanction Laws. TAPI shall immediately notify Purchaser if TAPI, any subsidiary of TAPI or, any subcontractor to whom TAPI subcontracts or delegates any of its obligations under this Agreement (i) becomes designated on any Restricted Party Lists, or (ii) becomes owned (at 50% or more) or controlled, directly or indirectly, individually or in the aggregate by Sanctioned Governments or by individuals or entities designated on Restricted Party Lists, or (iii) has its export privileges otherwise denied, suspended or revoked in whole or in part by any government entity or agency.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5"/>
        <w:gridCol w:w="9760"/>
      </w:tblGrid>
      <w:tr>
        <w:trPr/>
        <w:tc>
          <w:tcPr>
            <w:tcW w:w="6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c>
          <w:tcPr>
            <w:tcW w:w="9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term of this Agreement and within [***] after its expiration or termination, TAPI shall have the right to perform a review of Purchaser’s relevant records for compliance with all applicable Trade Sanction Laws and with the terms of this Section 14 in connection with this Agreement. To enable such review, TAPI shall be given reasonable access, upon giving at least a 15 (fifteen) calendar day notice, to Purchaser’s facilities, records and/or personnel related to, or otherwise involved with, the Purchaser’s performance of activities under this Agreement. As part of such review, (a) in the event TAPI is the reviewing Party, TAPI shall have the right to receive information about the [***]. Such information may be provided to the reviewing Party electronically or through other remote means, including electronic mail or telephone and video conferences.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8"/>
        <w:gridCol w:w="9747"/>
      </w:tblGrid>
      <w:tr>
        <w:trPr/>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14.5.</w:t>
            </w:r>
          </w:p>
        </w:tc>
        <w:tc>
          <w:tcPr>
            <w:tcW w:w="97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Neither TAPI nor Purchaser shall use any banks or other financial institutions (including payment processors) that are designated on Restricted Party Lists or otherwise targeted by applicable Trade Sanction Laws as part of any transaction contemplated by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6"/>
        <w:gridCol w:w="9759"/>
      </w:tblGrid>
      <w:tr>
        <w:trPr/>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c>
          <w:tcPr>
            <w:tcW w:w="97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any other provision of this Agreement, TAPI and Purchaser agree to comply fully with all applicable Trade Sanction Laws in the performance of this Agreement and the parties will not cause each other to be in violation of applicable Trade Sanction Laws. Neither TAPI nor Purchaser shall be required to take, or to refrain from taking, any action or obligation under this Agreement, where to do so would be inconsistent with or potentially violate or incur a penalty under applicable Trade Sanction Laws. Moreover, it shall be at the sole discretion of TAPI to refrain from being directly or indirectly involved in the provision of Finished Products that may be prohibited by applicable Trade Sanction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6"/>
        <w:gridCol w:w="9759"/>
      </w:tblGrid>
      <w:tr>
        <w:trPr/>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14.7.</w:t>
            </w:r>
          </w:p>
        </w:tc>
        <w:tc>
          <w:tcPr>
            <w:tcW w:w="97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in connection with this Agreement, Purchaser breaches its obligations under any of the provisions of this Section 14, becomes designated or otherwise sanctioned under applicable Trade Sanction Laws, or admits to a violation or is determined by a governmental authority to have violated applicable Trade Sanction Laws, then TAPI shall be entitled to immediately terminate this Agreement upon written notice to Purchaser. Purchaser shall indemnify and hold harmless TAPI from and against the judicial and financial consequences which may be suffered by TAPI as a result of a breach of the contractual obligations under this Section 14. The obligations under this Section 14.7 shall survive the expiration or termination of the Agreement for any reason whatsoever.</w:t>
            </w:r>
          </w:p>
        </w:tc>
      </w:tr>
    </w:tbl>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275"/>
        <w:gridCol w:w="22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22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GENERAL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2"/>
        <w:gridCol w:w="9763"/>
      </w:tblGrid>
      <w:tr>
        <w:trPr/>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c>
          <w:tcPr>
            <w:tcW w:w="97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Non-assignability</w:t>
            </w:r>
            <w:r>
              <w:rPr>
                <w:rFonts w:ascii="Times New Roman;Times;serif" w:hAnsi="Times New Roman;Times;serif"/>
                <w:caps w:val="false"/>
                <w:smallCaps w:val="false"/>
                <w:sz w:val="20"/>
              </w:rPr>
              <w:t>: This Agreement may not be assigned in whole or in part by either of the Parties hereto without the prior written consent of the non-assigning Party. Such consent (except to a successor in interest) may be conditioned upon the agreement of the assigning Party to remain primarily liable for performance of all obligations of the assignee. Notwithstanding the above, each Party (a) may assign this Agreement, together with all of its rights and obligations, without such consent to a successor in interest in connection with the transfer or sale of all or substantially all of its business or assets to which this Agreement relates, or in the event of its merger or consolidation, reorganization or similar transaction; and (b) shall be entitled to assign, delegate, and/or subcontract its rights and obligations under this Agreement, in whole or in part, to one or more of its Affiliates on prior written notice to the other Party, provided that with respect to any assignment, delegation or subcontract to an Affiliate, the assigning Party shall remain responsible for the performance by such Affiliate of the rights and obligations hereunder. TAPI shall also be entitled to assign, at any time, to any person or entity, any rights to receivables payable by the Purchaser in connection with this Agreement, or any agreement or order incorporating this Agreement to the extent Purchaser’s rights and TAPI’s obligations under this Agreement or any such agreement or order, as applicable, are not diminished or affected in any respect, and the Purchaser gives its irrevocable consent to such assignment. Any assignment in violation of this Section 15.1 shall be null and void.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8"/>
        <w:gridCol w:w="9757"/>
      </w:tblGrid>
      <w:tr>
        <w:trPr/>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15.2.</w:t>
            </w:r>
          </w:p>
        </w:tc>
        <w:tc>
          <w:tcPr>
            <w:tcW w:w="97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Power and representation</w:t>
            </w:r>
            <w:r>
              <w:rPr>
                <w:rFonts w:ascii="Times New Roman;Times;serif" w:hAnsi="Times New Roman;Times;serif"/>
                <w:caps w:val="false"/>
                <w:smallCaps w:val="false"/>
                <w:sz w:val="20"/>
              </w:rPr>
              <w:t>: Each Party has full power and authority to execute, deliver and perform this Agreement and to incur the obligations provided herein under their respective laws. The entering into of this Agreement has been duly authorized by all proper and necessary action, corporate or otherwise, of each of the Parties. No consent or approval of shareholders or of any other person, other than those which have been obtained by each Party and remain in effect, is required as a condition to the validity, implementation or enforceability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3"/>
        <w:gridCol w:w="9752"/>
      </w:tblGrid>
      <w:tr>
        <w:trPr/>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15.3.</w:t>
            </w:r>
          </w:p>
        </w:tc>
        <w:tc>
          <w:tcPr>
            <w:tcW w:w="97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intellectual property rights</w:t>
            </w:r>
            <w:r>
              <w:rPr>
                <w:rFonts w:ascii="Times New Roman;Times;serif" w:hAnsi="Times New Roman;Times;serif"/>
                <w:caps w:val="false"/>
                <w:smallCaps w:val="false"/>
                <w:sz w:val="20"/>
              </w:rPr>
              <w:t>: Nothing in this Agreement shall be deemed to give either Party any right, title, license or other interest in or to any trade name, trade mark, patent, copyright, design, packaging, set-up or other intellectual property right of the other of them or any of its Affiliates retaining such right at the date of signature of this Agreement or at any time thereafter.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5"/>
        <w:gridCol w:w="9750"/>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15.4.</w:t>
            </w:r>
          </w:p>
        </w:tc>
        <w:tc>
          <w:tcPr>
            <w:tcW w:w="9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UN Convention</w:t>
            </w:r>
            <w:r>
              <w:rPr>
                <w:rFonts w:ascii="Times New Roman;Times;serif" w:hAnsi="Times New Roman;Times;serif"/>
                <w:caps w:val="false"/>
                <w:smallCaps w:val="false"/>
                <w:sz w:val="20"/>
              </w:rPr>
              <w:t>: To the extent that it may otherwise be applicable, the Parties hereby expressly agree to exclude from the operation of this Agreement, the United Nations Convention on Contracts for the International Sale of Goods, concluded at Vienna, on 11 April 1980, as amended and as may be amended further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6"/>
        <w:gridCol w:w="9749"/>
      </w:tblGrid>
      <w:tr>
        <w:trPr/>
        <w:tc>
          <w:tcPr>
            <w:tcW w:w="6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15.5.</w:t>
            </w:r>
          </w:p>
        </w:tc>
        <w:tc>
          <w:tcPr>
            <w:tcW w:w="97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Entire Agreement</w:t>
            </w:r>
            <w:r>
              <w:rPr>
                <w:rFonts w:ascii="Times New Roman;Times;serif" w:hAnsi="Times New Roman;Times;serif"/>
                <w:caps w:val="false"/>
                <w:smallCaps w:val="false"/>
                <w:sz w:val="20"/>
              </w:rPr>
              <w:t>: This Agreement constitutes the entire understanding between the Parties with regard to the subject matter hereof, and supersedes all prior written and oral understandings and agreements. This Agreement may be amended only by a written instrument duly signed by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4"/>
        <w:gridCol w:w="9761"/>
      </w:tblGrid>
      <w:tr>
        <w:trPr/>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15.6.</w:t>
            </w:r>
          </w:p>
        </w:tc>
        <w:tc>
          <w:tcPr>
            <w:tcW w:w="97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Insurance</w:t>
            </w:r>
            <w:r>
              <w:rPr>
                <w:rFonts w:ascii="Times New Roman;Times;serif" w:hAnsi="Times New Roman;Times;serif"/>
                <w:caps w:val="false"/>
                <w:smallCaps w:val="false"/>
                <w:sz w:val="20"/>
              </w:rPr>
              <w:t>: Both Parties shall at their individual expense (and TAPI either through the purchase of commercial insurance or through a program of self-insurance, or a combination of both), maintain in full force and effect during the term of this Agreement, the following minimum required insurance coverage: [***]. Subject to the foregoing, this minimum required insurance coverage shall be kept in full force at all times during the entire Term. If any required insurance is written on a claims made basis, the policy holder/named insured shall ensure continuity of coverage for any claims arising after the policy expiry date. Both Parties agree to provide at least 60 days prior written notice to the other before any material change, non-renewal or cancellation of insurance. Failure to maintain minimum required insurance may be deemed a breach of this Agreement. Upon request, both Parties will provide to the other evidence of required insurance, and with respect to each Party’s product liability insurance, the other Party shall be listed as “additional insured”.</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insurance policies shall contain an explicit clause declaring that the policy is primary, preliminary and non-contributory to any other insurance maintained by the other party, and the insurance company shall waive any claim or demand as to participation in any such other insurance policy under which the other company is covered, and will not participate as a co-insurer in any cases of loss or damage.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9"/>
        <w:gridCol w:w="9756"/>
      </w:tblGrid>
      <w:tr>
        <w:trPr/>
        <w:tc>
          <w:tcPr>
            <w:tcW w:w="6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15.7.</w:t>
            </w:r>
          </w:p>
        </w:tc>
        <w:tc>
          <w:tcPr>
            <w:tcW w:w="97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Conflict with other documents</w:t>
            </w:r>
            <w:r>
              <w:rPr>
                <w:rFonts w:ascii="Times New Roman;Times;serif" w:hAnsi="Times New Roman;Times;serif"/>
                <w:caps w:val="false"/>
                <w:smallCaps w:val="false"/>
                <w:sz w:val="20"/>
              </w:rPr>
              <w:t>: In the event of any conflict between the terms and conditions of this Agreement and the terms and conditions set forth in any standard or other purchase order documentation or any document evidencing acceptance thereof or setting out terms of delivery and/or payment, the terms and conditions of this Agreement shall prevail unless such other document records expressly state that it prevails over this Agreement and is signed by duly authorized representatives of both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0"/>
        <w:gridCol w:w="9755"/>
      </w:tblGrid>
      <w:tr>
        <w:trPr/>
        <w:tc>
          <w:tcPr>
            <w:tcW w:w="6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15.8.</w:t>
            </w:r>
          </w:p>
        </w:tc>
        <w:tc>
          <w:tcPr>
            <w:tcW w:w="97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Agency</w:t>
            </w:r>
            <w:r>
              <w:rPr>
                <w:rFonts w:ascii="Times New Roman;Times;serif" w:hAnsi="Times New Roman;Times;serif"/>
                <w:caps w:val="false"/>
                <w:smallCaps w:val="false"/>
                <w:sz w:val="20"/>
              </w:rPr>
              <w:t>: TAPI and Purchaser will act at all times as independent parties. This Agreement does not make one Party an agent or legal representative of the other Party for any purpose whatsoever. Neither Party is granted any right or authority to assume or to create any obligation or responsibility, express or implied, on behalf of or in the name of the other Party, with regard to any manner or thing whatsoever, unless otherwise specifically agreed upon in writing.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99"/>
        <w:gridCol w:w="9746"/>
      </w:tblGrid>
      <w:tr>
        <w:trPr/>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15.9.</w:t>
            </w:r>
          </w:p>
        </w:tc>
        <w:tc>
          <w:tcPr>
            <w:tcW w:w="97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Either Party's failure to terminate or seek redress for a breach of, or to insist upon strict performance of any term, covenant, condition or provision contained in this Agreement will not prevent a similar subsequent act from constituting a breach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96"/>
        <w:gridCol w:w="9649"/>
      </w:tblGrid>
      <w:tr>
        <w:trPr/>
        <w:tc>
          <w:tcPr>
            <w:tcW w:w="60"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15.10.</w:t>
            </w:r>
          </w:p>
        </w:tc>
        <w:tc>
          <w:tcPr>
            <w:tcW w:w="96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any portion of this Agreement is determined to be illegal or otherwise unenforceable by an arbitrator, by a court of competent jurisdiction or by an administrative agency of competent jurisdiction, that section, to the extent permitted by law, shall be treated as deleted from this Agreement and the remaining portions of this Agreement will continue to be in full force and effect according to the terms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92"/>
        <w:gridCol w:w="9653"/>
      </w:tblGrid>
      <w:tr>
        <w:trPr/>
        <w:tc>
          <w:tcPr>
            <w:tcW w:w="6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15.11.</w:t>
            </w:r>
          </w:p>
        </w:tc>
        <w:tc>
          <w:tcPr>
            <w:tcW w:w="96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Agreement may be executed in one or more counterparts, each of which shall constitute an original and all of which, when taken together, shall constitute one agreement. Counterparts may be delivered via electronic mail, including Adobe™ Portable Document Format (PDF) or any electronic signature complying with the U.S. Federal ESIGN Act of 2000 or similar law or regulation outside the U.S., and any counterpart so delivered will be deemed to be original signatures, will be valid and binding upon the Parties, and, upon delivery, will constitute due execution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8"/>
        <w:gridCol w:w="9657"/>
      </w:tblGrid>
      <w:tr>
        <w:trPr/>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15.12.</w:t>
            </w:r>
          </w:p>
        </w:tc>
        <w:tc>
          <w:tcPr>
            <w:tcW w:w="96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Either Party will have the right to perform any or all of its obligations and exercise any or all of its rights under this Agreement through any of its Affiliates. Each Party hereby guarantees the performance by its Affiliates of such Party’s obligations under this Agreement, and will cause its Affiliates to comply with the provisions of this Agreement in connection with such performance. Notwithstanding the foregoing, TAPI shall not allow any Third Party to Manufacture any Active Materials unless such Third Party is designated in the applicable drug master file and/or TAPI has disclosed in writing to Purchaser TAPI’s use of any Third Party and in what capacity such Third Party is used. If TAPI engages any Third Party to perform any or part of the Manufacturing of Active Material that is supplied to Purchaser, TAPI shall assure that such Third Party has been fully qualified via TAPI’s third party qualification process prior to performing such activity(ies). TAPI shall, however, retain all obligations under this Agreement whether or not a Third Party Manufactures Active Materials. TAPI hereby guarantees the performance by any such Third Party of TAPI’s obligations under this Agreement, and will cause such Third Party to comply with the provisions of this Agreement in connection with such performance.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99"/>
        <w:gridCol w:w="9646"/>
      </w:tblGrid>
      <w:tr>
        <w:trPr/>
        <w:tc>
          <w:tcPr>
            <w:tcW w:w="6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15.13.</w:t>
            </w:r>
          </w:p>
        </w:tc>
        <w:tc>
          <w:tcPr>
            <w:tcW w:w="96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 is hereby acknowledged that the manufacturer of the Active Material (provided such manufacturer is an Affiliate of TAPI) is intended to be a third party beneficiary hereunder such that all representations and covenants of Purchaser and its Affiliates contained in this Agreement shall also inure to the benefit of such manufacturer of Active Material.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92"/>
        <w:gridCol w:w="9653"/>
      </w:tblGrid>
      <w:tr>
        <w:trPr/>
        <w:tc>
          <w:tcPr>
            <w:tcW w:w="6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15.14.</w:t>
            </w:r>
          </w:p>
        </w:tc>
        <w:tc>
          <w:tcPr>
            <w:tcW w:w="96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Data Privacy</w:t>
            </w:r>
            <w:r>
              <w:rPr>
                <w:rFonts w:ascii="Times New Roman;Times;serif" w:hAnsi="Times New Roman;Times;serif"/>
                <w:caps w:val="false"/>
                <w:smallCaps w:val="false"/>
                <w:sz w:val="20"/>
              </w:rPr>
              <w:t xml:space="preserve">: The administration of this Agreement may include the collection of personal information by either Party, such as the name and contact details of the other party and its personnel, representatives and contractors. This personal information may be used for managing the provision and receipt of the Active Material's under this Agreement. Both Parties will comply with data protection laws applicable to such collection and use of the data. For more information on how TAPI processes personal data in general, please visit </w:t>
            </w:r>
            <w:r>
              <w:rPr>
                <w:rFonts w:ascii="Times New Roman;Times;serif" w:hAnsi="Times New Roman;Times;serif"/>
                <w:caps w:val="false"/>
                <w:smallCaps w:val="false"/>
                <w:sz w:val="20"/>
                <w:u w:val="single"/>
              </w:rPr>
              <w:t>https://www.tevapharm.com/our-company/corporate-governance/data-privacy/</w:t>
            </w:r>
            <w:r>
              <w:rPr>
                <w:rFonts w:ascii="Times New Roman;Times;serif" w:hAnsi="Times New Roman;Times;serif"/>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(if any) that either Party processes, receives or provides Personal Data (as defined in applicable data protection legislation) in the course of performing this Agreement, the Parties agree that they will comply applicable data protection laws, and each party shall be responsible for providing, obtaining and maintaining any notices, consents or approvals necessary to make such Personal Data available to the other Party for processing and use. Should either Party deem that an additional data processing agreement is necessary, the Parties shall discuss and conclude such agreement in good faith.</w:t>
            </w:r>
          </w:p>
        </w:tc>
      </w:tr>
    </w:tbl>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275"/>
        <w:gridCol w:w="8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w:t>
            </w:r>
          </w:p>
        </w:tc>
        <w:tc>
          <w:tcPr>
            <w:tcW w:w="8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80" w:right="0" w:hanging="0"/>
        <w:jc w:val="both"/>
        <w:rPr>
          <w:rFonts w:ascii="Times New Roman" w:hAnsi="Times New Roman"/>
          <w:caps w:val="false"/>
          <w:smallCaps w:val="false"/>
          <w:sz w:val="20"/>
        </w:rPr>
      </w:pPr>
      <w:r>
        <w:rPr>
          <w:rFonts w:ascii="Times New Roman" w:hAnsi="Times New Roman"/>
          <w:caps w:val="false"/>
          <w:smallCaps w:val="false"/>
          <w:sz w:val="20"/>
        </w:rPr>
        <w:t>Any payment’s notice, or other written communication required or permitted to be made or given hereunder may be made or given by either Party by facsimile; by first-class mail, postage prepaid; or by courier to the mailing address or facsimile numbers set as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80" w:right="0" w:hanging="0"/>
        <w:jc w:val="both"/>
        <w:rPr>
          <w:rFonts w:ascii="Times New Roman" w:hAnsi="Times New Roman"/>
          <w:caps w:val="false"/>
          <w:smallCaps w:val="false"/>
          <w:sz w:val="20"/>
        </w:rPr>
      </w:pPr>
      <w:r>
        <w:rPr>
          <w:rFonts w:ascii="Times New Roman" w:hAnsi="Times New Roman"/>
          <w:caps w:val="false"/>
          <w:smallCaps w:val="false"/>
          <w:sz w:val="20"/>
        </w:rPr>
        <w:t>If to TAPI:</w:t>
      </w:r>
    </w:p>
    <w:tbl>
      <w:tblPr>
        <w:tblW w:w="4385" w:type="dxa"/>
        <w:jc w:val="left"/>
        <w:tblInd w:w="0" w:type="dxa"/>
        <w:tblLayout w:type="fixed"/>
        <w:tblCellMar>
          <w:top w:w="0" w:type="dxa"/>
          <w:left w:w="0" w:type="dxa"/>
          <w:bottom w:w="0" w:type="dxa"/>
          <w:right w:w="0" w:type="dxa"/>
        </w:tblCellMar>
      </w:tblPr>
      <w:tblGrid>
        <w:gridCol w:w="60"/>
        <w:gridCol w:w="4265"/>
        <w:gridCol w:w="60"/>
      </w:tblGrid>
      <w:tr>
        <w:trPr/>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mailing address set in the heading of this Agreement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attention of: [***]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60" w:right="0" w:hanging="0"/>
        <w:jc w:val="both"/>
        <w:rPr>
          <w:rFonts w:ascii="Times New Roman" w:hAnsi="Times New Roman"/>
          <w:caps w:val="false"/>
          <w:smallCaps w:val="false"/>
          <w:sz w:val="20"/>
        </w:rPr>
      </w:pPr>
      <w:r>
        <w:rPr>
          <w:rFonts w:ascii="Times New Roman" w:hAnsi="Times New Roman"/>
          <w:caps w:val="false"/>
          <w:smallCaps w:val="false"/>
          <w:sz w:val="20"/>
        </w:rPr>
        <w:t>If to Purchaser:</w:t>
      </w:r>
    </w:p>
    <w:tbl>
      <w:tblPr>
        <w:tblW w:w="7580" w:type="dxa"/>
        <w:jc w:val="left"/>
        <w:tblInd w:w="0" w:type="dxa"/>
        <w:tblLayout w:type="fixed"/>
        <w:tblCellMar>
          <w:top w:w="0" w:type="dxa"/>
          <w:left w:w="0" w:type="dxa"/>
          <w:bottom w:w="0" w:type="dxa"/>
          <w:right w:w="0" w:type="dxa"/>
        </w:tblCellMar>
      </w:tblPr>
      <w:tblGrid>
        <w:gridCol w:w="60"/>
        <w:gridCol w:w="7460"/>
        <w:gridCol w:w="60"/>
      </w:tblGrid>
      <w:tr>
        <w:trPr/>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mailing address set in the heading of this Agreement to the attention of UroGen Pharma Ltd.</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80" w:right="0" w:hanging="0"/>
        <w:jc w:val="both"/>
        <w:rPr>
          <w:rFonts w:ascii="Times New Roman" w:hAnsi="Times New Roman"/>
          <w:caps w:val="false"/>
          <w:smallCaps w:val="false"/>
          <w:sz w:val="20"/>
        </w:rPr>
      </w:pPr>
      <w:r>
        <w:rPr>
          <w:rFonts w:ascii="Times New Roman" w:hAnsi="Times New Roman"/>
          <w:caps w:val="false"/>
          <w:smallCaps w:val="false"/>
          <w:sz w:val="20"/>
        </w:rPr>
        <w:t>or to such other addresses or emails a Party shall designate by notice, similarly given, to the other Party. Notices or written communications shall be deemed to have been sufficiently made or given: (i) if mailed, five (5) business days after being dispatched by mail, postage prepaid; (ii) if by internationally recognized air courier, two (2) business days after delivery to the air courier company; or (iii) if by email, upon receiving a read receipt confirming that the email was opened. An additional copy of all notices issued by a Party to the other relating to breach, validity, or termination of this Agreement shall be sent, in the case of notices by TAPI to Purchaser - to e-mail [***] in the case of notices by Purchaser, to TAPI’s Legal Department, at 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undersigned authorized representatives of the respective Parties hereto have entered into and executed this Agreement as of the date set forth above in the heading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15" w:type="dxa"/>
        <w:tblLayout w:type="fixed"/>
        <w:tblCellMar>
          <w:top w:w="28" w:type="dxa"/>
          <w:left w:w="28" w:type="dxa"/>
          <w:bottom w:w="0" w:type="dxa"/>
          <w:right w:w="28" w:type="dxa"/>
        </w:tblCellMar>
      </w:tblPr>
      <w:tblGrid>
        <w:gridCol w:w="5090"/>
        <w:gridCol w:w="4055"/>
      </w:tblGrid>
      <w:tr>
        <w:trPr/>
        <w:tc>
          <w:tcPr>
            <w:tcW w:w="5090" w:type="dxa"/>
            <w:tcBorders>
              <w:top w:val="single" w:sz="12" w:space="0" w:color="000000"/>
              <w:left w:val="single" w:sz="12" w:space="0" w:color="000000"/>
              <w:right w:val="single" w:sz="1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TAPI NL B.V.</w:t>
            </w:r>
          </w:p>
        </w:tc>
        <w:tc>
          <w:tcPr>
            <w:tcW w:w="4055" w:type="dxa"/>
            <w:tcBorders>
              <w:top w:val="single" w:sz="12" w:space="0" w:color="000000"/>
              <w:right w:val="single" w:sz="12" w:space="0" w:color="000000"/>
            </w:tcBorders>
            <w:shd w:fill="E6E6E6"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UroGen Pharma Ltd.</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signature:</w:t>
            </w:r>
            <w:r>
              <w:rPr>
                <w:rFonts w:ascii="Times New Roman" w:hAnsi="Times New Roman"/>
                <w:caps w:val="false"/>
                <w:smallCaps w:val="false"/>
                <w:sz w:val="20"/>
              </w:rPr>
              <w:t>     </w:t>
            </w:r>
            <w:r>
              <w:rPr>
                <w:rFonts w:ascii="Times New Roman" w:hAnsi="Times New Roman"/>
                <w:caps w:val="false"/>
                <w:smallCaps w:val="false"/>
                <w:sz w:val="20"/>
                <w:u w:val="single"/>
              </w:rPr>
              <w:t>              </w:t>
            </w:r>
            <w:r>
              <w:rPr>
                <w:rFonts w:ascii="Times New Roman" w:hAnsi="Times New Roman"/>
                <w:i/>
                <w:caps w:val="false"/>
                <w:smallCaps w:val="false"/>
                <w:sz w:val="20"/>
                <w:u w:val="single"/>
              </w:rPr>
              <w:t xml:space="preserve">/s/ </w:t>
            </w:r>
            <w:r>
              <w:rPr>
                <w:rFonts w:ascii="Times New Roman" w:hAnsi="Times New Roman"/>
                <w:caps w:val="false"/>
                <w:smallCaps w:val="false"/>
                <w:sz w:val="20"/>
              </w:rPr>
              <w:t>[***]</w:t>
            </w:r>
            <w:r>
              <w:rPr>
                <w:rFonts w:ascii="Times New Roman" w:hAnsi="Times New Roman"/>
                <w:caps w:val="false"/>
                <w:smallCaps w:val="false"/>
                <w:sz w:val="20"/>
                <w:u w:val="single"/>
              </w:rPr>
              <w:t>                                  </w:t>
            </w:r>
          </w:p>
        </w:tc>
        <w:tc>
          <w:tcPr>
            <w:tcW w:w="4055" w:type="dxa"/>
            <w:tcBorders>
              <w:right w:val="single" w:sz="1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signature:</w:t>
            </w:r>
            <w:r>
              <w:rPr>
                <w:rFonts w:ascii="Times New Roman" w:hAnsi="Times New Roman"/>
                <w:caps w:val="false"/>
                <w:smallCaps w:val="false"/>
                <w:sz w:val="20"/>
              </w:rPr>
              <w:t>     </w:t>
            </w:r>
            <w:r>
              <w:rPr>
                <w:rFonts w:ascii="Times New Roman" w:hAnsi="Times New Roman"/>
                <w:caps w:val="false"/>
                <w:smallCaps w:val="false"/>
                <w:sz w:val="20"/>
                <w:u w:val="single"/>
              </w:rPr>
              <w:t>                 </w:t>
            </w:r>
            <w:r>
              <w:rPr>
                <w:rFonts w:ascii="Times New Roman" w:hAnsi="Times New Roman"/>
                <w:i/>
                <w:caps w:val="false"/>
                <w:smallCaps w:val="false"/>
                <w:sz w:val="20"/>
                <w:u w:val="single"/>
              </w:rPr>
              <w:t xml:space="preserve">/s/ </w:t>
            </w:r>
            <w:r>
              <w:rPr>
                <w:rFonts w:ascii="Times New Roman" w:hAnsi="Times New Roman"/>
                <w:caps w:val="false"/>
                <w:smallCaps w:val="false"/>
                <w:sz w:val="20"/>
                <w:u w:val="single"/>
              </w:rPr>
              <w:t>Chris Degnan</w:t>
            </w:r>
            <w:r>
              <w:rPr>
                <w:rFonts w:ascii="Times New Roman" w:hAnsi="Times New Roman"/>
                <w:caps w:val="false"/>
                <w:smallCaps w:val="false"/>
                <w:sz w:val="20"/>
              </w:rPr>
              <w:t> </w:t>
            </w:r>
            <w:r>
              <w:rPr>
                <w:rFonts w:ascii="Times New Roman" w:hAnsi="Times New Roman"/>
                <w:caps w:val="false"/>
                <w:smallCaps w:val="false"/>
                <w:sz w:val="20"/>
                <w:u w:val="single"/>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name:           </w:t>
            </w:r>
            <w:r>
              <w:rPr>
                <w:rFonts w:ascii="Times New Roman" w:hAnsi="Times New Roman"/>
                <w:caps w:val="false"/>
                <w:smallCaps w:val="false"/>
                <w:sz w:val="20"/>
                <w:u w:val="single"/>
              </w:rPr>
              <w:t>                   </w:t>
            </w:r>
            <w:r>
              <w:rPr>
                <w:rFonts w:ascii="Times New Roman" w:hAnsi="Times New Roman"/>
                <w:caps w:val="false"/>
                <w:smallCaps w:val="false"/>
                <w:sz w:val="20"/>
              </w:rPr>
              <w:t>[***]</w:t>
            </w:r>
            <w:r>
              <w:rPr>
                <w:rFonts w:ascii="Times New Roman" w:hAnsi="Times New Roman"/>
                <w:caps w:val="false"/>
                <w:smallCaps w:val="false"/>
                <w:sz w:val="20"/>
                <w:u w:val="single"/>
              </w:rPr>
              <w:t>                                  </w:t>
            </w:r>
          </w:p>
        </w:tc>
        <w:tc>
          <w:tcPr>
            <w:tcW w:w="4055" w:type="dxa"/>
            <w:tcBorders>
              <w:right w:val="single" w:sz="1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name:</w:t>
            </w:r>
            <w:r>
              <w:rPr>
                <w:rFonts w:ascii="Times New Roman" w:hAnsi="Times New Roman"/>
                <w:caps w:val="false"/>
                <w:smallCaps w:val="false"/>
                <w:sz w:val="20"/>
              </w:rPr>
              <w:t>           </w:t>
            </w:r>
            <w:r>
              <w:rPr>
                <w:rFonts w:ascii="Times New Roman" w:hAnsi="Times New Roman"/>
                <w:caps w:val="false"/>
                <w:smallCaps w:val="false"/>
                <w:sz w:val="20"/>
                <w:u w:val="single"/>
              </w:rPr>
              <w:t>             Chris Degnan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designation:</w:t>
            </w:r>
            <w:r>
              <w:rPr>
                <w:rFonts w:ascii="Times New Roman" w:hAnsi="Times New Roman"/>
                <w:caps w:val="false"/>
                <w:smallCaps w:val="false"/>
                <w:sz w:val="20"/>
              </w:rPr>
              <w:t>        Head of TAPI Sales EU</w:t>
            </w:r>
          </w:p>
        </w:tc>
        <w:tc>
          <w:tcPr>
            <w:tcW w:w="4055" w:type="dxa"/>
            <w:tcBorders>
              <w:right w:val="single" w:sz="1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designation:</w:t>
            </w:r>
            <w:r>
              <w:rPr>
                <w:rFonts w:ascii="Times New Roman" w:hAnsi="Times New Roman"/>
                <w:caps w:val="false"/>
                <w:smallCaps w:val="false"/>
                <w:sz w:val="20"/>
              </w:rPr>
              <w:t>          Chief Financial Officer</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Date:</w:t>
            </w:r>
            <w:r>
              <w:rPr>
                <w:rFonts w:ascii="Times New Roman" w:hAnsi="Times New Roman"/>
                <w:caps w:val="false"/>
                <w:smallCaps w:val="false"/>
                <w:sz w:val="20"/>
              </w:rPr>
              <w:t>           4/22/2026 IDT</w:t>
            </w:r>
          </w:p>
        </w:tc>
        <w:tc>
          <w:tcPr>
            <w:tcW w:w="4055" w:type="dxa"/>
            <w:tcBorders>
              <w:right w:val="single" w:sz="1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Date:</w:t>
            </w:r>
            <w:r>
              <w:rPr>
                <w:rFonts w:ascii="Times New Roman" w:hAnsi="Times New Roman"/>
                <w:caps w:val="false"/>
                <w:smallCaps w:val="false"/>
                <w:sz w:val="20"/>
              </w:rPr>
              <w:t>  </w:t>
            </w:r>
            <w:r>
              <w:rPr>
                <w:rFonts w:ascii="Times New Roman" w:hAnsi="Times New Roman"/>
                <w:caps w:val="false"/>
                <w:smallCaps w:val="false"/>
                <w:sz w:val="20"/>
                <w:u w:val="single"/>
              </w:rPr>
              <w:t>          4/21/2026 EDT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left w:w="180" w:type="dxa"/>
            </w:tcMar>
            <w:vAlign w:val="center"/>
          </w:tcPr>
          <w:p>
            <w:pPr>
              <w:pStyle w:val="TableContents"/>
              <w:bidi w:val="0"/>
              <w:spacing w:before="0" w:after="283"/>
              <w:jc w:val="left"/>
              <w:rPr/>
            </w:pPr>
            <w:r>
              <w:rPr>
                <w:i/>
              </w:rPr>
              <w:t>signature:</w:t>
            </w:r>
            <w:r>
              <w:rPr/>
              <w:t>     </w:t>
            </w:r>
            <w:r>
              <w:rPr>
                <w:u w:val="single"/>
              </w:rPr>
              <w:t>  </w:t>
            </w:r>
            <w:r>
              <w:rPr>
                <w:i/>
                <w:u w:val="single"/>
              </w:rPr>
              <w:t xml:space="preserve">/s/ </w:t>
            </w:r>
            <w:r>
              <w:rPr>
                <w:u w:val="single"/>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left w:w="180" w:type="dxa"/>
            </w:tcMar>
            <w:vAlign w:val="center"/>
          </w:tcPr>
          <w:p>
            <w:pPr>
              <w:pStyle w:val="TableContents"/>
              <w:bidi w:val="0"/>
              <w:spacing w:before="0" w:after="283"/>
              <w:jc w:val="left"/>
              <w:rPr/>
            </w:pPr>
            <w:r>
              <w:rPr>
                <w:i/>
              </w:rPr>
              <w:t>name:</w:t>
            </w:r>
            <w:r>
              <w:rPr/>
              <w:t>           </w:t>
            </w:r>
            <w:r>
              <w:rPr>
                <w:u w:val="single"/>
              </w:rPr>
              <w:t>       </w:t>
            </w:r>
            <w:r>
              <w:rPr/>
              <w:t>[***]</w:t>
            </w:r>
            <w:r>
              <w:rPr>
                <w:u w:val="single"/>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left w:w="18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left w:w="18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Sr Director Global Logistics &amp; Commercial Supply Chain</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left w:w="18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left w:w="180" w:type="dxa"/>
            </w:tcMar>
            <w:vAlign w:val="center"/>
          </w:tcPr>
          <w:p>
            <w:pPr>
              <w:pStyle w:val="TableContents"/>
              <w:bidi w:val="0"/>
              <w:spacing w:before="0" w:after="283"/>
              <w:jc w:val="left"/>
              <w:rPr/>
            </w:pPr>
            <w:r>
              <w:rPr>
                <w:i/>
              </w:rPr>
              <w:t xml:space="preserve">designation: </w:t>
            </w:r>
            <w:r>
              <w:rPr>
                <w:u w:val="single"/>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4055"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5090" w:type="dxa"/>
            <w:tcBorders>
              <w:left w:val="single" w:sz="12" w:space="0" w:color="000000"/>
              <w:bottom w:val="single" w:sz="2" w:space="0" w:color="000000"/>
              <w:right w:val="single" w:sz="12" w:space="0" w:color="000000"/>
            </w:tcBorders>
            <w:tcMar>
              <w:top w:w="0" w:type="dxa"/>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Date:</w:t>
            </w:r>
            <w:r>
              <w:rPr>
                <w:rFonts w:ascii="Times New Roman" w:hAnsi="Times New Roman"/>
                <w:caps w:val="false"/>
                <w:smallCaps w:val="false"/>
                <w:sz w:val="20"/>
              </w:rPr>
              <w:t>   </w:t>
            </w:r>
            <w:r>
              <w:rPr>
                <w:rFonts w:ascii="Times New Roman" w:hAnsi="Times New Roman"/>
                <w:caps w:val="false"/>
                <w:smallCaps w:val="false"/>
                <w:sz w:val="20"/>
                <w:u w:val="single"/>
              </w:rPr>
              <w:t>       4/21/2026 CEST      </w:t>
            </w:r>
          </w:p>
        </w:tc>
        <w:tc>
          <w:tcPr>
            <w:tcW w:w="4055" w:type="dxa"/>
            <w:tcBorders>
              <w:bottom w:val="single" w:sz="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Approved by TAPI Legal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 April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sz w:val="20"/>
        </w:rPr>
      </w:pPr>
      <w:bookmarkStart w:id="22" w:name="ex_996115.htm"/>
      <w:bookmarkStart w:id="23" w:name="ksex_996115"/>
      <w:bookmarkEnd w:id="22"/>
      <w:bookmarkEnd w:id="23"/>
      <w:r>
        <w:rPr>
          <w:rFonts w:ascii="Arial;Helvetica;sans-serif" w:hAnsi="Arial;Helvetica;sans-serif"/>
          <w:b/>
          <w:sz w:val="20"/>
        </w:rPr>
        <w:t>Exhibit 10.4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Amendment 1</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to the License and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Medac Gesellschaft für klinische Spezialpräparate m.b.H., a company duly organised and existing under the laws of Germany, having its head office at Theaterstraße 6, 22880 Wedel, Germany, registered with the commercial register of the local court of Pinneberg under HRB 12042 PI, VAT No. DE 118579535,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 “medac”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UroGen Pharma Ltd, a company organized and existing under the laws of the State of Israel having an address at 9 HaTaassiya St., Ra’anana 4365405,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 “UroGen”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-hereinafter individually referred to as a “Party“ and collectively as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Parties executed a certain License and Supply Agreement, effective as of 16. January 2024 (the “Agreement”). The Parties desire to supplement the terms and conditions of the Agreement in order to define long-term storage activities for validation batches of the Product by medac. Unless otherwise specified, capitalized words set forth herein shall have the same meanings as defined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Parties therefore wish to alter the Agreement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w:t>
            </w:r>
          </w:p>
        </w:tc>
        <w:tc>
          <w:tcPr>
            <w:tcW w:w="996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D shall be added to the Agreement and define the storage activities as reflected in Schedule 1 attached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remaining provisions of the Agreement shall not be affected by this Amendment 1.</w:t>
      </w:r>
    </w:p>
    <w:p>
      <w:pPr>
        <w:pStyle w:val="TextBody"/>
        <w:bidi w:val="0"/>
        <w:spacing w:before="0" w:after="283"/>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Amendment 1 shall enter into force upon the latter date of signature of it (“</w:t>
      </w:r>
      <w:r>
        <w:rPr>
          <w:rFonts w:ascii="Arial;Helvetica;sans-serif" w:hAnsi="Arial;Helvetica;sans-serif"/>
          <w:b/>
          <w:caps w:val="false"/>
          <w:smallCaps w:val="false"/>
          <w:sz w:val="20"/>
        </w:rPr>
        <w:t>Effective Date</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398" w:type="dxa"/>
        <w:jc w:val="left"/>
        <w:tblInd w:w="0" w:type="dxa"/>
        <w:tblLayout w:type="fixed"/>
        <w:tblCellMar>
          <w:top w:w="0" w:type="dxa"/>
          <w:left w:w="0" w:type="dxa"/>
          <w:bottom w:w="0" w:type="dxa"/>
          <w:right w:w="0" w:type="dxa"/>
        </w:tblCellMar>
      </w:tblPr>
      <w:tblGrid>
        <w:gridCol w:w="3114"/>
        <w:gridCol w:w="3114"/>
        <w:gridCol w:w="2915"/>
        <w:gridCol w:w="255"/>
      </w:tblGrid>
      <w:tr>
        <w:trPr/>
        <w:tc>
          <w:tcPr>
            <w:tcW w:w="3114" w:type="dxa"/>
            <w:tcBorders/>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Medac Gesellschaft fur klinische </w:t>
            </w:r>
          </w:p>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Spezialpraparate m.b.H.</w:t>
            </w:r>
          </w:p>
        </w:tc>
        <w:tc>
          <w:tcPr>
            <w:tcW w:w="3114" w:type="dxa"/>
            <w:tcBorders/>
          </w:tcPr>
          <w:p>
            <w:pPr>
              <w:pStyle w:val="TableContents"/>
              <w:bidi w:val="0"/>
              <w:spacing w:before="0" w:after="283"/>
              <w:jc w:val="left"/>
              <w:rPr/>
            </w:pPr>
            <w:r>
              <w:rPr/>
              <w:t> </w:t>
            </w:r>
          </w:p>
        </w:tc>
        <w:tc>
          <w:tcPr>
            <w:tcW w:w="2915" w:type="dxa"/>
            <w:tcBorders/>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UroGen Pharma Ltd.</w:t>
            </w:r>
          </w:p>
        </w:tc>
        <w:tc>
          <w:tcPr>
            <w:tcW w:w="255" w:type="dxa"/>
            <w:tcBorders/>
          </w:tcPr>
          <w:p>
            <w:pPr>
              <w:pStyle w:val="TableContents"/>
              <w:bidi w:val="0"/>
              <w:spacing w:before="0" w:after="0"/>
              <w:ind w:left="0" w:right="0" w:hanging="0"/>
              <w:jc w:val="left"/>
              <w:rPr/>
            </w:pPr>
            <w:r>
              <w:rPr/>
              <w:t> </w:t>
            </w:r>
          </w:p>
        </w:tc>
      </w:tr>
      <w:tr>
        <w:trPr/>
        <w:tc>
          <w:tcPr>
            <w:tcW w:w="3114" w:type="dxa"/>
            <w:tcBorders/>
          </w:tcPr>
          <w:p>
            <w:pPr>
              <w:pStyle w:val="TableContents"/>
              <w:bidi w:val="0"/>
              <w:spacing w:before="0" w:after="0"/>
              <w:ind w:left="0" w:right="0" w:hanging="0"/>
              <w:jc w:val="left"/>
              <w:rPr/>
            </w:pPr>
            <w:r>
              <w:rPr/>
              <w:t> </w:t>
            </w:r>
          </w:p>
        </w:tc>
        <w:tc>
          <w:tcPr>
            <w:tcW w:w="3114" w:type="dxa"/>
            <w:tcBorders/>
          </w:tcPr>
          <w:p>
            <w:pPr>
              <w:pStyle w:val="TableContents"/>
              <w:bidi w:val="0"/>
              <w:spacing w:before="0" w:after="283"/>
              <w:jc w:val="left"/>
              <w:rPr/>
            </w:pPr>
            <w:r>
              <w:rPr/>
              <w:t> </w:t>
            </w:r>
          </w:p>
        </w:tc>
        <w:tc>
          <w:tcPr>
            <w:tcW w:w="2915" w:type="dxa"/>
            <w:tcBorders/>
          </w:tcPr>
          <w:p>
            <w:pPr>
              <w:pStyle w:val="TableContents"/>
              <w:bidi w:val="0"/>
              <w:spacing w:before="0" w:after="0"/>
              <w:ind w:left="0" w:right="0" w:hanging="0"/>
              <w:jc w:val="left"/>
              <w:rPr/>
            </w:pPr>
            <w:r>
              <w:rPr/>
              <w:t> </w:t>
            </w:r>
          </w:p>
        </w:tc>
        <w:tc>
          <w:tcPr>
            <w:tcW w:w="255" w:type="dxa"/>
            <w:tcBorders/>
          </w:tcPr>
          <w:p>
            <w:pPr>
              <w:pStyle w:val="TableContents"/>
              <w:bidi w:val="0"/>
              <w:spacing w:before="0" w:after="0"/>
              <w:ind w:left="0" w:right="0" w:hanging="0"/>
              <w:jc w:val="left"/>
              <w:rPr/>
            </w:pPr>
            <w:r>
              <w:rPr/>
              <w:t> </w:t>
            </w:r>
          </w:p>
        </w:tc>
      </w:tr>
      <w:tr>
        <w:trPr/>
        <w:tc>
          <w:tcPr>
            <w:tcW w:w="3114" w:type="dxa"/>
            <w:tcBorders/>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Wedel, Germany 15 January 2026</w:t>
            </w:r>
          </w:p>
        </w:tc>
        <w:tc>
          <w:tcPr>
            <w:tcW w:w="3114" w:type="dxa"/>
            <w:tcBorders/>
          </w:tcPr>
          <w:p>
            <w:pPr>
              <w:pStyle w:val="TableContents"/>
              <w:bidi w:val="0"/>
              <w:spacing w:before="0" w:after="283"/>
              <w:jc w:val="left"/>
              <w:rPr/>
            </w:pPr>
            <w:r>
              <w:rPr/>
              <w:t> </w:t>
            </w:r>
          </w:p>
        </w:tc>
        <w:tc>
          <w:tcPr>
            <w:tcW w:w="2915" w:type="dxa"/>
            <w:tcBorders/>
            <w:vAlign w:val="bottom"/>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Ra'anana, Israel 18 January 2026</w:t>
            </w:r>
          </w:p>
        </w:tc>
        <w:tc>
          <w:tcPr>
            <w:tcW w:w="255" w:type="dxa"/>
            <w:tcBorders/>
          </w:tcPr>
          <w:p>
            <w:pPr>
              <w:pStyle w:val="TableContents"/>
              <w:bidi w:val="0"/>
              <w:spacing w:before="0" w:after="0"/>
              <w:ind w:left="0" w:right="0" w:hanging="0"/>
              <w:jc w:val="left"/>
              <w:rPr/>
            </w:pPr>
            <w:r>
              <w:rPr/>
              <w:t> </w:t>
            </w:r>
          </w:p>
        </w:tc>
      </w:tr>
      <w:tr>
        <w:trPr/>
        <w:tc>
          <w:tcPr>
            <w:tcW w:w="3114" w:type="dxa"/>
            <w:tcBorders/>
          </w:tcPr>
          <w:p>
            <w:pPr>
              <w:pStyle w:val="TableContents"/>
              <w:bidi w:val="0"/>
              <w:spacing w:before="0" w:after="0"/>
              <w:ind w:left="0" w:right="0" w:hanging="0"/>
              <w:jc w:val="left"/>
              <w:rPr/>
            </w:pPr>
            <w:r>
              <w:rPr/>
              <w:t> </w:t>
            </w:r>
          </w:p>
        </w:tc>
        <w:tc>
          <w:tcPr>
            <w:tcW w:w="3114" w:type="dxa"/>
            <w:tcBorders/>
          </w:tcPr>
          <w:p>
            <w:pPr>
              <w:pStyle w:val="TableContents"/>
              <w:bidi w:val="0"/>
              <w:spacing w:before="0" w:after="283"/>
              <w:jc w:val="left"/>
              <w:rPr/>
            </w:pPr>
            <w:r>
              <w:rPr/>
              <w:t> </w:t>
            </w:r>
          </w:p>
        </w:tc>
        <w:tc>
          <w:tcPr>
            <w:tcW w:w="2915" w:type="dxa"/>
            <w:tcBorders/>
          </w:tcPr>
          <w:p>
            <w:pPr>
              <w:pStyle w:val="TableContents"/>
              <w:bidi w:val="0"/>
              <w:spacing w:before="0" w:after="0"/>
              <w:ind w:left="0" w:right="0" w:hanging="0"/>
              <w:jc w:val="left"/>
              <w:rPr/>
            </w:pPr>
            <w:r>
              <w:rPr/>
              <w:t> </w:t>
            </w:r>
          </w:p>
        </w:tc>
        <w:tc>
          <w:tcPr>
            <w:tcW w:w="255" w:type="dxa"/>
            <w:tcBorders/>
          </w:tcPr>
          <w:p>
            <w:pPr>
              <w:pStyle w:val="TableContents"/>
              <w:bidi w:val="0"/>
              <w:spacing w:before="0" w:after="0"/>
              <w:ind w:left="0" w:right="0" w:hanging="0"/>
              <w:jc w:val="left"/>
              <w:rPr/>
            </w:pPr>
            <w:r>
              <w:rPr/>
              <w:t> </w:t>
            </w:r>
          </w:p>
        </w:tc>
      </w:tr>
      <w:tr>
        <w:trPr/>
        <w:tc>
          <w:tcPr>
            <w:tcW w:w="3114" w:type="dxa"/>
            <w:tcBorders/>
          </w:tcPr>
          <w:p>
            <w:pPr>
              <w:pStyle w:val="TableContents"/>
              <w:bidi w:val="0"/>
              <w:spacing w:before="0" w:after="0"/>
              <w:ind w:left="0" w:right="0" w:hanging="0"/>
              <w:jc w:val="left"/>
              <w:rPr/>
            </w:pPr>
            <w:r>
              <w:rPr/>
              <w:t> </w:t>
            </w:r>
          </w:p>
        </w:tc>
        <w:tc>
          <w:tcPr>
            <w:tcW w:w="3114" w:type="dxa"/>
            <w:tcBorders/>
          </w:tcPr>
          <w:p>
            <w:pPr>
              <w:pStyle w:val="TableContents"/>
              <w:bidi w:val="0"/>
              <w:spacing w:before="0" w:after="283"/>
              <w:jc w:val="left"/>
              <w:rPr/>
            </w:pPr>
            <w:r>
              <w:rPr/>
              <w:t> </w:t>
            </w:r>
          </w:p>
        </w:tc>
        <w:tc>
          <w:tcPr>
            <w:tcW w:w="2915" w:type="dxa"/>
            <w:tcBorders/>
          </w:tcPr>
          <w:p>
            <w:pPr>
              <w:pStyle w:val="TableContents"/>
              <w:bidi w:val="0"/>
              <w:spacing w:before="0" w:after="0"/>
              <w:ind w:left="0" w:right="0" w:hanging="0"/>
              <w:jc w:val="left"/>
              <w:rPr/>
            </w:pPr>
            <w:r>
              <w:rPr/>
              <w:t> </w:t>
            </w:r>
          </w:p>
        </w:tc>
        <w:tc>
          <w:tcPr>
            <w:tcW w:w="255" w:type="dxa"/>
            <w:tcBorders/>
          </w:tcPr>
          <w:p>
            <w:pPr>
              <w:pStyle w:val="TableContents"/>
              <w:bidi w:val="0"/>
              <w:spacing w:before="0" w:after="0"/>
              <w:ind w:left="0" w:right="0" w:hanging="0"/>
              <w:jc w:val="left"/>
              <w:rPr/>
            </w:pPr>
            <w:r>
              <w:rPr/>
              <w:t> </w:t>
            </w:r>
          </w:p>
        </w:tc>
      </w:tr>
      <w:tr>
        <w:trPr/>
        <w:tc>
          <w:tcPr>
            <w:tcW w:w="3114" w:type="dxa"/>
            <w:tcBorders/>
          </w:tcPr>
          <w:p>
            <w:pPr>
              <w:pStyle w:val="TableContents"/>
              <w:bidi w:val="0"/>
              <w:spacing w:before="0" w:after="0"/>
              <w:ind w:left="0" w:right="0" w:hanging="0"/>
              <w:jc w:val="left"/>
              <w:rPr/>
            </w:pPr>
            <w:r>
              <w:rPr/>
              <w:t> </w:t>
            </w:r>
          </w:p>
        </w:tc>
        <w:tc>
          <w:tcPr>
            <w:tcW w:w="3114" w:type="dxa"/>
            <w:tcBorders/>
          </w:tcPr>
          <w:p>
            <w:pPr>
              <w:pStyle w:val="TableContents"/>
              <w:bidi w:val="0"/>
              <w:spacing w:before="0" w:after="283"/>
              <w:jc w:val="left"/>
              <w:rPr/>
            </w:pPr>
            <w:r>
              <w:rPr/>
              <w:t> </w:t>
            </w:r>
          </w:p>
        </w:tc>
        <w:tc>
          <w:tcPr>
            <w:tcW w:w="2915" w:type="dxa"/>
            <w:vMerge w:val="restart"/>
            <w:tcBorders>
              <w:bottom w:val="single" w:sz="2" w:space="0" w:color="000000"/>
            </w:tcBorders>
            <w:tcMar>
              <w:bottom w:w="28" w:type="dxa"/>
            </w:tcMar>
          </w:tcPr>
          <w:p>
            <w:pPr>
              <w:pStyle w:val="TableContents"/>
              <w:bidi w:val="0"/>
              <w:spacing w:before="0" w:after="0"/>
              <w:ind w:left="0" w:right="0" w:hanging="0"/>
              <w:jc w:val="left"/>
              <w:rPr/>
            </w:pPr>
            <w:r>
              <w:rPr/>
              <w:drawing>
                <wp:inline distT="0" distB="0" distL="0" distR="0">
                  <wp:extent cx="9429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942975" cy="457200"/>
                          </a:xfrm>
                          <a:prstGeom prst="rect">
                            <a:avLst/>
                          </a:prstGeom>
                        </pic:spPr>
                      </pic:pic>
                    </a:graphicData>
                  </a:graphic>
                </wp:inline>
              </w:drawing>
            </w:r>
          </w:p>
        </w:tc>
        <w:tc>
          <w:tcPr>
            <w:tcW w:w="255" w:type="dxa"/>
            <w:tcBorders/>
          </w:tcPr>
          <w:p>
            <w:pPr>
              <w:pStyle w:val="TableContents"/>
              <w:bidi w:val="0"/>
              <w:spacing w:before="0" w:after="0"/>
              <w:ind w:left="0" w:right="0" w:firstLine="180"/>
              <w:jc w:val="left"/>
              <w:rPr/>
            </w:pPr>
            <w:r>
              <w:rPr/>
              <w:t> </w:t>
            </w:r>
          </w:p>
        </w:tc>
      </w:tr>
      <w:tr>
        <w:trPr/>
        <w:tc>
          <w:tcPr>
            <w:tcW w:w="3114" w:type="dxa"/>
            <w:tcBorders>
              <w:bottom w:val="single" w:sz="2" w:space="0" w:color="000000"/>
            </w:tcBorders>
            <w:tcMar>
              <w:bottom w:w="28" w:type="dxa"/>
            </w:tcMa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/signed/</w:t>
            </w:r>
          </w:p>
        </w:tc>
        <w:tc>
          <w:tcPr>
            <w:tcW w:w="3114" w:type="dxa"/>
            <w:tcBorders/>
          </w:tcPr>
          <w:p>
            <w:pPr>
              <w:pStyle w:val="TableContents"/>
              <w:bidi w:val="0"/>
              <w:spacing w:before="0" w:after="283"/>
              <w:jc w:val="left"/>
              <w:rPr/>
            </w:pPr>
            <w:r>
              <w:rPr/>
              <w:t> </w:t>
            </w:r>
          </w:p>
        </w:tc>
        <w:tc>
          <w:tcPr>
            <w:tcW w:w="2915" w:type="dxa"/>
            <w:vMerge w:val="continue"/>
            <w:tcBorders>
              <w:bottom w:val="single" w:sz="2" w:space="0" w:color="000000"/>
            </w:tcBorders>
            <w:tcMar>
              <w:bottom w:w="28" w:type="dxa"/>
            </w:tcMar>
          </w:tcPr>
          <w:p>
            <w:pPr>
              <w:pStyle w:val="Normal"/>
              <w:bidi w:val="0"/>
              <w:jc w:val="left"/>
              <w:rPr/>
            </w:pPr>
            <w:r>
              <w:rPr/>
            </w:r>
          </w:p>
        </w:tc>
        <w:tc>
          <w:tcPr>
            <w:tcW w:w="255" w:type="dxa"/>
            <w:tcBorders/>
          </w:tcPr>
          <w:p>
            <w:pPr>
              <w:pStyle w:val="TableContents"/>
              <w:bidi w:val="0"/>
              <w:spacing w:before="0" w:after="283"/>
              <w:jc w:val="left"/>
              <w:rPr/>
            </w:pPr>
            <w:r>
              <w:rPr/>
              <w:t> </w:t>
            </w:r>
          </w:p>
        </w:tc>
      </w:tr>
      <w:tr>
        <w:trPr/>
        <w:tc>
          <w:tcPr>
            <w:tcW w:w="3114" w:type="dxa"/>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c>
          <w:tcPr>
            <w:tcW w:w="3114" w:type="dxa"/>
            <w:tcBorders/>
          </w:tcPr>
          <w:p>
            <w:pPr>
              <w:pStyle w:val="TableContents"/>
              <w:bidi w:val="0"/>
              <w:spacing w:before="0" w:after="283"/>
              <w:jc w:val="left"/>
              <w:rPr/>
            </w:pPr>
            <w:r>
              <w:rPr/>
              <w:t> </w:t>
            </w:r>
          </w:p>
        </w:tc>
        <w:tc>
          <w:tcPr>
            <w:tcW w:w="2915" w:type="dxa"/>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Keren Stotzky</w:t>
            </w:r>
          </w:p>
        </w:tc>
        <w:tc>
          <w:tcPr>
            <w:tcW w:w="255" w:type="dxa"/>
            <w:tcBorders/>
          </w:tcPr>
          <w:p>
            <w:pPr>
              <w:pStyle w:val="TableContents"/>
              <w:bidi w:val="0"/>
              <w:spacing w:before="0" w:after="283"/>
              <w:jc w:val="left"/>
              <w:rPr/>
            </w:pPr>
            <w:r>
              <w:rPr/>
              <w:t> </w:t>
            </w:r>
          </w:p>
        </w:tc>
      </w:tr>
      <w:tr>
        <w:trPr/>
        <w:tc>
          <w:tcPr>
            <w:tcW w:w="3114" w:type="dxa"/>
            <w:tcBorders/>
          </w:tcPr>
          <w:p>
            <w:pPr>
              <w:pStyle w:val="TableContents"/>
              <w:bidi w:val="0"/>
              <w:spacing w:before="0" w:after="283"/>
              <w:jc w:val="left"/>
              <w:rPr/>
            </w:pPr>
            <w:r>
              <w:rPr/>
              <w:t> </w:t>
            </w:r>
          </w:p>
        </w:tc>
        <w:tc>
          <w:tcPr>
            <w:tcW w:w="3114" w:type="dxa"/>
            <w:tcBorders/>
          </w:tcPr>
          <w:p>
            <w:pPr>
              <w:pStyle w:val="TableContents"/>
              <w:bidi w:val="0"/>
              <w:spacing w:before="0" w:after="283"/>
              <w:jc w:val="left"/>
              <w:rPr/>
            </w:pPr>
            <w:r>
              <w:rPr/>
              <w:t> </w:t>
            </w:r>
          </w:p>
        </w:tc>
        <w:tc>
          <w:tcPr>
            <w:tcW w:w="2915" w:type="dxa"/>
            <w:tcBorders/>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Vice president, Manufacturing and</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Supply chain</w:t>
            </w:r>
          </w:p>
        </w:tc>
        <w:tc>
          <w:tcPr>
            <w:tcW w:w="255" w:type="dxa"/>
            <w:tcBorders/>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Wedel, Germany 15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   </w:t>
      </w:r>
      <w:r>
        <w:rPr>
          <w:rFonts w:ascii="Arial;Helvetica;sans-serif" w:hAnsi="Arial;Helvetica;sans-serif"/>
          <w:caps w:val="false"/>
          <w:smallCaps w:val="false"/>
          <w:sz w:val="20"/>
          <w:u w:val="single"/>
        </w:rPr>
        <w:t>/signed/</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Wedel, Germany 14.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i.A. </w:t>
      </w:r>
      <w:r>
        <w:rPr>
          <w:rFonts w:ascii="Arial;Helvetica;sans-serif" w:hAnsi="Arial;Helvetica;sans-serif"/>
          <w:caps w:val="false"/>
          <w:smallCaps w:val="false"/>
          <w:sz w:val="20"/>
          <w:u w:val="single"/>
        </w:rPr>
        <w:t>/signed/</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Exhibit D: STORAGE ACTIVITIES OF VALIDATION BATCH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w:t>
      </w:r>
    </w:p>
    <w:p>
      <w:pPr>
        <w:pStyle w:val="TextBody"/>
        <w:bidi w:val="0"/>
        <w:spacing w:before="0" w:after="0"/>
        <w:ind w:left="160" w:right="0" w:hanging="0"/>
        <w:jc w:val="right"/>
        <w:rPr>
          <w:rFonts w:ascii="Arial;Helvetica;sans-serif" w:hAnsi="Arial;Helvetica;sans-serif"/>
          <w:b/>
          <w:caps w:val="false"/>
          <w:smallCaps w:val="false"/>
          <w:sz w:val="20"/>
        </w:rPr>
      </w:pPr>
      <w:bookmarkStart w:id="24" w:name="ex_979963.htm"/>
      <w:bookmarkStart w:id="25" w:name="ksex_979963"/>
      <w:bookmarkEnd w:id="24"/>
      <w:bookmarkEnd w:id="25"/>
      <w:r>
        <w:rPr>
          <w:rFonts w:ascii="Arial;Helvetica;sans-serif" w:hAnsi="Arial;Helvetica;sans-serif"/>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1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RULES 13a-14(a) AND 15d-14(a) UNDER THE SECURITIES EXCHANGE ACT OF 1934,</w:t>
      </w:r>
    </w:p>
    <w:p>
      <w:pPr>
        <w:pStyle w:val="TextBody"/>
        <w:bidi w:val="0"/>
        <w:spacing w:before="0" w:after="0"/>
        <w:ind w:left="1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 Elizabeth Barrett, certify that:</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85"/>
        <w:gridCol w:w="6515"/>
      </w:tblGrid>
      <w:tr>
        <w:trPr/>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quarterly report on Form 10-Q of UroGen Pharma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1005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00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100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4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3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99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005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2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485"/>
        <w:gridCol w:w="1490"/>
        <w:gridCol w:w="320"/>
        <w:gridCol w:w="2615"/>
      </w:tblGrid>
      <w:tr>
        <w:trPr/>
        <w:tc>
          <w:tcPr>
            <w:tcW w:w="4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w:t>
            </w:r>
          </w:p>
        </w:tc>
        <w:tc>
          <w:tcPr>
            <w:tcW w:w="1490" w:type="dxa"/>
            <w:tcBorders/>
            <w:vAlign w:val="center"/>
          </w:tcPr>
          <w:p>
            <w:pPr>
              <w:pStyle w:val="TableContents"/>
              <w:bidi w:val="0"/>
              <w:spacing w:before="0" w:after="283"/>
              <w:jc w:val="left"/>
              <w:rPr/>
            </w:pPr>
            <w:r>
              <w:rPr/>
              <w:t>August 5, 2026</w:t>
            </w:r>
          </w:p>
        </w:tc>
        <w:tc>
          <w:tcPr>
            <w:tcW w:w="3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w:t>
            </w:r>
          </w:p>
        </w:tc>
        <w:tc>
          <w:tcPr>
            <w:tcW w:w="261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Elizabeth Barrett</w:t>
            </w:r>
          </w:p>
        </w:tc>
      </w:tr>
      <w:tr>
        <w:trPr/>
        <w:tc>
          <w:tcPr>
            <w:tcW w:w="48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Elizabeth Barrett</w:t>
            </w:r>
          </w:p>
        </w:tc>
      </w:tr>
      <w:tr>
        <w:trPr/>
        <w:tc>
          <w:tcPr>
            <w:tcW w:w="48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Chief Executive Officer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60" w:right="0" w:hanging="0"/>
        <w:jc w:val="right"/>
        <w:rPr>
          <w:rFonts w:ascii="Arial;Helvetica;sans-serif" w:hAnsi="Arial;Helvetica;sans-serif"/>
          <w:b/>
          <w:caps w:val="false"/>
          <w:smallCaps w:val="false"/>
          <w:sz w:val="20"/>
        </w:rPr>
      </w:pPr>
      <w:bookmarkStart w:id="26" w:name="ex_979964.htm"/>
      <w:bookmarkStart w:id="27" w:name="ksex_979964"/>
      <w:bookmarkEnd w:id="26"/>
      <w:bookmarkEnd w:id="27"/>
      <w:r>
        <w:rPr>
          <w:rFonts w:ascii="Arial;Helvetica;sans-serif" w:hAnsi="Arial;Helvetica;san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1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RULES 13a-14(a) AND 15d-14(a) UNDER THE SECURITIES EXCHANGE ACT OF 1934,</w:t>
      </w:r>
    </w:p>
    <w:p>
      <w:pPr>
        <w:pStyle w:val="TextBody"/>
        <w:bidi w:val="0"/>
        <w:spacing w:before="0" w:after="0"/>
        <w:ind w:left="1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 Chris Degnan, certify that:</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85"/>
        <w:gridCol w:w="6515"/>
      </w:tblGrid>
      <w:tr>
        <w:trPr/>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quarterly report on Form 10-Q of UroGen Pharma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1005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005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100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4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3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99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005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2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395" w:type="dxa"/>
        <w:jc w:val="left"/>
        <w:tblInd w:w="0" w:type="dxa"/>
        <w:tblLayout w:type="fixed"/>
        <w:tblCellMar>
          <w:top w:w="0" w:type="dxa"/>
          <w:left w:w="0" w:type="dxa"/>
          <w:bottom w:w="0" w:type="dxa"/>
          <w:right w:w="0" w:type="dxa"/>
        </w:tblCellMar>
      </w:tblPr>
      <w:tblGrid>
        <w:gridCol w:w="485"/>
        <w:gridCol w:w="1490"/>
        <w:gridCol w:w="320"/>
        <w:gridCol w:w="4100"/>
      </w:tblGrid>
      <w:tr>
        <w:trPr/>
        <w:tc>
          <w:tcPr>
            <w:tcW w:w="4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w:t>
            </w:r>
          </w:p>
        </w:tc>
        <w:tc>
          <w:tcPr>
            <w:tcW w:w="1490" w:type="dxa"/>
            <w:tcBorders/>
            <w:vAlign w:val="center"/>
          </w:tcPr>
          <w:p>
            <w:pPr>
              <w:pStyle w:val="TableContents"/>
              <w:bidi w:val="0"/>
              <w:spacing w:before="0" w:after="283"/>
              <w:jc w:val="left"/>
              <w:rPr/>
            </w:pPr>
            <w:r>
              <w:rPr/>
              <w:t>August 5, 2026</w:t>
            </w:r>
          </w:p>
        </w:tc>
        <w:tc>
          <w:tcPr>
            <w:tcW w:w="3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Chris Degnan</w:t>
            </w:r>
          </w:p>
        </w:tc>
      </w:tr>
      <w:tr>
        <w:trPr/>
        <w:tc>
          <w:tcPr>
            <w:tcW w:w="48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Chris Degnan</w:t>
            </w:r>
          </w:p>
        </w:tc>
      </w:tr>
      <w:tr>
        <w:trPr/>
        <w:tc>
          <w:tcPr>
            <w:tcW w:w="48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Chief Financial Officer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28" w:name="ex_979965.htm"/>
      <w:bookmarkStart w:id="29" w:name="ksex_979965"/>
      <w:bookmarkEnd w:id="28"/>
      <w:bookmarkEnd w:id="29"/>
      <w:r>
        <w:rPr>
          <w:rFonts w:ascii="Arial;Helvetica;sans-serif" w:hAnsi="Arial;Helvetica;sans-serif"/>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 U.S.C. SECTION 1350, AS ADOPTED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connection with the Quarterly Report of UroGen Pharma Ltd. (the “Company”) on Form 10-Q for the period ended </w:t>
      </w:r>
      <w:bookmarkStart w:id="30" w:name="led176673F2022351649186765816"/>
      <w:bookmarkEnd w:id="30"/>
      <w:r>
        <w:rPr>
          <w:rFonts w:ascii="Arial;Helvetica;sans-serif" w:hAnsi="Arial;Helvetica;sans-serif"/>
          <w:caps w:val="false"/>
          <w:smallCaps w:val="false"/>
          <w:sz w:val="20"/>
        </w:rPr>
        <w:t>June 30, 2026 as filed with the Securities and Exchange Commission on the date hereof (the “Report”), I, Elizabeth Barrett, Chief Executive Officer of the Company,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991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1865"/>
        <w:gridCol w:w="320"/>
        <w:gridCol w:w="2615"/>
      </w:tblGrid>
      <w:tr>
        <w:trPr/>
        <w:tc>
          <w:tcPr>
            <w:tcW w:w="1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 August 5, 2026</w:t>
            </w:r>
          </w:p>
        </w:tc>
        <w:tc>
          <w:tcPr>
            <w:tcW w:w="3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w:t>
            </w:r>
          </w:p>
        </w:tc>
        <w:tc>
          <w:tcPr>
            <w:tcW w:w="261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Elizabeth Barrett</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Elizabeth Barrett</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Chief Executive Officer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31" w:name="ex_979966.htm"/>
      <w:bookmarkStart w:id="32" w:name="ksex_979966"/>
      <w:bookmarkEnd w:id="31"/>
      <w:bookmarkEnd w:id="32"/>
      <w:r>
        <w:rPr>
          <w:rFonts w:ascii="Arial;Helvetica;sans-serif" w:hAnsi="Arial;Helvetica;sans-serif"/>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 U.S.C. SECTION 1350, AS ADOPTED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connection with the Quarterly Report of UroGen Pharma Ltd. (the “Company”) on Form 10-Q for the period ended </w:t>
      </w:r>
      <w:bookmarkStart w:id="33" w:name="led176673F2022351649186785876"/>
      <w:bookmarkEnd w:id="33"/>
      <w:r>
        <w:rPr>
          <w:rFonts w:ascii="Arial;Helvetica;sans-serif" w:hAnsi="Arial;Helvetica;sans-serif"/>
          <w:caps w:val="false"/>
          <w:smallCaps w:val="false"/>
          <w:sz w:val="20"/>
        </w:rPr>
        <w:t>June 30, 2026 as filed with the Securities and Exchange Commission on the date hereof (the “Report”), I, Chris Degnan, Chief Financial Officer of the Company,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991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1865"/>
        <w:gridCol w:w="320"/>
        <w:gridCol w:w="4100"/>
      </w:tblGrid>
      <w:tr>
        <w:trPr/>
        <w:tc>
          <w:tcPr>
            <w:tcW w:w="1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 August 5, 2026</w:t>
            </w:r>
          </w:p>
        </w:tc>
        <w:tc>
          <w:tcPr>
            <w:tcW w:w="3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Chris Degnan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Chris Degnan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Chief Financial Officer</w:t>
            </w:r>
          </w:p>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8243/000143774926021442/ex_979762.htm" TargetMode="External"/><Relationship Id="rId3" Type="http://schemas.openxmlformats.org/officeDocument/2006/relationships/hyperlink" Target="http://www.sec.gov/Archives/edgar/data/1668243/000143774926021442/ex_979762.htm" TargetMode="External"/><Relationship Id="rId4" Type="http://schemas.openxmlformats.org/officeDocument/2006/relationships/hyperlink" Target="http://www.sec.gov/Archives/edgar/data/1668243/000143774926021442/ex_979762.htm" TargetMode="External"/><Relationship Id="rId5" Type="http://schemas.openxmlformats.org/officeDocument/2006/relationships/hyperlink" Target="http://www.sec.gov/Archives/edgar/data/1668243/000143774926021442/ex_979763.htm" TargetMode="External"/><Relationship Id="rId6" Type="http://schemas.openxmlformats.org/officeDocument/2006/relationships/hyperlink" Target="http://www.sec.gov/Archives/edgar/data/1668243/000143774926021442/ex_979764.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84756</Words>
  <Characters>472124</Characters>
  <CharactersWithSpaces>559440</CharactersWithSpaces>
  <Paragraphs>8928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