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143510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93980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8"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2026</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18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46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001-38079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200660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UROGEN PHARMA LTD.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6880" w:type="dxa"/>
            <w:vAlign w:val="bottom"/>
          </w:tcPr>
          <w:p>
            <w:pPr>
              <w:jc w:val="center"/>
              <w:ind w:right="2600"/>
              <w:spacing w:after="0"/>
              <w:rPr>
                <w:sz w:val="20"/>
                <w:szCs w:val="20"/>
                <w:color w:val="auto"/>
              </w:rPr>
            </w:pPr>
            <w:r>
              <w:rPr>
                <w:rFonts w:ascii="Arial" w:cs="Arial" w:eastAsia="Arial" w:hAnsi="Arial"/>
                <w:sz w:val="18"/>
                <w:szCs w:val="18"/>
                <w:b w:val="1"/>
                <w:bCs w:val="1"/>
                <w:color w:val="auto"/>
              </w:rPr>
              <w:t>Israel</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98-1460746</w:t>
            </w:r>
          </w:p>
        </w:tc>
      </w:tr>
      <w:tr>
        <w:trPr>
          <w:trHeight w:val="162"/>
        </w:trPr>
        <w:tc>
          <w:tcPr>
            <w:tcW w:w="6880" w:type="dxa"/>
            <w:vAlign w:val="bottom"/>
          </w:tcPr>
          <w:p>
            <w:pPr>
              <w:jc w:val="center"/>
              <w:ind w:right="262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52"/>
        </w:trPr>
        <w:tc>
          <w:tcPr>
            <w:tcW w:w="6880" w:type="dxa"/>
            <w:vAlign w:val="bottom"/>
          </w:tcPr>
          <w:p>
            <w:pPr>
              <w:jc w:val="center"/>
              <w:ind w:right="2620"/>
              <w:spacing w:after="0" w:line="153" w:lineRule="exact"/>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line="153" w:lineRule="exact"/>
              <w:rPr>
                <w:sz w:val="20"/>
                <w:szCs w:val="20"/>
                <w:color w:val="auto"/>
              </w:rPr>
            </w:pPr>
            <w:r>
              <w:rPr>
                <w:rFonts w:ascii="Arial" w:cs="Arial" w:eastAsia="Arial" w:hAnsi="Arial"/>
                <w:sz w:val="14"/>
                <w:szCs w:val="14"/>
                <w:b w:val="1"/>
                <w:bCs w:val="1"/>
                <w:color w:val="auto"/>
              </w:rPr>
              <w:t>Identification No.)</w:t>
            </w:r>
          </w:p>
        </w:tc>
      </w:tr>
      <w:tr>
        <w:trPr>
          <w:trHeight w:val="212"/>
        </w:trPr>
        <w:tc>
          <w:tcPr>
            <w:tcW w:w="6880" w:type="dxa"/>
            <w:vAlign w:val="bottom"/>
          </w:tcPr>
          <w:p>
            <w:pPr>
              <w:jc w:val="center"/>
              <w:ind w:right="2620"/>
              <w:spacing w:after="0"/>
              <w:rPr>
                <w:sz w:val="20"/>
                <w:szCs w:val="20"/>
                <w:color w:val="auto"/>
              </w:rPr>
            </w:pPr>
            <w:r>
              <w:rPr>
                <w:rFonts w:ascii="Arial" w:cs="Arial" w:eastAsia="Arial" w:hAnsi="Arial"/>
                <w:sz w:val="18"/>
                <w:szCs w:val="18"/>
                <w:b w:val="1"/>
                <w:bCs w:val="1"/>
                <w:color w:val="auto"/>
                <w:w w:val="99"/>
              </w:rPr>
              <w:t>400 Alexander Park Drive, Princeton, New Jersey</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08540</w:t>
            </w:r>
          </w:p>
        </w:tc>
      </w:tr>
      <w:tr>
        <w:trPr>
          <w:trHeight w:val="196"/>
        </w:trPr>
        <w:tc>
          <w:tcPr>
            <w:tcW w:w="6880" w:type="dxa"/>
            <w:vAlign w:val="bottom"/>
          </w:tcPr>
          <w:p>
            <w:pPr>
              <w:jc w:val="center"/>
              <w:ind w:right="260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405"/>
        </w:trPr>
        <w:tc>
          <w:tcPr>
            <w:tcW w:w="6880" w:type="dxa"/>
            <w:vAlign w:val="bottom"/>
          </w:tcPr>
          <w:p>
            <w:pPr>
              <w:jc w:val="right"/>
              <w:ind w:right="1280"/>
              <w:spacing w:after="0"/>
              <w:rPr>
                <w:sz w:val="20"/>
                <w:szCs w:val="20"/>
                <w:color w:val="auto"/>
              </w:rPr>
            </w:pPr>
            <w:r>
              <w:rPr>
                <w:rFonts w:ascii="Arial" w:cs="Arial" w:eastAsia="Arial" w:hAnsi="Arial"/>
                <w:sz w:val="18"/>
                <w:szCs w:val="18"/>
                <w:b w:val="1"/>
                <w:bCs w:val="1"/>
                <w:color w:val="auto"/>
              </w:rPr>
              <w:t>(646) 768-9780</w:t>
            </w:r>
          </w:p>
        </w:tc>
        <w:tc>
          <w:tcPr>
            <w:tcW w:w="1440" w:type="dxa"/>
            <w:vAlign w:val="bottom"/>
          </w:tcPr>
          <w:p>
            <w:pPr>
              <w:spacing w:after="0"/>
              <w:rPr>
                <w:sz w:val="24"/>
                <w:szCs w:val="24"/>
                <w:color w:val="auto"/>
              </w:rPr>
            </w:pPr>
          </w:p>
        </w:tc>
      </w:tr>
      <w:tr>
        <w:trPr>
          <w:trHeight w:val="283"/>
        </w:trPr>
        <w:tc>
          <w:tcPr>
            <w:tcW w:w="6880" w:type="dxa"/>
            <w:vAlign w:val="bottom"/>
          </w:tcPr>
          <w:p>
            <w:pPr>
              <w:jc w:val="center"/>
              <w:ind w:left="2860"/>
              <w:spacing w:after="0"/>
              <w:rPr>
                <w:sz w:val="20"/>
                <w:szCs w:val="20"/>
                <w:color w:val="auto"/>
              </w:rPr>
            </w:pPr>
            <w:r>
              <w:rPr>
                <w:rFonts w:ascii="Arial" w:cs="Arial" w:eastAsia="Arial" w:hAnsi="Arial"/>
                <w:sz w:val="14"/>
                <w:szCs w:val="14"/>
                <w:b w:val="1"/>
                <w:bCs w:val="1"/>
                <w:color w:val="auto"/>
              </w:rPr>
              <w:t>Registrant</w:t>
            </w:r>
            <w:r>
              <w:rPr>
                <w:rFonts w:ascii="Arial" w:cs="Arial" w:eastAsia="Arial" w:hAnsi="Arial"/>
                <w:sz w:val="14"/>
                <w:szCs w:val="14"/>
                <w:color w:val="auto"/>
              </w:rPr>
              <w:t>’</w:t>
            </w:r>
            <w:r>
              <w:rPr>
                <w:rFonts w:ascii="Arial" w:cs="Arial" w:eastAsia="Arial" w:hAnsi="Arial"/>
                <w:sz w:val="14"/>
                <w:szCs w:val="14"/>
                <w:b w:val="1"/>
                <w:bCs w:val="1"/>
                <w:color w:val="auto"/>
              </w:rPr>
              <w:t>s telephone number, including area code</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52705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99" w:lineRule="exact"/>
        <w:rPr>
          <w:sz w:val="24"/>
          <w:szCs w:val="24"/>
          <w:color w:val="auto"/>
        </w:rPr>
      </w:pPr>
    </w:p>
    <w:tbl>
      <w:tblPr>
        <w:tblLayout w:type="fixed"/>
        <w:tblInd w:w="520" w:type="dxa"/>
        <w:tblCellMar>
          <w:top w:w="0" w:type="dxa"/>
          <w:left w:w="0" w:type="dxa"/>
          <w:bottom w:w="0" w:type="dxa"/>
          <w:right w:w="0" w:type="dxa"/>
        </w:tblCellMar>
      </w:tblPr>
      <w:tr>
        <w:trPr>
          <w:trHeight w:val="215"/>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380"/>
        </w:trPr>
        <w:tc>
          <w:tcPr>
            <w:tcW w:w="1100" w:type="dxa"/>
            <w:vAlign w:val="bottom"/>
          </w:tcPr>
          <w:p>
            <w:pPr>
              <w:spacing w:after="0"/>
              <w:rPr>
                <w:sz w:val="24"/>
                <w:szCs w:val="24"/>
                <w:color w:val="auto"/>
              </w:rPr>
            </w:pPr>
          </w:p>
        </w:tc>
        <w:tc>
          <w:tcPr>
            <w:tcW w:w="3220" w:type="dxa"/>
            <w:vAlign w:val="bottom"/>
            <w:gridSpan w:val="2"/>
          </w:tcPr>
          <w:p>
            <w:pPr>
              <w:jc w:val="center"/>
              <w:ind w:right="1940"/>
              <w:spacing w:after="0"/>
              <w:rPr>
                <w:sz w:val="20"/>
                <w:szCs w:val="20"/>
                <w:color w:val="auto"/>
              </w:rPr>
            </w:pPr>
            <w:r>
              <w:rPr>
                <w:rFonts w:ascii="Arial" w:cs="Arial" w:eastAsia="Arial" w:hAnsi="Arial"/>
                <w:sz w:val="16"/>
                <w:szCs w:val="16"/>
                <w:color w:val="auto"/>
                <w:w w:val="99"/>
              </w:rPr>
              <w:t>Title of each class</w:t>
            </w:r>
          </w:p>
        </w:tc>
        <w:tc>
          <w:tcPr>
            <w:tcW w:w="2760" w:type="dxa"/>
            <w:vAlign w:val="bottom"/>
            <w:gridSpan w:val="3"/>
          </w:tcPr>
          <w:p>
            <w:pPr>
              <w:jc w:val="center"/>
              <w:ind w:right="1180"/>
              <w:spacing w:after="0"/>
              <w:rPr>
                <w:sz w:val="20"/>
                <w:szCs w:val="20"/>
                <w:color w:val="auto"/>
              </w:rPr>
            </w:pPr>
            <w:r>
              <w:rPr>
                <w:rFonts w:ascii="Arial" w:cs="Arial" w:eastAsia="Arial" w:hAnsi="Arial"/>
                <w:sz w:val="16"/>
                <w:szCs w:val="16"/>
                <w:color w:val="auto"/>
              </w:rPr>
              <w:t>Trading Symbol</w:t>
            </w:r>
          </w:p>
        </w:tc>
        <w:tc>
          <w:tcPr>
            <w:tcW w:w="2800" w:type="dxa"/>
            <w:vAlign w:val="bottom"/>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
        </w:trPr>
        <w:tc>
          <w:tcPr>
            <w:tcW w:w="1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88"/>
        </w:trPr>
        <w:tc>
          <w:tcPr>
            <w:tcW w:w="4320" w:type="dxa"/>
            <w:vAlign w:val="bottom"/>
            <w:gridSpan w:val="3"/>
          </w:tcPr>
          <w:p>
            <w:pPr>
              <w:jc w:val="center"/>
              <w:ind w:right="860"/>
              <w:spacing w:after="0"/>
              <w:rPr>
                <w:sz w:val="20"/>
                <w:szCs w:val="20"/>
                <w:color w:val="auto"/>
              </w:rPr>
            </w:pPr>
            <w:r>
              <w:rPr>
                <w:rFonts w:ascii="Arial" w:cs="Arial" w:eastAsia="Arial" w:hAnsi="Arial"/>
                <w:sz w:val="16"/>
                <w:szCs w:val="16"/>
                <w:color w:val="auto"/>
              </w:rPr>
              <w:t>Ordinary Shares, par value NIS 0.01 per share</w:t>
            </w:r>
          </w:p>
        </w:tc>
        <w:tc>
          <w:tcPr>
            <w:tcW w:w="220" w:type="dxa"/>
            <w:vAlign w:val="bottom"/>
          </w:tcPr>
          <w:p>
            <w:pPr>
              <w:spacing w:after="0"/>
              <w:rPr>
                <w:sz w:val="24"/>
                <w:szCs w:val="24"/>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w w:val="97"/>
              </w:rPr>
              <w:t>URGN</w:t>
            </w:r>
          </w:p>
        </w:tc>
        <w:tc>
          <w:tcPr>
            <w:tcW w:w="280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36" w:lineRule="exact"/>
        <w:rPr>
          <w:sz w:val="24"/>
          <w:szCs w:val="24"/>
          <w:color w:val="auto"/>
        </w:rPr>
      </w:pPr>
    </w:p>
    <w:p>
      <w:pPr>
        <w:ind w:firstLine="50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 w:firstLine="504"/>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100" w:firstLine="504"/>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41" w:lineRule="exact"/>
        <w:rPr>
          <w:sz w:val="24"/>
          <w:szCs w:val="24"/>
          <w:color w:val="auto"/>
        </w:rPr>
      </w:pPr>
    </w:p>
    <w:p>
      <w:pPr>
        <w:jc w:val="both"/>
        <w:ind w:right="40" w:firstLine="50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ind w:left="520"/>
        <w:spacing w:after="0" w:line="184" w:lineRule="exact"/>
        <w:tabs>
          <w:tab w:leader="none" w:pos="8760" w:val="left"/>
          <w:tab w:leader="none" w:pos="9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May 1, 2026, the registrant had 48,721,701 ordinary shares, par value NIS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71"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6"/>
        </w:trPr>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rPr>
              <w:t>UroGen Pharma Ltd.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240" w:type="dxa"/>
            <w:vAlign w:val="bottom"/>
            <w:gridSpan w:val="8"/>
            <w:vMerge w:val="restart"/>
          </w:tcPr>
          <w:p>
            <w:pPr>
              <w:spacing w:after="0"/>
              <w:rPr>
                <w:sz w:val="20"/>
                <w:szCs w:val="20"/>
                <w:color w:val="auto"/>
              </w:rPr>
            </w:pPr>
            <w:r>
              <w:rPr>
                <w:rFonts w:ascii="Arial" w:cs="Arial" w:eastAsia="Arial" w:hAnsi="Arial"/>
                <w:sz w:val="18"/>
                <w:szCs w:val="18"/>
                <w:color w:val="0000EE"/>
                <w:w w:val="98"/>
              </w:rPr>
              <w:t>FINANCIAL INFORMATION</w:t>
            </w:r>
          </w:p>
        </w:tc>
        <w:tc>
          <w:tcPr>
            <w:tcW w:w="7500" w:type="dxa"/>
            <w:vAlign w:val="bottom"/>
            <w:gridSpan w:val="10"/>
            <w:vMerge w:val="restart"/>
          </w:tcPr>
          <w:p>
            <w:pPr>
              <w:spacing w:after="0"/>
              <w:rPr>
                <w:sz w:val="24"/>
                <w:szCs w:val="24"/>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240" w:type="dxa"/>
            <w:vAlign w:val="bottom"/>
            <w:gridSpan w:val="8"/>
            <w:vMerge w:val="continue"/>
          </w:tcPr>
          <w:p>
            <w:pPr>
              <w:spacing w:after="0"/>
              <w:rPr>
                <w:sz w:val="15"/>
                <w:szCs w:val="15"/>
                <w:color w:val="auto"/>
              </w:rPr>
            </w:pPr>
          </w:p>
        </w:tc>
        <w:tc>
          <w:tcPr>
            <w:tcW w:w="7500" w:type="dxa"/>
            <w:vAlign w:val="bottom"/>
            <w:gridSpan w:val="10"/>
            <w:vMerge w:val="continue"/>
          </w:tcPr>
          <w:p>
            <w:pPr>
              <w:spacing w:after="0"/>
              <w:rPr>
                <w:sz w:val="15"/>
                <w:szCs w:val="15"/>
                <w:color w:val="auto"/>
              </w:rPr>
            </w:pPr>
          </w:p>
        </w:tc>
        <w:tc>
          <w:tcPr>
            <w:tcW w:w="480" w:type="dxa"/>
            <w:vAlign w:val="bottom"/>
            <w:gridSpan w:val="2"/>
          </w:tcPr>
          <w:p>
            <w:pPr>
              <w:spacing w:after="0"/>
              <w:rPr>
                <w:sz w:val="15"/>
                <w:szCs w:val="15"/>
                <w:color w:val="auto"/>
              </w:rPr>
            </w:pP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1.</w:t>
            </w:r>
          </w:p>
        </w:tc>
        <w:tc>
          <w:tcPr>
            <w:tcW w:w="9740" w:type="dxa"/>
            <w:vAlign w:val="bottom"/>
            <w:gridSpan w:val="18"/>
          </w:tcPr>
          <w:p>
            <w:pPr>
              <w:spacing w:after="0"/>
              <w:rPr>
                <w:sz w:val="20"/>
                <w:szCs w:val="20"/>
                <w:color w:val="auto"/>
              </w:rPr>
            </w:pPr>
            <w:r>
              <w:rPr>
                <w:rFonts w:ascii="Arial" w:cs="Arial" w:eastAsia="Arial" w:hAnsi="Arial"/>
                <w:sz w:val="18"/>
                <w:szCs w:val="18"/>
                <w:color w:val="0000EE"/>
              </w:rPr>
              <w:t>Financial Statements (Unaudited)</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EE"/>
                <w:w w:val="99"/>
              </w:rPr>
              <w:t>Condensed Consolidated Balance Sheets</w:t>
            </w:r>
          </w:p>
        </w:tc>
        <w:tc>
          <w:tcPr>
            <w:tcW w:w="640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Operations and Comprehensive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6200" w:type="dxa"/>
            <w:vAlign w:val="bottom"/>
            <w:gridSpan w:val="16"/>
          </w:tcPr>
          <w:p>
            <w:pPr>
              <w:spacing w:after="0"/>
              <w:rPr>
                <w:sz w:val="20"/>
                <w:szCs w:val="20"/>
                <w:color w:val="auto"/>
              </w:rPr>
            </w:pPr>
            <w:r>
              <w:rPr>
                <w:rFonts w:ascii="Arial" w:cs="Arial" w:eastAsia="Arial" w:hAnsi="Arial"/>
                <w:sz w:val="18"/>
                <w:szCs w:val="18"/>
                <w:color w:val="0000EE"/>
              </w:rPr>
              <w:t>Condensed Consolidated Statements of Shareholders’ Deficit</w:t>
            </w:r>
          </w:p>
        </w:tc>
        <w:tc>
          <w:tcPr>
            <w:tcW w:w="354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4840" w:type="dxa"/>
            <w:vAlign w:val="bottom"/>
            <w:gridSpan w:val="14"/>
          </w:tcPr>
          <w:p>
            <w:pPr>
              <w:spacing w:after="0"/>
              <w:rPr>
                <w:sz w:val="20"/>
                <w:szCs w:val="20"/>
                <w:color w:val="auto"/>
              </w:rPr>
            </w:pPr>
            <w:r>
              <w:rPr>
                <w:rFonts w:ascii="Arial" w:cs="Arial" w:eastAsia="Arial" w:hAnsi="Arial"/>
                <w:sz w:val="18"/>
                <w:szCs w:val="18"/>
                <w:color w:val="0000EE"/>
              </w:rPr>
              <w:t>Condensed Consolidated Statements of Cash Flows</w:t>
            </w:r>
          </w:p>
        </w:tc>
        <w:tc>
          <w:tcPr>
            <w:tcW w:w="490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0000EE"/>
            </w:tcBorders>
            <w:gridSpan w:val="3"/>
          </w:tcPr>
          <w:p>
            <w:pPr>
              <w:jc w:val="right"/>
              <w:ind w:right="20"/>
              <w:spacing w:after="0"/>
              <w:rPr>
                <w:sz w:val="20"/>
                <w:szCs w:val="20"/>
                <w:color w:val="auto"/>
              </w:rPr>
            </w:pPr>
            <w:r>
              <w:rPr>
                <w:rFonts w:ascii="Arial" w:cs="Arial" w:eastAsia="Arial" w:hAnsi="Arial"/>
                <w:sz w:val="18"/>
                <w:szCs w:val="18"/>
                <w:color w:val="0000EE"/>
                <w:w w:val="89"/>
              </w:rPr>
              <w:t>23</w:t>
            </w:r>
          </w:p>
        </w:tc>
        <w:tc>
          <w:tcPr>
            <w:tcW w:w="0" w:type="dxa"/>
            <w:vAlign w:val="bottom"/>
          </w:tcPr>
          <w:p>
            <w:pPr>
              <w:spacing w:after="0"/>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3.</w:t>
            </w:r>
          </w:p>
        </w:tc>
        <w:tc>
          <w:tcPr>
            <w:tcW w:w="9740" w:type="dxa"/>
            <w:vAlign w:val="bottom"/>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3"/>
          </w:tcPr>
          <w:p>
            <w:pPr>
              <w:spacing w:after="0"/>
              <w:rPr>
                <w:sz w:val="20"/>
                <w:szCs w:val="20"/>
                <w:color w:val="auto"/>
              </w:rPr>
            </w:pPr>
            <w:r>
              <w:rPr>
                <w:rFonts w:ascii="Arial" w:cs="Arial" w:eastAsia="Arial" w:hAnsi="Arial"/>
                <w:sz w:val="18"/>
                <w:szCs w:val="18"/>
                <w:color w:val="0000EE"/>
              </w:rPr>
              <w:t>Controls and Procedures</w:t>
            </w:r>
          </w:p>
        </w:tc>
        <w:tc>
          <w:tcPr>
            <w:tcW w:w="504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20" w:type="dxa"/>
            <w:vAlign w:val="bottom"/>
            <w:gridSpan w:val="7"/>
          </w:tcPr>
          <w:p>
            <w:pPr>
              <w:spacing w:after="0"/>
              <w:rPr>
                <w:sz w:val="20"/>
                <w:szCs w:val="20"/>
                <w:color w:val="auto"/>
              </w:rPr>
            </w:pPr>
            <w:r>
              <w:rPr>
                <w:rFonts w:ascii="Arial" w:cs="Arial" w:eastAsia="Arial" w:hAnsi="Arial"/>
                <w:sz w:val="18"/>
                <w:szCs w:val="18"/>
                <w:color w:val="0000EE"/>
                <w:w w:val="96"/>
              </w:rPr>
              <w:t>OTHER INFORMATION</w:t>
            </w:r>
          </w:p>
        </w:tc>
        <w:tc>
          <w:tcPr>
            <w:tcW w:w="78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1.</w:t>
            </w:r>
          </w:p>
        </w:tc>
        <w:tc>
          <w:tcPr>
            <w:tcW w:w="192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78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2"/>
          </w:tcPr>
          <w:p>
            <w:pPr>
              <w:spacing w:after="0"/>
              <w:rPr>
                <w:sz w:val="18"/>
                <w:szCs w:val="18"/>
                <w:color w:val="auto"/>
              </w:rPr>
            </w:pPr>
          </w:p>
        </w:tc>
        <w:tc>
          <w:tcPr>
            <w:tcW w:w="826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2.</w:t>
            </w:r>
          </w:p>
        </w:tc>
        <w:tc>
          <w:tcPr>
            <w:tcW w:w="9740" w:type="dxa"/>
            <w:vAlign w:val="bottom"/>
            <w:gridSpan w:val="18"/>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84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4"/>
          </w:tcPr>
          <w:p>
            <w:pPr>
              <w:spacing w:after="0"/>
              <w:rPr>
                <w:sz w:val="20"/>
                <w:szCs w:val="20"/>
                <w:color w:val="auto"/>
              </w:rPr>
            </w:pPr>
            <w:r>
              <w:rPr>
                <w:rFonts w:ascii="Arial" w:cs="Arial" w:eastAsia="Arial" w:hAnsi="Arial"/>
                <w:sz w:val="18"/>
                <w:szCs w:val="18"/>
                <w:color w:val="0000EE"/>
              </w:rPr>
              <w:t>Defaults Upon Senior Securities</w:t>
            </w:r>
          </w:p>
        </w:tc>
        <w:tc>
          <w:tcPr>
            <w:tcW w:w="490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EE"/>
              </w:rPr>
              <w:t>Mine Safety Disclosures</w:t>
            </w:r>
          </w:p>
        </w:tc>
        <w:tc>
          <w:tcPr>
            <w:tcW w:w="720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gridSpan w:val="2"/>
          </w:tcPr>
          <w:p>
            <w:pPr>
              <w:spacing w:after="0"/>
              <w:rPr>
                <w:sz w:val="18"/>
                <w:szCs w:val="18"/>
                <w:color w:val="auto"/>
              </w:rPr>
            </w:pPr>
          </w:p>
        </w:tc>
        <w:tc>
          <w:tcPr>
            <w:tcW w:w="782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EE"/>
              </w:rPr>
              <w:t>Exhibits</w:t>
            </w:r>
          </w:p>
        </w:tc>
        <w:tc>
          <w:tcPr>
            <w:tcW w:w="83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EE"/>
                <w:w w:val="97"/>
              </w:rPr>
              <w:t>Signatures</w:t>
            </w:r>
          </w:p>
        </w:tc>
        <w:tc>
          <w:tcPr>
            <w:tcW w:w="888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86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Unless the context requires otherwise, references in this Quarterly Report to the “Company,” "UroGen," “we,” “us” and “our” refer to UroGen Pharma Ltd. and its subsidiary, UroGen Pharma, Inc.</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UroGen</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RTGel</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Jelmyto</w:t>
      </w:r>
      <w:r>
        <w:rPr>
          <w:rFonts w:ascii="Arial" w:cs="Arial" w:eastAsia="Arial" w:hAnsi="Arial"/>
          <w:sz w:val="14"/>
          <w:szCs w:val="14"/>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are trademarks of ours that we use in this Quarterly Report. This Quarterly Report also includes trademarks, tradenames, and service marks that are the property of other organizations. Solely for convenience, our trademarks and tradenames referred to in this Quarterly Report appear without the ® or ™ symbols, but those references are not intended to indicate, in any way, that we will not assert, to the fullest extent under applicable law, our rights, or the right of the applicable licensor to our trademark and tradenames. We do not intend our use or display of other companies’ trade names or trademarks to imply a relationship with, or endorsement or sponsorship of us by, any other companies.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amounts and par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8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ind w:left="3680"/>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109,968</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110,745</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30,306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9,711</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1,350</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55,412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33,082</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20,921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16,464</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14,672</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237,464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186,024</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Non-current assets: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637</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Restricted deposit</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Right of use assets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8,456</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5,161</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253,690</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200,455</w:t>
            </w:r>
          </w:p>
        </w:tc>
      </w:tr>
      <w:tr>
        <w:trPr>
          <w:trHeight w:val="183"/>
        </w:trPr>
        <w:tc>
          <w:tcPr>
            <w:tcW w:w="8000" w:type="dxa"/>
            <w:vAlign w:val="bottom"/>
            <w:tcBorders>
              <w:top w:val="single" w:sz="8" w:color="CCEEFF"/>
            </w:tcBorders>
          </w:tcPr>
          <w:p>
            <w:pPr>
              <w:ind w:left="2540"/>
              <w:spacing w:after="0" w:line="183" w:lineRule="exact"/>
              <w:rPr>
                <w:sz w:val="20"/>
                <w:szCs w:val="20"/>
                <w:color w:val="auto"/>
              </w:rPr>
            </w:pPr>
            <w:r>
              <w:rPr>
                <w:rFonts w:ascii="Arial" w:cs="Arial" w:eastAsia="Arial" w:hAnsi="Arial"/>
                <w:sz w:val="18"/>
                <w:szCs w:val="18"/>
                <w:color w:val="auto"/>
              </w:rPr>
              <w:t>Liabilities and Shareholders' Deficit</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35,346</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27,717</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 related accrued expenses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13,516</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5,185</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50,635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46,418</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Prepaid forward obligation</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128,228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127,276</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189,530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122,210</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lease liabilities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6,122</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Uncertain tax positions liability</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3,903</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377,943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305,929</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Commitments and Contingencies (Note 19)</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Deficit: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8000" w:type="dxa"/>
            <w:vAlign w:val="bottom"/>
          </w:tcPr>
          <w:p>
            <w:pPr>
              <w:ind w:left="340"/>
              <w:spacing w:after="0" w:line="183" w:lineRule="exact"/>
              <w:rPr>
                <w:sz w:val="20"/>
                <w:szCs w:val="20"/>
                <w:color w:val="auto"/>
              </w:rPr>
            </w:pPr>
            <w:r>
              <w:rPr>
                <w:rFonts w:ascii="Arial" w:cs="Arial" w:eastAsia="Arial" w:hAnsi="Arial"/>
                <w:sz w:val="18"/>
                <w:szCs w:val="18"/>
                <w:color w:val="auto"/>
              </w:rPr>
              <w:t>Ordinary shares, NIS 0.01 par value, 100,000,000 shares authorized at March 31, 2026 and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000" w:type="dxa"/>
            <w:vAlign w:val="bottom"/>
          </w:tcPr>
          <w:p>
            <w:pPr>
              <w:ind w:left="500"/>
              <w:spacing w:after="0" w:line="202" w:lineRule="exact"/>
              <w:rPr>
                <w:sz w:val="20"/>
                <w:szCs w:val="20"/>
                <w:color w:val="auto"/>
              </w:rPr>
            </w:pPr>
            <w:r>
              <w:rPr>
                <w:rFonts w:ascii="Arial" w:cs="Arial" w:eastAsia="Arial" w:hAnsi="Arial"/>
                <w:sz w:val="18"/>
                <w:szCs w:val="18"/>
                <w:color w:val="auto"/>
              </w:rPr>
              <w:t>December 31, 2025; 48,708,280 and 48,350,272 shares issued and outstanding as of March</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000" w:type="dxa"/>
            <w:vAlign w:val="bottom"/>
          </w:tcPr>
          <w:p>
            <w:pPr>
              <w:ind w:left="500"/>
              <w:spacing w:after="0"/>
              <w:rPr>
                <w:sz w:val="20"/>
                <w:szCs w:val="20"/>
                <w:color w:val="auto"/>
              </w:rPr>
            </w:pPr>
            <w:r>
              <w:rPr>
                <w:rFonts w:ascii="Arial" w:cs="Arial" w:eastAsia="Arial" w:hAnsi="Arial"/>
                <w:sz w:val="18"/>
                <w:szCs w:val="18"/>
                <w:color w:val="auto"/>
              </w:rPr>
              <w:t>31, 2026 and December 31, 2025, respectively</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858,895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854,090</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(983,290)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(959,716)</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Shareholders' Deficit</w:t>
            </w:r>
          </w:p>
        </w:tc>
        <w:tc>
          <w:tcPr>
            <w:tcW w:w="220" w:type="dxa"/>
            <w:vAlign w:val="bottom"/>
          </w:tcPr>
          <w:p>
            <w:pPr>
              <w:spacing w:after="0"/>
              <w:rPr>
                <w:sz w:val="17"/>
                <w:szCs w:val="17"/>
                <w:color w:val="auto"/>
              </w:rPr>
            </w:pPr>
          </w:p>
        </w:tc>
        <w:tc>
          <w:tcPr>
            <w:tcW w:w="1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(124,253)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(105,474)</w:t>
            </w:r>
          </w:p>
        </w:tc>
      </w:tr>
      <w:tr>
        <w:trPr>
          <w:trHeight w:val="236"/>
        </w:trPr>
        <w:tc>
          <w:tcPr>
            <w:tcW w:w="80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Liabilities and Shareholders' Deficit</w:t>
            </w: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253,690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200,455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UroGen Pharma Ltd.</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320" w:type="dxa"/>
            <w:vAlign w:val="bottom"/>
            <w:gridSpan w:val="4"/>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9"/>
              </w:rPr>
              <w:t>(unaudited; in thousands, except share and per share amounts)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31,</w:t>
            </w: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50,959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46,820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17,924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15,597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51,486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(20,263)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(36,914)</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44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(4,185)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44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(28,346)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(43,451)</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4,772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Statements of Comprehensive Loss</w:t>
            </w: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(23,574)</w:t>
            </w:r>
          </w:p>
        </w:tc>
        <w:tc>
          <w:tcPr>
            <w:tcW w:w="4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(43,843)</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Unrealized loss on investments</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9"/>
        </w:trPr>
        <w:tc>
          <w:tcPr>
            <w:tcW w:w="8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(23,585)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(43,885)</w:t>
            </w:r>
          </w:p>
        </w:tc>
        <w:tc>
          <w:tcPr>
            <w:tcW w:w="0" w:type="dxa"/>
            <w:vAlign w:val="bottom"/>
          </w:tcPr>
          <w:p>
            <w:pPr>
              <w:spacing w:after="0"/>
              <w:rPr>
                <w:sz w:val="1"/>
                <w:szCs w:val="1"/>
                <w:color w:val="auto"/>
              </w:rPr>
            </w:pPr>
          </w:p>
        </w:tc>
      </w:tr>
      <w:tr>
        <w:trPr>
          <w:trHeight w:val="183"/>
        </w:trPr>
        <w:tc>
          <w:tcPr>
            <w:tcW w:w="80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loss per ordinary share - basic and diluted</w:t>
            </w:r>
          </w:p>
        </w:tc>
        <w:tc>
          <w:tcPr>
            <w:tcW w:w="440" w:type="dxa"/>
            <w:vAlign w:val="bottom"/>
            <w:tcBorders>
              <w:top w:val="single" w:sz="8" w:color="auto"/>
              <w:bottom w:val="single" w:sz="8" w:color="auto"/>
            </w:tcBorders>
            <w:shd w:val="clear" w:color="auto" w:fill="CCEEFF"/>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(0.47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(0.92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line="177" w:lineRule="exact"/>
              <w:rPr>
                <w:sz w:val="20"/>
                <w:szCs w:val="20"/>
                <w:color w:val="auto"/>
              </w:rPr>
            </w:pPr>
            <w:r>
              <w:rPr>
                <w:rFonts w:ascii="Arial" w:cs="Arial" w:eastAsia="Arial" w:hAnsi="Arial"/>
                <w:sz w:val="18"/>
                <w:szCs w:val="18"/>
                <w:color w:val="auto"/>
              </w:rPr>
              <w:t>Weighted average number of shares outstanding used in computation of basic and diluted loss per</w:t>
            </w: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50,182,758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47,422,119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8"/>
                <w:szCs w:val="18"/>
                <w:color w:val="auto"/>
              </w:rPr>
              <w:t>ordinary share</w:t>
            </w:r>
          </w:p>
        </w:tc>
        <w:tc>
          <w:tcPr>
            <w:tcW w:w="4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4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rPr>
              <w:t>UroGen Pharma Ltd.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340" w:type="dxa"/>
            <w:vAlign w:val="bottom"/>
            <w:gridSpan w:val="15"/>
          </w:tcPr>
          <w:p>
            <w:pPr>
              <w:jc w:val="center"/>
              <w:ind w:left="125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Deficit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120" w:type="dxa"/>
            <w:vAlign w:val="bottom"/>
            <w:gridSpan w:val="14"/>
          </w:tcPr>
          <w:p>
            <w:pPr>
              <w:jc w:val="center"/>
              <w:ind w:right="880"/>
              <w:spacing w:after="0"/>
              <w:rPr>
                <w:sz w:val="20"/>
                <w:szCs w:val="20"/>
                <w:color w:val="auto"/>
              </w:rPr>
            </w:pPr>
            <w:r>
              <w:rPr>
                <w:rFonts w:ascii="Arial" w:cs="Arial" w:eastAsia="Arial" w:hAnsi="Arial"/>
                <w:sz w:val="18"/>
                <w:szCs w:val="18"/>
                <w:b w:val="1"/>
                <w:bCs w:val="1"/>
                <w:color w:val="auto"/>
                <w:w w:val="99"/>
              </w:rPr>
              <w:t>(unaudited; in thousands, except share amounts)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7"/>
              </w:rPr>
              <w:t>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paid-in</w:t>
            </w:r>
          </w:p>
        </w:tc>
        <w:tc>
          <w:tcPr>
            <w:tcW w:w="1420" w:type="dxa"/>
            <w:vAlign w:val="bottom"/>
            <w:gridSpan w:val="4"/>
          </w:tcPr>
          <w:p>
            <w:pPr>
              <w:ind w:left="80"/>
              <w:spacing w:after="0" w:line="202" w:lineRule="exact"/>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1, 2026</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48,350,272</w:t>
            </w:r>
          </w:p>
        </w:tc>
        <w:tc>
          <w:tcPr>
            <w:tcW w:w="340" w:type="dxa"/>
            <w:vAlign w:val="bottom"/>
            <w:tcBorders>
              <w:left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854,090</w:t>
            </w:r>
          </w:p>
        </w:tc>
        <w:tc>
          <w:tcPr>
            <w:tcW w:w="2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(959,716)</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(105,474)</w:t>
            </w:r>
          </w:p>
        </w:tc>
        <w:tc>
          <w:tcPr>
            <w:tcW w:w="0" w:type="dxa"/>
            <w:vAlign w:val="bottom"/>
          </w:tcPr>
          <w:p>
            <w:pPr>
              <w:spacing w:after="0"/>
              <w:rPr>
                <w:sz w:val="1"/>
                <w:szCs w:val="1"/>
                <w:color w:val="auto"/>
              </w:rPr>
            </w:pPr>
          </w:p>
        </w:tc>
      </w:tr>
      <w:tr>
        <w:trPr>
          <w:trHeight w:val="184"/>
        </w:trPr>
        <w:tc>
          <w:tcPr>
            <w:tcW w:w="3500" w:type="dxa"/>
            <w:vAlign w:val="bottom"/>
            <w:gridSpan w:val="2"/>
          </w:tcPr>
          <w:p>
            <w:pPr>
              <w:spacing w:after="0" w:line="183" w:lineRule="exact"/>
              <w:rPr>
                <w:sz w:val="20"/>
                <w:szCs w:val="20"/>
                <w:color w:val="auto"/>
              </w:rPr>
            </w:pPr>
            <w:r>
              <w:rPr>
                <w:rFonts w:ascii="Arial" w:cs="Arial" w:eastAsia="Arial" w:hAnsi="Arial"/>
                <w:sz w:val="18"/>
                <w:szCs w:val="18"/>
                <w:color w:val="auto"/>
              </w:rPr>
              <w:t>Changes During the Three Months Ended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00" w:type="dxa"/>
            <w:vAlign w:val="bottom"/>
            <w:gridSpan w:val="2"/>
          </w:tcPr>
          <w:p>
            <w:pPr>
              <w:spacing w:after="0"/>
              <w:rPr>
                <w:sz w:val="20"/>
                <w:szCs w:val="20"/>
                <w:color w:val="auto"/>
              </w:rPr>
            </w:pPr>
            <w:r>
              <w:rPr>
                <w:rFonts w:ascii="Arial" w:cs="Arial" w:eastAsia="Arial" w:hAnsi="Arial"/>
                <w:sz w:val="18"/>
                <w:szCs w:val="18"/>
                <w:color w:val="auto"/>
              </w:rPr>
              <w:t>March 31, 2026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358,008</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(23,574)</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March 31, 2026</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48,708,280</w:t>
            </w:r>
          </w:p>
        </w:tc>
        <w:tc>
          <w:tcPr>
            <w:tcW w:w="340" w:type="dxa"/>
            <w:vAlign w:val="bottom"/>
            <w:tcBorders>
              <w:left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858,895</w:t>
            </w:r>
          </w:p>
        </w:tc>
        <w:tc>
          <w:tcPr>
            <w:tcW w:w="2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(983,290)</w:t>
            </w:r>
          </w:p>
        </w:tc>
        <w:tc>
          <w:tcPr>
            <w:tcW w:w="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(124,253)</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2025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42,231,746</w:t>
            </w:r>
          </w:p>
        </w:tc>
        <w:tc>
          <w:tcPr>
            <w:tcW w:w="340" w:type="dxa"/>
            <w:vAlign w:val="bottom"/>
            <w:tcBorders>
              <w:lef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797,248</w:t>
            </w:r>
          </w:p>
        </w:tc>
        <w:tc>
          <w:tcPr>
            <w:tcW w:w="2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(806,222)</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184"/>
        </w:trPr>
        <w:tc>
          <w:tcPr>
            <w:tcW w:w="3500" w:type="dxa"/>
            <w:vAlign w:val="bottom"/>
            <w:gridSpan w:val="2"/>
          </w:tcPr>
          <w:p>
            <w:pPr>
              <w:spacing w:after="0" w:line="183" w:lineRule="exact"/>
              <w:rPr>
                <w:sz w:val="20"/>
                <w:szCs w:val="20"/>
                <w:color w:val="auto"/>
              </w:rPr>
            </w:pPr>
            <w:r>
              <w:rPr>
                <w:rFonts w:ascii="Arial" w:cs="Arial" w:eastAsia="Arial" w:hAnsi="Arial"/>
                <w:sz w:val="18"/>
                <w:szCs w:val="18"/>
                <w:color w:val="auto"/>
              </w:rPr>
              <w:t>Changes During the Three Months Ended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00" w:type="dxa"/>
            <w:vAlign w:val="bottom"/>
            <w:gridSpan w:val="2"/>
          </w:tcPr>
          <w:p>
            <w:pPr>
              <w:spacing w:after="0"/>
              <w:rPr>
                <w:sz w:val="20"/>
                <w:szCs w:val="20"/>
                <w:color w:val="auto"/>
              </w:rPr>
            </w:pPr>
            <w:r>
              <w:rPr>
                <w:rFonts w:ascii="Arial" w:cs="Arial" w:eastAsia="Arial" w:hAnsi="Arial"/>
                <w:sz w:val="18"/>
                <w:szCs w:val="18"/>
                <w:color w:val="auto"/>
              </w:rPr>
              <w:t>March 31, 2025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288,925</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8"/>
                <w:szCs w:val="18"/>
                <w:color w:val="auto"/>
              </w:rPr>
              <w:t>Conversion of pre-funded warrants into</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3,206,271</w:t>
            </w:r>
          </w:p>
        </w:tc>
        <w:tc>
          <w:tcPr>
            <w:tcW w:w="2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4"/>
        </w:trPr>
        <w:tc>
          <w:tcPr>
            <w:tcW w:w="3500" w:type="dxa"/>
            <w:vAlign w:val="bottom"/>
            <w:gridSpan w:val="2"/>
          </w:tcPr>
          <w:p>
            <w:pPr>
              <w:ind w:left="340"/>
              <w:spacing w:after="0" w:line="183" w:lineRule="exact"/>
              <w:rPr>
                <w:sz w:val="20"/>
                <w:szCs w:val="20"/>
                <w:color w:val="auto"/>
              </w:rPr>
            </w:pPr>
            <w:r>
              <w:rPr>
                <w:rFonts w:ascii="Arial" w:cs="Arial" w:eastAsia="Arial" w:hAnsi="Arial"/>
                <w:sz w:val="18"/>
                <w:szCs w:val="18"/>
                <w:color w:val="auto"/>
              </w:rPr>
              <w:t>Issuance of ordinary shares, net of</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issuance costs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374,843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(43,843)</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(43,843)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March 31, 2025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46,101,785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803,467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(850,065)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(46,458)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3"/>
        </w:trPr>
        <w:tc>
          <w:tcPr>
            <w:tcW w:w="1280" w:type="dxa"/>
            <w:vAlign w:val="bottom"/>
            <w:tcBorders>
              <w:top w:val="single" w:sz="8" w:color="0000EE"/>
            </w:tcBorders>
          </w:tcPr>
          <w:p>
            <w:pPr>
              <w:spacing w:after="0"/>
              <w:rPr>
                <w:sz w:val="24"/>
                <w:szCs w:val="24"/>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rPr>
              <w:t>UroGen Pharma Ltd.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600" w:type="dxa"/>
            <w:vAlign w:val="bottom"/>
          </w:tcPr>
          <w:p>
            <w:pPr>
              <w:jc w:val="center"/>
              <w:ind w:left="199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(unaudited; in thousands)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9"/>
        </w:trPr>
        <w:tc>
          <w:tcPr>
            <w:tcW w:w="1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128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(23,574)</w:t>
            </w:r>
          </w:p>
        </w:tc>
        <w:tc>
          <w:tcPr>
            <w:tcW w:w="4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(43,843)</w:t>
            </w:r>
          </w:p>
        </w:tc>
      </w:tr>
      <w:tr>
        <w:trPr>
          <w:trHeight w:val="203"/>
        </w:trPr>
        <w:tc>
          <w:tcPr>
            <w:tcW w:w="78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Adjustment to reconcile net loss to net cash from operating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Accrued financing on prepaid forward obligation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(1,889)</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Amortization (Accretion) on marketable securities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(774)</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3,069</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Amortization of discount on long-term debt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374</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Amortization of right of use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425</w:t>
            </w:r>
          </w:p>
        </w:tc>
      </w:tr>
      <w:tr>
        <w:trPr>
          <w:trHeight w:val="202"/>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Acquisitions of IPR&amp;D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3,128</w:t>
            </w:r>
          </w:p>
        </w:tc>
      </w:tr>
      <w:tr>
        <w:trPr>
          <w:trHeight w:val="203"/>
        </w:trPr>
        <w:tc>
          <w:tcPr>
            <w:tcW w:w="78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1,637</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(22,330)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664</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(4,138)</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(2,332)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218</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7,629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2,891</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Employee related accrued expenses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(3,603)</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483</w:t>
            </w: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Lease liabilities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(738)</w:t>
            </w:r>
          </w:p>
        </w:tc>
      </w:tr>
      <w:tr>
        <w:trPr>
          <w:trHeight w:val="20"/>
        </w:trPr>
        <w:tc>
          <w:tcPr>
            <w:tcW w:w="128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8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(45,316)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(42,024)</w:t>
            </w:r>
          </w:p>
        </w:tc>
      </w:tr>
      <w:tr>
        <w:trPr>
          <w:trHeight w:val="196"/>
        </w:trPr>
        <w:tc>
          <w:tcPr>
            <w:tcW w:w="7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(24,780)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(66,351)</w:t>
            </w:r>
          </w:p>
        </w:tc>
      </w:tr>
      <w:tr>
        <w:trPr>
          <w:trHeight w:val="202"/>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Maturities of marketable securities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40,432</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w:t>
            </w:r>
          </w:p>
        </w:tc>
      </w:tr>
      <w:tr>
        <w:trPr>
          <w:trHeight w:val="20"/>
        </w:trPr>
        <w:tc>
          <w:tcPr>
            <w:tcW w:w="12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(20,688)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(25,963)</w:t>
            </w:r>
          </w:p>
        </w:tc>
      </w:tr>
      <w:tr>
        <w:trPr>
          <w:trHeight w:val="196"/>
        </w:trPr>
        <w:tc>
          <w:tcPr>
            <w:tcW w:w="78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788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Principal payments on finance leases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8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Proceeds from exercise of options into ordinary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r>
      <w:tr>
        <w:trPr>
          <w:trHeight w:val="184"/>
        </w:trPr>
        <w:tc>
          <w:tcPr>
            <w:tcW w:w="7880" w:type="dxa"/>
            <w:vAlign w:val="bottom"/>
            <w:gridSpan w:val="2"/>
            <w:shd w:val="clear" w:color="auto" w:fill="CCEEFF"/>
          </w:tcPr>
          <w:p>
            <w:pPr>
              <w:ind w:left="820"/>
              <w:spacing w:after="0" w:line="183" w:lineRule="exact"/>
              <w:rPr>
                <w:sz w:val="20"/>
                <w:szCs w:val="20"/>
                <w:color w:val="auto"/>
              </w:rPr>
            </w:pPr>
            <w:r>
              <w:rPr>
                <w:rFonts w:ascii="Arial" w:cs="Arial" w:eastAsia="Arial" w:hAnsi="Arial"/>
                <w:sz w:val="18"/>
                <w:szCs w:val="18"/>
                <w:color w:val="auto"/>
              </w:rPr>
              <w:t>Proceeds from issuance of long-term debt,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65,346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r>
      <w:tr>
        <w:trPr>
          <w:trHeight w:val="221"/>
        </w:trPr>
        <w:tc>
          <w:tcPr>
            <w:tcW w:w="78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Proceeds from ordinary shares issuances, net of issuance costs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78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65,204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r>
      <w:tr>
        <w:trPr>
          <w:trHeight w:val="196"/>
        </w:trPr>
        <w:tc>
          <w:tcPr>
            <w:tcW w:w="7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Decrease in Cash and Cash Equivalents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(67,953)</w:t>
            </w:r>
          </w:p>
        </w:tc>
      </w:tr>
      <w:tr>
        <w:trPr>
          <w:trHeight w:val="203"/>
        </w:trPr>
        <w:tc>
          <w:tcPr>
            <w:tcW w:w="7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112,095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173,062</w:t>
            </w:r>
          </w:p>
        </w:tc>
        <w:tc>
          <w:tcPr>
            <w:tcW w:w="100" w:type="dxa"/>
            <w:vAlign w:val="bottom"/>
          </w:tcPr>
          <w:p>
            <w:pPr>
              <w:spacing w:after="0"/>
              <w:rPr>
                <w:sz w:val="17"/>
                <w:szCs w:val="17"/>
                <w:color w:val="auto"/>
              </w:rPr>
            </w:pPr>
          </w:p>
        </w:tc>
      </w:tr>
      <w:tr>
        <w:trPr>
          <w:trHeight w:val="236"/>
        </w:trPr>
        <w:tc>
          <w:tcPr>
            <w:tcW w:w="78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111,295</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105,109</w:t>
            </w:r>
          </w:p>
        </w:tc>
      </w:tr>
      <w:tr>
        <w:trPr>
          <w:trHeight w:val="183"/>
        </w:trPr>
        <w:tc>
          <w:tcPr>
            <w:tcW w:w="788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Supplemental Disclosures of Non-Cash Activities</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43"/>
        </w:trPr>
        <w:tc>
          <w:tcPr>
            <w:tcW w:w="78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Right-of-use assets obtained in exchange for new operating and finance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83"/>
        </w:trPr>
        <w:tc>
          <w:tcPr>
            <w:tcW w:w="7880" w:type="dxa"/>
            <w:vAlign w:val="bottom"/>
            <w:gridSpan w:val="2"/>
          </w:tcPr>
          <w:p>
            <w:pPr>
              <w:spacing w:after="0" w:line="182" w:lineRule="exact"/>
              <w:rPr>
                <w:sz w:val="20"/>
                <w:szCs w:val="20"/>
                <w:color w:val="auto"/>
              </w:rPr>
            </w:pPr>
            <w:r>
              <w:rPr>
                <w:rFonts w:ascii="Arial" w:cs="Arial" w:eastAsia="Arial" w:hAnsi="Arial"/>
                <w:sz w:val="18"/>
                <w:szCs w:val="18"/>
                <w:color w:val="auto"/>
              </w:rPr>
              <w:t>Acquisitions of IPR&amp;D</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3,128</w:t>
            </w:r>
          </w:p>
        </w:tc>
      </w:tr>
      <w:tr>
        <w:trPr>
          <w:trHeight w:val="20"/>
        </w:trPr>
        <w:tc>
          <w:tcPr>
            <w:tcW w:w="12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Nature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 is an Israeli company incorporated in April 2004 (“UPL”).</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UroGen Pharma, Inc., a wholly owned subsidiary of UPL, was incorporated in Delaware in October 2015 and began operating in February 2016 (“UPI”).</w:t>
      </w:r>
    </w:p>
    <w:p>
      <w:pPr>
        <w:spacing w:after="0" w:line="14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UPL and UPI (together the “Company”) is a biotechnology company dedicated to developing and commercializing innovative solutions that treat urothelial and specialty cancers. Since commencing operations, the Company has devoted substantially all of its efforts to securing intellectual property rights, performing research and development activities, including conducting clinical trials and manufacturing activities, hiring personnel, launching the Company’s first commercial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developing and securing regulatory approval of and commercializing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(mitomycin) for intravesical solution, formerly known as UGN-102, and raising capital to support and expand these activities.</w:t>
      </w:r>
    </w:p>
    <w:p>
      <w:pPr>
        <w:spacing w:after="0" w:line="16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On April 15, 2020, the U.S. Food and Drug Administration (“FDA”) granted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first-in-class treatment indicated for adults with low-grade upper tract urothelial cancer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the Company's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It has been designed to enable longer exposure of urinary tract tissue to mitomycin, thereby enabling the treatment of tumors by non-surgical means.</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On June 12, 2025, the FDA approved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the first and only FDA-approved medication for adults with recurrent low-grade intermediate risk non-muscle invasive bladder cancer (“low-grade intermediate risk NMIBC”).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consists of mitomycin and sterile hydrogel, using the Company’s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and is delivered directly into the bladder in an out-patient procedure by a trained healthcare professional using a urinary catheter to enable the treatment of tumors by non-surgical means.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Basis of Presentation</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in accordance with the instructions to Form 10-Q and Article 10 of Regulation S-X. Accordingly, they do not include all the information and footnotes required by GAAP for complete financial statements. In the opinion of the Company’s management, the accompanying condensed consolidated financial statements contain all adjustments (consisting of normal recurring accruals and adjustments) necessary for fair statement of its financial position, results of operations and cash flows of the Company at the dates and for the periods indicated. Interim results are not necessarily indicative of results for the full fiscal year. The year-end condensed consolidated balance sheet data was derived from audited financial statements but does not include all disclosures required by accounting principles generally accepted in the United States. The unaudited condensed consolidated financial statements should be read in conjunction with the consolidated financial statements and the notes thereto contained in the Company’s Annual Report on Form 10-K for the year ended December 31, 2025, as filed with the U.S. Securities and Exchange Commission (“SEC”) on March 2, 2026.</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The Company has experienced net losses since its inception and had an accumulated deficit of $983.3 million and $959.7 million as of March 31, 2026 and December 31, 2025, respectively. The Company expects to incur losses and have negative net cash flows from operating activities as it executes its strategy, including the ongoing commercialization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w:t>
      </w:r>
      <w:r>
        <w:rPr>
          <w:rFonts w:ascii="Arial" w:cs="Arial" w:eastAsia="Arial" w:hAnsi="Arial"/>
          <w:sz w:val="18"/>
          <w:szCs w:val="18"/>
          <w:i w:val="1"/>
          <w:iCs w:val="1"/>
          <w:color w:val="auto"/>
        </w:rPr>
        <w:t>Jelmyto</w:t>
      </w:r>
      <w:r>
        <w:rPr>
          <w:rFonts w:ascii="Arial" w:cs="Arial" w:eastAsia="Arial" w:hAnsi="Arial"/>
          <w:sz w:val="18"/>
          <w:szCs w:val="18"/>
          <w:color w:val="auto"/>
        </w:rPr>
        <w:t>, and engaging in further research and development activities. The success of the Company depends on its ability to successfully commercialize its technologies to support its operations and strategic plan.</w:t>
      </w:r>
    </w:p>
    <w:p>
      <w:pPr>
        <w:spacing w:after="0" w:line="1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In accordance with the accounting guidance related to the presentation of financial statements, management evaluates whether there are conditions or events, considered in the aggregate, that raise substantial doubt about the Company’s ability to continue as a going concern for the next 12 months from the date the financial statements are issued. The accompanying condensed consolidated financial statements have been prepared assuming that the Company will continue as a going concern, and do not include any adjustments relating to the carrying amounts and classification of assets and liabilities that may be necessary should the Company be unable to continue as a going concern. The Company's ability to continue as a going concern is expected to be impacted by its ability to produce cash inflows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Zusduri </w:t>
      </w:r>
      <w:r>
        <w:rPr>
          <w:rFonts w:ascii="Arial" w:cs="Arial" w:eastAsia="Arial" w:hAnsi="Arial"/>
          <w:sz w:val="18"/>
          <w:szCs w:val="18"/>
          <w:color w:val="auto"/>
        </w:rPr>
        <w:t>product sales, the rate of physician and patient adoption of</w:t>
      </w:r>
      <w:r>
        <w:rPr>
          <w:rFonts w:ascii="Arial" w:cs="Arial" w:eastAsia="Arial" w:hAnsi="Arial"/>
          <w:sz w:val="18"/>
          <w:szCs w:val="18"/>
          <w:i w:val="1"/>
          <w:iCs w:val="1"/>
          <w:color w:val="auto"/>
        </w:rPr>
        <w:t xml:space="preserve"> Zusduri </w:t>
      </w:r>
      <w:r>
        <w:rPr>
          <w:rFonts w:ascii="Arial" w:cs="Arial" w:eastAsia="Arial" w:hAnsi="Arial"/>
          <w:sz w:val="18"/>
          <w:szCs w:val="18"/>
          <w:color w:val="auto"/>
        </w:rPr>
        <w:t>and the Company's ability to raise additional capital to fund its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future.</w:t>
      </w:r>
    </w:p>
    <w:p>
      <w:pPr>
        <w:spacing w:after="0" w:line="16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Based on the Company's cash and cash equivalents and marketable securities as of March 31, 2026, together with management’s cash flow projections, the Company believes that it has sufficient cash and cash equivalents to fund its operations beyond one year from the issuance of these financial statements. If the Company is unable to generate sufficient cash inflows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product sales, the Company may need to raise additional capital in the future or reduce operating expenditures. There can be no assurances that the Company will be able to secure such additional financing on terms that are satisfactory to the Company, in an amount sufficient to meet the Company's needs, or at all. In the event the Company is not successful in obtaining sufficient funding, this could force the Company to delay, limit, reduce or terminate the Company's product development, commercialization efforts or other operations.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Company's condensed consolidated financial statements include the accounts of UPL and its subsidiary, UPI. Intercompany balances and transactions have been eliminated during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may differ from those estimates. As applicable to the unaudited condensed consolidated financial statements, the critical accounting estimates relate to the fair value of share-based compensation, measurement of revenue, estimate of uncertain tax positions, and measurement of liabilities accounted for under the interest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9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U.S. dollar (“Dollar” or "dollar") is the currency of the primary economic environment in which the operations of the Company are conducted. Therefore, the functional currency of the Company is the Dollar.</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condensed consolidated statements of operations as “Interest and other income,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Marketable Securities</w:t>
      </w:r>
    </w:p>
    <w:p>
      <w:pPr>
        <w:spacing w:after="0" w:line="19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presents all highly liquid investments with an original maturity of three months or less when purchased as cash equivalents. Cash and cash equivalents generally consist of money market funds and bank money market accounts and are stated at cost, which approximates fair value.</w:t>
      </w:r>
    </w:p>
    <w:p>
      <w:pPr>
        <w:spacing w:after="0" w:line="15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Cash and cash equivalents and marketable securities totaled $140.3 million as of March 31, 2026. The Company accounts for its investments, which include cash equivalents and marketable securities, as available-for-sale in accordance with the Financial Accounting Standards Board (“FASB”) Accounting Standards Codification (“ASC”) Topic 320, “Investments — Debt and Equity Securities”. Available-for-sale debt securities are carried at fair value with unrealized gains and losses reported in accumulated other comprehensive income (loss) within the condensed consolidated statements of shareholders’ deficit. Realized gains and losses are recorded as a component of interest and other income, net. The cost of securities sold is based on the specific-identification method.</w:t>
      </w:r>
    </w:p>
    <w:p>
      <w:pPr>
        <w:spacing w:after="0" w:line="16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Certain short-term investments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The majority of these assumptions are observable in the marketplace, can be derived from observable data or are supported by observable levels at which transactions are executed in the marketplace.</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individual debt securities classified as available-for-sale securities where there has been a decline in fair value below amortized cost, the Company determines whether the decline resulted from a credit loss or other factors. The Company records impairment relating to credit losses through an allowance for credit losses, limited by the amount that the fair value is less than the amortized cost basis. Impairment that has not been recorded through an allowance for credit losses is recorded through other comprehensive income, net of applicable taxes.</w:t>
      </w:r>
    </w:p>
    <w:p>
      <w:pPr>
        <w:spacing w:after="0" w:line="16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Restricted cash is related primarily to cash held to secure corporate credit cards; restricted deposits are related to cash held to secure leases.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and marketable securities. The primary objectives for the Company’s investment portfolio are the preservation of capital and the maintenance of liquidity. The Company does not enter into any investment transactions for trading or speculative purposes.</w:t>
      </w:r>
    </w:p>
    <w:p>
      <w:pPr>
        <w:spacing w:after="0" w:line="155"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The Company maintains cash balances in excess of amounts insured by the Federal Deposit Insurance Corporation and concentrated within a limited number of financial institutions. The accounts are monitored by management to mitigate the risk.</w:t>
      </w:r>
    </w:p>
    <w:p>
      <w:pPr>
        <w:spacing w:after="0" w:line="16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 xml:space="preserve">The Company’s accounts receivables are composed of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arising from the Company's arrangements with two customers, both of which are third-party national specialty distributors. The Company assesses the need for an allowance for doubtful accounts primarily based on creditworthiness, historical payment experience and general economic conditions. The Company has not experienced any credit losses related to arrangements with customers and has not currently recognized any allowance for doubtful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Company provides for income taxes based on pretax income, if any, and applicable tax rates available in the various jurisdictions in which it operates, including Israel and the United States. Deferred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follows a two-step approach in recognizing and measuring uncertain tax positions. After concluding that a particular filing position can be recognized (i.e., has a more-likely-than-not chance of being sustained), ASC 740-10-30-7 requires that the amount of benefit recognized be measured using a methodology based on the concept of cumulative probability. Under this methodology, the amount of benefit recorded represents the largest amount of tax benefit that is greater than 50% likely to be realized upon settlement with a taxing authority that has full knowledge of all relevant information. See Note 17 for further discussion related to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9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both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the Company commenced capitalization of inventory at the receipt of FDA approval. Costs related to inventories that are not expected to be manufactured and sold within the next 12 months are classified as long-term assets and presented within "Other non-current assets" on the condensed consolidated balance sheets.</w:t>
      </w:r>
    </w:p>
    <w:p>
      <w:pPr>
        <w:spacing w:after="0" w:line="165"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The Company values its inventory at the lower of cost or net realizable value. The Company measures inventory approximating actual cost under a first-in, first-out basis. The Company assesses recoverability of inventory each reporting period to determine any write down to net realizable value resulting from excess or obsolete inventories</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Property and equipment are recorded at historical cost, net of accumulated depreciation, amortization and, if applicable, impairment charges. The Company reviews its property and equipment assets for impairment whenever events or changes in circumstances indicate that the carrying amount of an asset may not be recoverable.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depreciated over the following useful lives (in years):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Useful Lives</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Computers and software</w:t>
            </w:r>
          </w:p>
        </w:tc>
        <w:tc>
          <w:tcPr>
            <w:tcW w:w="5660" w:type="dxa"/>
            <w:vAlign w:val="bottom"/>
            <w:gridSpan w:val="2"/>
            <w:shd w:val="clear" w:color="auto" w:fill="CCEEFF"/>
          </w:tcPr>
          <w:p>
            <w:pPr>
              <w:jc w:val="center"/>
              <w:ind w:left="4310"/>
              <w:spacing w:after="0" w:line="196" w:lineRule="exact"/>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5660" w:type="dxa"/>
            <w:vAlign w:val="bottom"/>
            <w:gridSpan w:val="2"/>
          </w:tcPr>
          <w:p>
            <w:pPr>
              <w:jc w:val="center"/>
              <w:ind w:left="4330"/>
              <w:spacing w:after="0" w:line="202" w:lineRule="exact"/>
              <w:rPr>
                <w:sz w:val="20"/>
                <w:szCs w:val="20"/>
                <w:color w:val="auto"/>
              </w:rPr>
            </w:pPr>
            <w:r>
              <w:rPr>
                <w:rFonts w:ascii="Arial" w:cs="Arial" w:eastAsia="Arial" w:hAnsi="Arial"/>
                <w:sz w:val="18"/>
                <w:szCs w:val="18"/>
                <w:color w:val="auto"/>
              </w:rPr>
              <w:t>3 - 6.5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w:t>
            </w:r>
          </w:p>
        </w:tc>
        <w:tc>
          <w:tcPr>
            <w:tcW w:w="5660" w:type="dxa"/>
            <w:vAlign w:val="bottom"/>
            <w:gridSpan w:val="2"/>
            <w:shd w:val="clear" w:color="auto" w:fill="CCEEFF"/>
          </w:tcPr>
          <w:p>
            <w:pPr>
              <w:jc w:val="center"/>
              <w:ind w:left="4330"/>
              <w:spacing w:after="0" w:line="202" w:lineRule="exact"/>
              <w:rPr>
                <w:sz w:val="20"/>
                <w:szCs w:val="20"/>
                <w:color w:val="auto"/>
              </w:rPr>
            </w:pPr>
            <w:r>
              <w:rPr>
                <w:rFonts w:ascii="Arial" w:cs="Arial" w:eastAsia="Arial" w:hAnsi="Arial"/>
                <w:sz w:val="18"/>
                <w:szCs w:val="18"/>
                <w:color w:val="auto"/>
                <w:w w:val="98"/>
              </w:rPr>
              <w:t>5 - 16.5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9"/>
        </w:trPr>
        <w:tc>
          <w:tcPr>
            <w:tcW w:w="11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5660" w:type="dxa"/>
            <w:vAlign w:val="bottom"/>
            <w:gridSpan w:val="2"/>
          </w:tcPr>
          <w:p>
            <w:pPr>
              <w:jc w:val="center"/>
              <w:ind w:left="4310"/>
              <w:spacing w:after="0"/>
              <w:rPr>
                <w:sz w:val="20"/>
                <w:szCs w:val="20"/>
                <w:color w:val="auto"/>
              </w:rPr>
            </w:pPr>
            <w:r>
              <w:rPr>
                <w:rFonts w:ascii="Arial" w:cs="Arial" w:eastAsia="Arial" w:hAnsi="Arial"/>
                <w:sz w:val="18"/>
                <w:szCs w:val="18"/>
                <w:color w:val="auto"/>
                <w:w w:val="99"/>
              </w:rPr>
              <w:t>2 - 10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6"/>
        </w:trPr>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0" w:type="dxa"/>
            <w:vAlign w:val="bottom"/>
          </w:tcPr>
          <w:p>
            <w:pPr>
              <w:jc w:val="right"/>
              <w:ind w:right="299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
        </w:trPr>
        <w:tc>
          <w:tcPr>
            <w:tcW w:w="112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 See Note 8 for further discussion regarding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Obligation</w:t>
      </w:r>
    </w:p>
    <w:p>
      <w:pPr>
        <w:spacing w:after="0" w:line="19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The Company is party to a transaction with RTW Investments (the “RTW Transaction”) in which the Company received funds to support the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return for tiered, future cash payments based on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and, subject to FDA approval, UGN-103 and UGN-104. The net proceeds received under the RTW Transaction were recognized as a long-term liability. The Company recognizes the current cash payable amounts under the arrangement within other current liabilities on the condensed consolidated balance sheets. The subsequent measurement for the liability follows the accounting principles defined in ASC Topic 835-30, “Imputation of Interest”. See Note 9 for further discussion related to the prepaid forward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9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Company is party to a loan agreement with funds managed by Pharmakon Advisors, L.P. (“Pharmakon”). The Company recognizes interest expense in current earnings, and accrued interest within other current liabilities on the condensed consolidated balance sheets. The Company recognizes capitalized financing expenses as a direct offset to the long-term debt on the Company's condensed consolidated balance sheets, and amortizes them over the term of the debt using the effective interest method. See Note 10 for further discussion related to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lessee in several noncancelable operating and finance leases, primarily for office space, office equipment and vehicles.</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accounts for leases in accordance with ASC Topic 842, “Leases.” The Company determines if an arrangement is a lease at inception. The Company additionally evaluates leases at their inception to determine if they are to be accounted for as an operating lease or a finance lease. Right-of-use (“ROU”) assets and lease liabilities are recognized based on the present value of lease payments over the lease term as of the commencement date. Certain adjustments to the ROU assets may be required for items such as initial direct costs paid or incentives received. Operating and finance lease ROU assets are presented as right-of-use assets on the condensed consolidated balance sheets. The current portion of lease liabilities is included in other current liabilities, and the long-term portion is presented separately as long-term lease liabilities on the condensed consolidated balance sheets.</w:t>
      </w:r>
    </w:p>
    <w:p>
      <w:pPr>
        <w:spacing w:after="0" w:line="17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Lease expense for operating leases is recognized on a straight-line basis over the lease term. For finance leases, the expense consists of interest on the lease liability and amortization of the ROU asset. Variable lease payments associated with the Company’s leases are recognized when the event, activity, or circumstance in the lease agreement on which those payments are assessed occurs. Variable lease payments are presented as selling, general and administrative expenses in the condensed consolidated statements of operations. The Company has elected the practical expedient to not separate between lease and non-lease components.</w:t>
      </w:r>
    </w:p>
    <w:p>
      <w:pPr>
        <w:spacing w:after="0" w:line="16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Company’s lease terms may include options to extend the lease. The lease extensions are included in the measurement of the ROU asset and lease liability when it is reasonably certain that it will exercise that option.</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Because the implicit rates of return on the Company’s leases are not readily determinable, the Company uses an incremental borrowing rate, based on the information available at the commencement date, to determine the present value of lease payments on an individual lease basis. The Company’s incremental borrowing rate for a lease is the rate of interest it would have to pay on a collateralized basis to borrow an amount equal to the lease payments under similar terms.</w:t>
      </w:r>
    </w:p>
    <w:p>
      <w:pPr>
        <w:spacing w:after="0" w:line="16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 xml:space="preserve">ROU assets for operating leases are periodically reviewed for impairment losses under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 xml:space="preserve"> “Property, Plant, and Equipment”, to determine whether an ROU asset is impaired, and if so, the amount of the impairment loss to recognize.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Net revenue from product sales is recognized at the transaction price when the specialty distributors obtain control of the Company’s products, which occurs at a point in time, typically upon delivery of the product to the treating physician or mixing pharmacy. All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are recognized through the Company's arrangements with two customers as defined by ASC 606, both of which are third-party national specialty distributors. Net revenue recognized includes gross revenue and management’s estimate of returns, consideration paid to the customers, such as rebates, chargebacks relating to differences between the wholesale acquisition cost and the contracted price offered to the end consumer, chargebacks relating to 340B drug pricing programs and other government sponsored programs, Medicaid drug rebate programs, the Company’s copay assistance program, and Medicare refunds for discarded drug, which are estimated based on the contractual or statutory terms governing the arrangements and the Company’s historical experience.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Research and development costs are expensed as incurred and consist primarily of the cost of salaries, share-based compensation expenses, payroll taxes and other employee benefits, subcontractors and materials used for research and development activities, including nonclinical studies, clinical trials, manufacturing costs and professional services. The costs of services performed by others in connection with the research and development activities of the Company, including research and development conducted by others on behalf of the Company, are included in research and development costs and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such development milestone results are achieved.</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When a transaction accounted for as an asset acquisition includes in-process research and development (“IPR&amp;D”), the IPR&amp;D asset is only capitalized as an intangible asset if it is determined to have an alternative future use other than in a particular research and development project. Otherwise, acquired IPR&amp;D is recognized as research and development expenses in the period the transaction is closed.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Selling, general and administrative expenses consist primarily of personnel costs (including share-based compensation related to directors, employees and consultants). Other significant costs include commercial, medical affairs, external professional service costs, facility costs, accounting and audit services, legal services and other consulting fees. Selling,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Share-based compensation cost is measured at the grant date based on the fair value of the award and is recognized as expense over the required service period, which is equal to the vesting period. For performance stock units (“PSUs”), cost is measured at the grant date based on the fair value of the award and is recognized over any relevant service period as expense when the achievement of the performance condition is probable. PSUs that include both a performance condition and a service condition are subject to graded vesting, and the related compensation cost is recognized on a straight-line basis over the requisite service period for each separately vesting tranche.</w:t>
      </w:r>
    </w:p>
    <w:p>
      <w:pPr>
        <w:spacing w:after="0" w:line="16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fair value of options is determined using the Black-Scholes option-pricing model. The fair value of a restricted stock unit (“RSU”) or a PSU equals the closing price of the Company’s ordinary shares on the grant date.</w:t>
      </w:r>
    </w:p>
    <w:p>
      <w:pPr>
        <w:spacing w:after="0" w:line="14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 accounts for forfeitures as they occur in accordance with ASC Topic 718, “Compensation—Stock Compensation”. The Company elected to recognize compensation costs for awards conditioned only on continued service that have a graded vesting schedule using the straight-line method and to value the awards based on the single-option award approach.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pre-funded warrants in connection with both a private placement transaction and a public offering transaction that are accounted for as a freestanding equity-linked financial instrument that meets the criteria for equity classification under ASC 480, “Distinguishing Liabilities from Equity,” and ASC 815, “Derivatives and Hedging.” Accordingly, the Company classifies the pre-funded warrants as a component of permanent shareholders’ equity within additional paid-in capital and records them at the applicable issuance date using a relative fair value allocation method. The Company valued the pre-funded warrants at the applicable issuance date, concluding that their sales price approximated their fair value, and allocated the net sales proceeds from the applicable equity transaction proportionately to the ordinary shares and pre-funded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96"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Basic net loss per share is computed by dividing the net loss attributable to ordinary shareholders by the weighted-average number of ordinary shares outstanding. Diluted net loss per share is computed similarly to basic net loss per share except that the denominator is increased to include the number of additional ordinary shares that would have been outstanding if the potential ordinary shares had been issued and if the additional ordinary shares were dilutive.</w:t>
      </w:r>
    </w:p>
    <w:p>
      <w:pPr>
        <w:spacing w:after="0" w:line="16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For all periods presented, potentially dilutive securities are excluded from the computation of fully diluted loss per share as their effect is anti-dilutive. Such potentially dilutive securities consist solely of outstanding restricted share units and stock options issued under the Company’s share-based compensation plans. See Note 16 Share-based Compensation for more information.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Company’s pre-funded warrants require the holder to pay nominal consideration to receive the Company’s ordinary shares and are therefore considered outstanding shares in determining basic and diluted earnings per share in accordance with ASC Topic 260, “Earnings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or Issued Accounting Pronouncements</w:t>
      </w:r>
    </w:p>
    <w:p>
      <w:pPr>
        <w:spacing w:after="0" w:line="19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 Expense Disaggregation Disclosures (Subtopic 220-40) ("ASU 2024-03"), which provides guidance to improve the disclosures about a public business entity’s expenses. Public entities must adopt the new guidance for fiscal years beginning after December 15, 2026, and interim reporting periods beginning after December 15, 2027. The Company is currently evaluating the potential impact of the adoption of ASU 2024-03 on the Company’s financial disclosures.</w:t>
      </w:r>
    </w:p>
    <w:p>
      <w:pPr>
        <w:spacing w:after="0" w:line="16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In July 2025, the FASB issued Accounting Standards Update No. 2025-05, Measurement of Credit Losses for Accounts Receivable and Contract Assets (“ASU 2025-05”), which clarifies the application of the current expected credit losses (CECL) model under ASC 326 to current accounts receivable and contract assets arising from transactions accounted for under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The guidance, which is effective for fiscal years beginning after December 15, 2025, including interim periods within those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was adopted by the Company on January 1, 2026 on a prospective basis. The adoption of ASU 2025-05 did not have a material impact on the Company's consolidated financial position, results of operations, or cash flows as the Company’s trade receivables primarily</w:t>
      </w:r>
    </w:p>
    <w:p>
      <w:pPr>
        <w:sectPr>
          <w:pgSz w:w="11900" w:h="16838" w:orient="portrait"/>
          <w:cols w:equalWidth="0" w:num="1">
            <w:col w:w="11240"/>
          </w:cols>
          <w:pgMar w:left="320" w:top="121" w:right="339" w:bottom="0" w:gutter="0" w:footer="0" w:header="0"/>
        </w:sectPr>
      </w:pPr>
    </w:p>
    <w:bookmarkStart w:id="11" w:name="page12"/>
    <w:bookmarkEnd w:id="11"/>
    <w:p>
      <w:pPr>
        <w:ind w:right="100"/>
        <w:spacing w:after="0" w:line="270" w:lineRule="auto"/>
        <w:rPr>
          <w:sz w:val="20"/>
          <w:szCs w:val="20"/>
          <w:color w:val="auto"/>
        </w:rPr>
      </w:pPr>
      <w:r>
        <w:rPr>
          <w:rFonts w:ascii="Arial" w:cs="Arial" w:eastAsia="Arial" w:hAnsi="Arial"/>
          <w:sz w:val="18"/>
          <w:szCs w:val="18"/>
          <w:color w:val="auto"/>
        </w:rPr>
        <w:t>arise from product sales recognized at a point in time and are due from two large, established customers, both of which are third-party national specialty distributors, with short payment terms.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reviewed other Accounting Standards Updates recently issued by the FASB and determined that none of these pronouncements will have a significant impact on the Company's condensed consolidated financial statements and related disclosures.</w:t>
      </w:r>
    </w:p>
    <w:p>
      <w:pPr>
        <w:spacing w:after="0" w:line="14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22" w:right="8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Other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as of March 31, 2026 and December 31, 2025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March 31,</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17,209</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12,137</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sales reserves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8,278</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6,493</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expenses</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2,627</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2,364</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749</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886</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selling, general and administrative expenses</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4,562</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3,903</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other expenses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1,921</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1,934</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35,346</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27,717</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of the following for the three months ended March 31, 2026 and 2025 (in thousands):</w:t>
      </w: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33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56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2,204</w:t>
            </w:r>
          </w:p>
        </w:tc>
        <w:tc>
          <w:tcPr>
            <w:tcW w:w="80" w:type="dxa"/>
            <w:vAlign w:val="bottom"/>
            <w:shd w:val="clear" w:color="auto" w:fill="CCEEFF"/>
          </w:tcPr>
          <w:p>
            <w:pPr>
              <w:spacing w:after="0"/>
              <w:rPr>
                <w:sz w:val="17"/>
                <w:szCs w:val="17"/>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and other income, net</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as of March 31, 2026 and December 31, 2025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March 31,</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Raw materials </w:t>
            </w:r>
            <w:r>
              <w:rPr>
                <w:rFonts w:ascii="Arial" w:cs="Arial" w:eastAsia="Arial" w:hAnsi="Arial"/>
                <w:sz w:val="14"/>
                <w:szCs w:val="14"/>
                <w:color w:val="auto"/>
              </w:rPr>
              <w:t>(1)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12,095</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11,042</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11,159</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5,422</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inventories</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23,254</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16,464</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220" w:right="160"/>
        <w:spacing w:after="0" w:line="266" w:lineRule="auto"/>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$2.3 million of raw materials are included within other non-current assets on the condensed consolidated balance sheets at March 31,</w:t>
      </w:r>
      <w:r>
        <w:rPr>
          <w:rFonts w:ascii="Arial" w:cs="Arial" w:eastAsia="Arial" w:hAnsi="Arial"/>
          <w:sz w:val="15"/>
          <w:szCs w:val="15"/>
          <w:color w:val="auto"/>
        </w:rPr>
        <w:t xml:space="preserve"> </w:t>
      </w:r>
      <w:r>
        <w:rPr>
          <w:rFonts w:ascii="Arial" w:cs="Arial" w:eastAsia="Arial" w:hAnsi="Arial"/>
          <w:sz w:val="17"/>
          <w:szCs w:val="17"/>
          <w:color w:val="auto"/>
        </w:rPr>
        <w:t>2026. These raw materials are not expected to be manufactured and sold within the next 12 months. Changes in non-current inventories are reflected on the condensed consolidated statements of cash flows within the caption of other non-current assets. No raw materials were included as other non-current assets on the condensed consolidated balance sheets at December 31, 2025.</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As a basis for considering such assumptions, a three-tier fair value hierarchy has been established, which prioritizes the inputs used in measuring fair value as follows:</w:t>
      </w:r>
    </w:p>
    <w:p>
      <w:pPr>
        <w:spacing w:after="0" w:line="140"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Observable inputs such as quoted prices (unadjusted) in active markets for identical assets or liabilities.</w:t>
      </w:r>
    </w:p>
    <w:p>
      <w:pPr>
        <w:spacing w:after="0" w:line="198" w:lineRule="exact"/>
        <w:rPr>
          <w:sz w:val="20"/>
          <w:szCs w:val="20"/>
          <w:color w:val="auto"/>
        </w:rPr>
      </w:pPr>
    </w:p>
    <w:p>
      <w:pPr>
        <w:jc w:val="both"/>
        <w:ind w:left="1260" w:right="120" w:hanging="1120"/>
        <w:spacing w:after="0" w:line="253"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5"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reflect the reporting entity’s own assumptions.</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carrying amounts of the Company’s cash, restricted cash, other current assets, accounts payable and accrued liabilities are generally considered to be representative of their fair value because of the short-term nature of these assets and liabilities.</w:t>
      </w:r>
    </w:p>
    <w:p>
      <w:pPr>
        <w:spacing w:after="0" w:line="140"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The carrying value of the prepaid forward obligation (See Note 9 - Prepaid Forward Obligation) approximates its fair value. The Company estimated the fair value of the prepaid forward obligation using Level 3 inputs, including internally developed financial forecasts and management's estimate of probability of success related to product candidates, and determined that the effective interest rate in the obligation approximates market rates for loans with similar terms and risk characteristics.</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estimated the fair value of long-term debt (see Note 10 - Long-Term Debt) using the income approach with Level 3 inputs. The Company estimated fair value based on publicly available data reported in the financial statements of publicly traded venture lending companies. Based on a reasonable range of yields for debt instruments of similar tenor in a similar industry, the Company determined that the carrying value of the long-term debt on the Company's balance sheet approximates its fair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 transfers between levels have occurred during the periods presented.</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Assets measured at fair value on a recurring basis based on Level 1 and Level 2 fair value measurement criteria as of March 31, 2026 are as follows (in thousands):</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7"/>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line="202" w:lineRule="exact"/>
              <w:rPr>
                <w:sz w:val="20"/>
                <w:szCs w:val="20"/>
                <w:color w:val="auto"/>
              </w:rPr>
            </w:pPr>
            <w:r>
              <w:rPr>
                <w:rFonts w:ascii="Arial" w:cs="Arial" w:eastAsia="Arial" w:hAnsi="Arial"/>
                <w:sz w:val="18"/>
                <w:szCs w:val="18"/>
                <w:color w:val="auto"/>
              </w:rPr>
              <w:t>U.S. government</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9,439</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U.S. government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24,805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24,805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3,549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3,549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20"/>
              <w:spacing w:after="0" w:line="202" w:lineRule="exact"/>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5960" w:type="dxa"/>
            <w:vAlign w:val="bottom"/>
            <w:tcBorders>
              <w:top w:val="single" w:sz="8" w:color="CCEEFF"/>
              <w:bottom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Total marketable securities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30,306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1300" w:type="dxa"/>
            <w:vAlign w:val="bottom"/>
            <w:tcBorders>
              <w:top w:val="single" w:sz="8" w:color="CCEEFF"/>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24,805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auto"/>
            </w:tcBorders>
            <w:shd w:val="clear" w:color="auto" w:fill="CCEEFF"/>
          </w:tcPr>
          <w:p>
            <w:pPr>
              <w:spacing w:after="0"/>
              <w:rPr>
                <w:sz w:val="16"/>
                <w:szCs w:val="16"/>
                <w:color w:val="auto"/>
              </w:rPr>
            </w:pPr>
          </w:p>
        </w:tc>
        <w:tc>
          <w:tcPr>
            <w:tcW w:w="1220" w:type="dxa"/>
            <w:vAlign w:val="bottom"/>
            <w:tcBorders>
              <w:top w:val="single" w:sz="8" w:color="CCEEFF"/>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6"/>
        </w:trPr>
        <w:tc>
          <w:tcPr>
            <w:tcW w:w="5980" w:type="dxa"/>
            <w:vAlign w:val="bottom"/>
            <w:gridSpan w:val="2"/>
          </w:tcPr>
          <w:p>
            <w:pPr>
              <w:spacing w:after="0" w:line="182" w:lineRule="exact"/>
              <w:rPr>
                <w:sz w:val="20"/>
                <w:szCs w:val="20"/>
                <w:color w:val="auto"/>
              </w:rPr>
            </w:pPr>
            <w:r>
              <w:rPr>
                <w:rFonts w:ascii="Arial" w:cs="Arial" w:eastAsia="Arial" w:hAnsi="Arial"/>
                <w:sz w:val="18"/>
                <w:szCs w:val="18"/>
                <w:color w:val="auto"/>
              </w:rPr>
              <w:t>Total assets at fair value</w:t>
            </w: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39,749</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34,248</w:t>
            </w:r>
          </w:p>
        </w:tc>
        <w:tc>
          <w:tcPr>
            <w:tcW w:w="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5,501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Assets measured at fair value on a recurring basis based on Level 1 and Level 2 fair value measurement criteria as of December 31, 2025 are as follows (in thousands):</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7"/>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1"/>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Money market funds</w:t>
            </w:r>
          </w:p>
        </w:tc>
        <w:tc>
          <w:tcPr>
            <w:tcW w:w="1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39,618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39,618</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Marketable securities</w:t>
            </w:r>
          </w:p>
        </w:tc>
        <w:tc>
          <w:tcPr>
            <w:tcW w:w="18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bonds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1,695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Certificates of deposit</w:t>
            </w: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2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9,711</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9,711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 at fair value</w:t>
            </w:r>
          </w:p>
        </w:tc>
        <w:tc>
          <w:tcPr>
            <w:tcW w:w="196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49,329</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39,618</w:t>
            </w:r>
          </w:p>
        </w:tc>
        <w:tc>
          <w:tcPr>
            <w:tcW w:w="3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The Company’s investments in U.S. government bonds and money market funds are measured based on publicly available quoted market prices for identical securities as of March 31, 2026 and December 31, 2025. The Company's investments in corporate bonds, commercial paper and certificates of deposits are measured based on quotes from market makers for similar items in active markets.</w:t>
      </w:r>
    </w:p>
    <w:p>
      <w:pPr>
        <w:sectPr>
          <w:pgSz w:w="11900" w:h="16838" w:orient="portrait"/>
          <w:cols w:equalWidth="0" w:num="1">
            <w:col w:w="11220"/>
          </w:cols>
          <w:pgMar w:left="320" w:top="121" w:right="359" w:bottom="903" w:gutter="0" w:footer="0" w:header="0"/>
        </w:sectPr>
      </w:pP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03"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March 31, 2026 (in thousands):</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U.S. government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9,439</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U.S. government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24,805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3,549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8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30,298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30,306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240" w:type="dxa"/>
            <w:vAlign w:val="bottom"/>
            <w:gridSpan w:val="2"/>
          </w:tcPr>
          <w:p>
            <w:pPr>
              <w:spacing w:after="0" w:line="182" w:lineRule="exact"/>
              <w:rPr>
                <w:sz w:val="20"/>
                <w:szCs w:val="20"/>
                <w:color w:val="auto"/>
              </w:rPr>
            </w:pPr>
            <w:r>
              <w:rPr>
                <w:rFonts w:ascii="Arial" w:cs="Arial" w:eastAsia="Arial" w:hAnsi="Arial"/>
                <w:sz w:val="18"/>
                <w:szCs w:val="18"/>
                <w:color w:val="auto"/>
              </w:rPr>
              <w:t>Total assets at fair value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39,741</w:t>
            </w:r>
          </w:p>
        </w:tc>
        <w:tc>
          <w:tcPr>
            <w:tcW w:w="3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ind w:left="880"/>
              <w:spacing w:after="0" w:line="182" w:lineRule="exact"/>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39,749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classifies its investments as available-for-sale, and they consist entirely of debt securities. As of March 31, 2026, the amortized cost of investments included an immaterial amount of accrued interest. As of March 31, 2026, marketable securities were in a net unrealized gain position. Unrealized gains and losses on available-for-sale debt securities are included as a component of comprehensive loss.</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of March 31, 2026, the Company did not hold any investments in an unrealized loss position. Accordingly, no allowance for credit losses was recorded during the period. In accordance with the Company’s general investment strategy, the Company does not intend to sell the investments before maturity. As of March 31, 2026, the Company believes the cost basis for its marketable securities was recoverable in all material aspects.</w:t>
      </w:r>
    </w:p>
    <w:p>
      <w:pPr>
        <w:spacing w:after="0" w:line="16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The Company’s investments as of March 31, 2026 mature at various dates through October 2026. The fair values of investments by contractual maturity consist of the following (in thousands):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Maturities within one year</w:t>
            </w:r>
          </w:p>
        </w:tc>
        <w:tc>
          <w:tcPr>
            <w:tcW w:w="1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39,749</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49,329</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Maturities after one year through three years</w:t>
            </w:r>
          </w:p>
        </w:tc>
        <w:tc>
          <w:tcPr>
            <w:tcW w:w="1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investments</w:t>
            </w:r>
          </w:p>
        </w:tc>
        <w:tc>
          <w:tcPr>
            <w:tcW w:w="1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39,749</w:t>
            </w:r>
          </w:p>
        </w:tc>
        <w:tc>
          <w:tcPr>
            <w:tcW w:w="460" w:type="dxa"/>
            <w:vAlign w:val="bottom"/>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49,329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March 31, 2026 and December 31, 2025 (in thousands):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2,853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2,799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626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Manufacturing equipment</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5,278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5,224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(4,662)</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(4,587)</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200" w:type="dxa"/>
            <w:vAlign w:val="bottom"/>
            <w:gridSpan w:val="2"/>
          </w:tcPr>
          <w:p>
            <w:pPr>
              <w:spacing w:after="0" w:line="18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616</w:t>
            </w:r>
          </w:p>
        </w:tc>
        <w:tc>
          <w:tcPr>
            <w:tcW w:w="18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637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Depreciation and amortization expense was $0.1 million for the three months ended March 31, 2026, and $0.1 million for the three months ended March 31, 2025.</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Prepaid Forward Obligation</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In March 2021, the Company entered into a prepaid forward agreement with RTW Investments (“RTW”). Under the terms of the RTW Transaction, the Company received $75.0 million ($72.4 million net of transaction costs) to support the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return for the transferred funds, RTW is entitled to receive tiered, future cash payments based on aggregate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subject to FDA approval, UGN-104, in an amount equal to: (i) 9.5% of annual net sales up to $200 million, (ii) 3.0% of annual net sales for annual net sales between $200 million and $300 million, and (iii) 1.0% of annual net sales for annual net sales above $300 million. If certain revenue thresholds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are not met, the future cash payments to RTW with respect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annual net sales up to $200 million will increase by 3.5%, and may decrease back to 9.5% dependent on the Company meeting certain subsequent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thresholds. The rate in effect for the three months ended March 31, 2026 for annual net sales up to $200 million was 13.0%. RTW is entitled to receive tiered, future cash payments based on aggregate worldwide annual net product sales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subject to FDA approval, UGN-103, in an amount equal to: (i) 2.5% of annual net sales up to $ 200 million, (ii) 1.0% of annual net sales for annual net sales between $200 million and $300 million, and (iii) 0.5% of annual net sales for annual net sales above $300 million.</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accordance with the prepaid forward agreement, the Company will be required to make payments of amounts owed to RTW each calendar quarter, through and until the quarter in which the aggregate cash payments received by RTW are equal to or greater than $ 300 million. As of March 31, 2026, the cumulative amounts paid and payable by the Company were $ 51.0 million. As security for the payment and fulfilment of these amounts throughout the arrangement, the Company has granted RTW a first priority security interest in </w:t>
      </w:r>
      <w:r>
        <w:rPr>
          <w:rFonts w:ascii="Arial" w:cs="Arial" w:eastAsia="Arial" w:hAnsi="Arial"/>
          <w:sz w:val="18"/>
          <w:szCs w:val="18"/>
          <w:i w:val="1"/>
          <w:iCs w:val="1"/>
          <w:color w:val="auto"/>
        </w:rPr>
        <w:t>Jelmyto, Zusduri</w:t>
      </w:r>
      <w:r>
        <w:rPr>
          <w:rFonts w:ascii="Arial" w:cs="Arial" w:eastAsia="Arial" w:hAnsi="Arial"/>
          <w:sz w:val="18"/>
          <w:szCs w:val="18"/>
          <w:color w:val="auto"/>
        </w:rPr>
        <w:t>, UGN-103 and UGN-104, including the regulatory approvals, intellectual property, material agreements, proceeds and accounts receivable related to these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May 2021</w:t>
      </w:r>
      <w:r>
        <w:rPr>
          <w:rFonts w:ascii="Arial" w:cs="Arial" w:eastAsia="Arial" w:hAnsi="Arial"/>
          <w:sz w:val="18"/>
          <w:szCs w:val="18"/>
          <w:i w:val="1"/>
          <w:iCs w:val="1"/>
          <w:color w:val="auto"/>
        </w:rPr>
        <w:t>,</w:t>
      </w:r>
      <w:r>
        <w:rPr>
          <w:rFonts w:ascii="Arial" w:cs="Arial" w:eastAsia="Arial" w:hAnsi="Arial"/>
          <w:sz w:val="18"/>
          <w:szCs w:val="18"/>
          <w:color w:val="auto"/>
        </w:rPr>
        <w:t xml:space="preserve"> following the receipt of necessary regulatory approvals, the Company received the $75.0 million prepaid forward payment</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($72.4 million net of transaction costs) from RTW and recognized an associated prepaid forward obligation liability. Each period the Company makes a payment to RTW, an expense is recognized related to financing on the prepaid forward obligation based on an imputed rate derived from the expected future payments. Management reassesses the effective rate each period based on the current carrying value of the obligation and the revised estimated future payments. Changes in future payments from previous estimates are included in future financing expenses. The Company is not contractually obligated, nor does it anticipate making any repayments to RTW of the original $75.0 million received in the RTW Transaction in the next 12 months.</w:t>
      </w:r>
    </w:p>
    <w:p>
      <w:pPr>
        <w:spacing w:after="0" w:line="16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following table shows the activity with respect to the carrying value of the prepaid forward liability for the year ended December 31, 2025 and for the three months ended March 31, 2026, in thousands:</w:t>
      </w:r>
    </w:p>
    <w:p>
      <w:pPr>
        <w:sectPr>
          <w:pgSz w:w="11900" w:h="16838" w:orient="portrait"/>
          <w:cols w:equalWidth="0" w:num="1">
            <w:col w:w="11220"/>
          </w:cols>
          <w:pgMar w:left="320" w:top="121" w:right="359" w:bottom="1440" w:gutter="0" w:footer="0" w:header="0"/>
        </w:sectPr>
      </w:pPr>
    </w:p>
    <w:p>
      <w:pPr>
        <w:spacing w:after="0" w:line="140" w:lineRule="exact"/>
        <w:rPr>
          <w:sz w:val="20"/>
          <w:szCs w:val="20"/>
          <w:color w:val="auto"/>
        </w:rPr>
      </w:pPr>
    </w:p>
    <w:p>
      <w:pPr>
        <w:ind w:left="560" w:right="2620"/>
        <w:spacing w:after="0" w:line="253" w:lineRule="auto"/>
        <w:rPr>
          <w:sz w:val="20"/>
          <w:szCs w:val="20"/>
          <w:color w:val="auto"/>
        </w:rPr>
      </w:pPr>
      <w:r>
        <w:rPr>
          <w:rFonts w:ascii="Arial" w:cs="Arial" w:eastAsia="Arial" w:hAnsi="Arial"/>
          <w:sz w:val="18"/>
          <w:szCs w:val="18"/>
          <w:color w:val="auto"/>
        </w:rPr>
        <w:t>Carrying value of prepaid forward obligation as of December 31, 2024 Financing on prepaid forward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-264795</wp:posOffset>
            </wp:positionV>
            <wp:extent cx="64122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line="234" w:lineRule="auto"/>
        <w:rPr>
          <w:sz w:val="20"/>
          <w:szCs w:val="20"/>
          <w:color w:val="auto"/>
        </w:rPr>
      </w:pPr>
      <w:r>
        <w:rPr>
          <w:rFonts w:ascii="Arial" w:cs="Arial" w:eastAsia="Arial" w:hAnsi="Arial"/>
          <w:sz w:val="18"/>
          <w:szCs w:val="18"/>
          <w:color w:val="auto"/>
        </w:rPr>
        <w:t xml:space="preserve">Amounts paid and payable </w:t>
      </w:r>
      <w:r>
        <w:rPr>
          <w:rFonts w:ascii="Arial" w:cs="Arial" w:eastAsia="Arial" w:hAnsi="Arial"/>
          <w:sz w:val="14"/>
          <w:szCs w:val="14"/>
          <w:color w:val="auto"/>
        </w:rPr>
        <w:t>(1)</w:t>
      </w:r>
    </w:p>
    <w:p>
      <w:pPr>
        <w:spacing w:after="0" w:line="1" w:lineRule="exact"/>
        <w:rPr>
          <w:sz w:val="20"/>
          <w:szCs w:val="20"/>
          <w:color w:val="auto"/>
        </w:rPr>
      </w:pPr>
    </w:p>
    <w:p>
      <w:pPr>
        <w:ind w:left="560" w:right="2620"/>
        <w:spacing w:after="0" w:line="242" w:lineRule="auto"/>
        <w:rPr>
          <w:sz w:val="20"/>
          <w:szCs w:val="20"/>
          <w:color w:val="auto"/>
        </w:rPr>
      </w:pPr>
      <w:r>
        <w:rPr>
          <w:rFonts w:ascii="Arial" w:cs="Arial" w:eastAsia="Arial" w:hAnsi="Arial"/>
          <w:sz w:val="18"/>
          <w:szCs w:val="18"/>
          <w:color w:val="auto"/>
        </w:rPr>
        <w:t>Carrying value of prepaid forward obligation as of December 31, 2025 Financing on prepaid forward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-135255</wp:posOffset>
            </wp:positionV>
            <wp:extent cx="64122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 xml:space="preserve">Amounts paid and payable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Carrying value of prepaid forward obligation as of March 31, 2026</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460" w:hanging="45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121,387</w:t>
      </w:r>
    </w:p>
    <w:p>
      <w:pPr>
        <w:spacing w:after="0" w:line="13" w:lineRule="exact"/>
        <w:rPr>
          <w:rFonts w:ascii="Arial" w:cs="Arial" w:eastAsia="Arial" w:hAnsi="Arial"/>
          <w:sz w:val="18"/>
          <w:szCs w:val="18"/>
          <w:color w:val="auto"/>
        </w:rPr>
      </w:pPr>
    </w:p>
    <w:p>
      <w:pPr>
        <w:ind w:left="560"/>
        <w:spacing w:after="0" w:line="234" w:lineRule="auto"/>
        <w:rPr>
          <w:rFonts w:ascii="Arial" w:cs="Arial" w:eastAsia="Arial" w:hAnsi="Arial"/>
          <w:sz w:val="18"/>
          <w:szCs w:val="18"/>
          <w:color w:val="auto"/>
        </w:rPr>
      </w:pPr>
      <w:r>
        <w:rPr>
          <w:rFonts w:ascii="Arial" w:cs="Arial" w:eastAsia="Arial" w:hAnsi="Arial"/>
          <w:sz w:val="18"/>
          <w:szCs w:val="18"/>
          <w:color w:val="auto"/>
        </w:rPr>
        <w:t>18,503</w:t>
      </w:r>
    </w:p>
    <w:p>
      <w:pPr>
        <w:spacing w:after="0" w:line="1"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(12,614)</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127,276</w:t>
      </w:r>
    </w:p>
    <w:p>
      <w:pPr>
        <w:ind w:left="660"/>
        <w:spacing w:after="0" w:line="234" w:lineRule="auto"/>
        <w:rPr>
          <w:sz w:val="20"/>
          <w:szCs w:val="20"/>
          <w:color w:val="auto"/>
        </w:rPr>
      </w:pPr>
      <w:r>
        <w:rPr>
          <w:rFonts w:ascii="Arial" w:cs="Arial" w:eastAsia="Arial" w:hAnsi="Arial"/>
          <w:sz w:val="18"/>
          <w:szCs w:val="18"/>
          <w:color w:val="auto"/>
        </w:rPr>
        <w:t>4,506</w:t>
      </w:r>
    </w:p>
    <w:p>
      <w:pPr>
        <w:spacing w:after="0" w:line="1"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(3,554)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02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460" w:hanging="4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128,228</w:t>
      </w:r>
    </w:p>
    <w:p>
      <w:pPr>
        <w:spacing w:after="0" w:line="220" w:lineRule="exact"/>
        <w:rPr>
          <w:sz w:val="20"/>
          <w:szCs w:val="20"/>
          <w:color w:val="auto"/>
        </w:rPr>
      </w:pPr>
    </w:p>
    <w:p>
      <w:pPr>
        <w:sectPr>
          <w:pgSz w:w="11900" w:h="16838" w:orient="portrait"/>
          <w:cols w:equalWidth="0" w:num="2">
            <w:col w:w="8740" w:space="720"/>
            <w:col w:w="1760"/>
          </w:cols>
          <w:pgMar w:left="320" w:top="121" w:right="359" w:bottom="1440" w:gutter="0" w:footer="0" w:header="0"/>
          <w:type w:val="continuous"/>
        </w:sectPr>
      </w:pPr>
    </w:p>
    <w:p>
      <w:pPr>
        <w:ind w:right="160"/>
        <w:spacing w:after="0" w:line="301" w:lineRule="auto"/>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$3.6 million and $3.4 million of the Amounts paid and payable are included as the current portion of the prepaid forward obligation within</w:t>
      </w:r>
      <w:r>
        <w:rPr>
          <w:rFonts w:ascii="Arial" w:cs="Arial" w:eastAsia="Arial" w:hAnsi="Arial"/>
          <w:sz w:val="15"/>
          <w:szCs w:val="15"/>
          <w:color w:val="auto"/>
        </w:rPr>
        <w:t xml:space="preserve"> </w:t>
      </w:r>
      <w:r>
        <w:rPr>
          <w:rFonts w:ascii="Arial" w:cs="Arial" w:eastAsia="Arial" w:hAnsi="Arial"/>
          <w:sz w:val="17"/>
          <w:szCs w:val="17"/>
          <w:color w:val="auto"/>
        </w:rPr>
        <w:t>other current liabilities on the condensed consolidated balance sheets as of March 31, 2026, and December 31, 2025, respectively.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March 7, 2022, the Company entered into a loan agreement with Pharmakon (the "2022 Loan Agreement") for a senior secured term loan of up to $100 million in two tranches. The first tranche of $75 million was funded in March 2022. The second tranche of $25 million was funded in December 2022.</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29, 2023, the 2022 Loan Agreement with Pharmakon was amended to replace the benchmark governing the interest rate with a rate based on the secured overnight financing rate ("SOFR") published by the Federal Reserve Bank of New York. Effective July 2023, the loan accrued interest using a benchmark rate of three-month SOFR plus 8.25% plus an additional adjustment of 0.26161%.</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On March 13, 2024, the Company entered into an amended and restated loan agreement with Pharmakon, which replaced the 2022 Loan Agreement, for an additional third and fourth tranche of senior secured loan (the "2024 Loan Agreement"). The third tranche of $25.0 million was funded in September 2024. The fourth tranche of $75.0 million became available at the Company's option no later than August 29, 2025, based upon having received FDA approval of a new drug application (“NDA”)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by June 30, 2025. The Company did not draw down the fourth tranche. Under the 2024 Loan Agreement, prior to the refinancing described in the immediately following paragraph, all outstanding loans accrued interest using a benchmark rate of three-month SOFR plus 7.25% plus an additional adjustment of 0.26161%.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February 26, 2026, (the "Closing Date") the Company entered into a second amended and restated loan agreement, which replaced</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2024 Loan Agreement, with Pharmakon providing for a senior secured term loan facility of up to $250.0 million, consisting of two tranches (the “2026 Loan Agreement”). The first tranche of $200.0 million was advanced on the Closing Date and refinanced the Company's term loan facility under the 2024 Loan Agreement which had $125.0 million of outstanding principal, with the remaining proceeds available for general corporate purposes and working capital. The second tranche of $50.0 million may, at the Company's option, be requested no later than June 30, 2027 for funding to occur no later than August 29, 2027, subject to customary conditions. The term loans mature on the fifth anniversary of the Closing Date.</w:t>
      </w:r>
    </w:p>
    <w:p>
      <w:pPr>
        <w:spacing w:after="0" w:line="16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All outstanding loans with Pharmakon pursuant to the 2026 Loan Agreement accrue interest at a fixed rate of 8.25%. The principal amount of the loans outstanding under the 2026 Loan Agreement shall be repayable in four equal quarterly payments commencing in the second quarter of 2030, which are subject to an exit fee of 1% of the principal amount being repaid. The Company may prepay the full outstanding principal amount of the loans in whole at the Company's discretion at any time, together with accrued but unpaid interest thereon and subject to prepayment premiums, make-whole amounts, as applicable, and fees.</w:t>
      </w:r>
    </w:p>
    <w:p>
      <w:pPr>
        <w:spacing w:after="0" w:line="16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obligations of UroGen Pharma, Inc., as the borrower under the 2026 Loan Agreement, are guaranteed by UroGen Pharma Ltd., subject to customary limitations on parent guarantees under Israeli law, and are secured by substantially all of the tangible and intangible assets and property, including intellectual property, of UroGen Pharma, Inc. and UroGen Pharma Ltd., subject to certain exceptions.</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refinancing of the Company's term loan facility with the 2026 Loan Agreement was accounted for by the Company as a debt modification under ASC 470, as the terms of the new arrangement were not considered substantially different from those of the existing debt. Accordingly, the Company did not recognize a gain or loss on extinguishment, and existing unamortized debt issuance costs associated with the prior term loan were carried forward and continue to be amortized over the term of the modified debt using the effective interest method. The Company incurred financing expenses of $9.7 million related to the first tranche of the 2026 Loan Agreement funded in February 2026, which are recognized as a direct offset to the long-term debt on the Company's condensed consolidated balance sheets. These debt issuance costs are amortized over the term of the debt using the effective interest method, and are recorded in the condensed consolidated statements of operations as "Interest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with respect to the carrying value of the long-term debt,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Pharmakon loan as of December 31, 2024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121,734</w:t>
            </w:r>
          </w:p>
        </w:tc>
        <w:tc>
          <w:tcPr>
            <w:tcW w:w="60" w:type="dxa"/>
            <w:vAlign w:val="bottom"/>
            <w:shd w:val="clear" w:color="auto" w:fill="CCEEFF"/>
          </w:tcPr>
          <w:p>
            <w:pPr>
              <w:spacing w:after="0"/>
              <w:rPr>
                <w:sz w:val="18"/>
                <w:szCs w:val="18"/>
                <w:color w:val="auto"/>
              </w:rPr>
            </w:pP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1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15,345</w:t>
            </w: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Amounts paid</w:t>
            </w: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(14,869)</w:t>
            </w:r>
          </w:p>
        </w:tc>
      </w:tr>
      <w:tr>
        <w:trPr>
          <w:trHeight w:val="196"/>
        </w:trPr>
        <w:tc>
          <w:tcPr>
            <w:tcW w:w="1120" w:type="dxa"/>
            <w:vAlign w:val="bottom"/>
          </w:tcPr>
          <w:p>
            <w:pPr>
              <w:spacing w:after="0"/>
              <w:rPr>
                <w:sz w:val="17"/>
                <w:szCs w:val="17"/>
                <w:color w:val="auto"/>
              </w:rPr>
            </w:pPr>
          </w:p>
        </w:tc>
        <w:tc>
          <w:tcPr>
            <w:tcW w:w="736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Carrying value of Pharmakon loan as of December 31, 2025</w:t>
            </w: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122,210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73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60" w:type="dxa"/>
            <w:vAlign w:val="bottom"/>
          </w:tcPr>
          <w:p>
            <w:pPr>
              <w:ind w:left="20"/>
              <w:spacing w:after="0" w:line="196" w:lineRule="exact"/>
              <w:rPr>
                <w:sz w:val="20"/>
                <w:szCs w:val="20"/>
                <w:color w:val="auto"/>
              </w:rPr>
            </w:pPr>
            <w:r>
              <w:rPr>
                <w:rFonts w:ascii="Arial" w:cs="Arial" w:eastAsia="Arial" w:hAnsi="Arial"/>
                <w:sz w:val="18"/>
                <w:szCs w:val="18"/>
                <w:color w:val="auto"/>
              </w:rPr>
              <w:t>Carrying value of Pharmakon loan as of February 26, 2026</w:t>
            </w:r>
          </w:p>
        </w:tc>
        <w:tc>
          <w:tcPr>
            <w:tcW w:w="24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124,748</w:t>
            </w:r>
          </w:p>
        </w:tc>
        <w:tc>
          <w:tcPr>
            <w:tcW w:w="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Modification of Pharmakon loan:</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Additional borrowing of Pharmakon loan (2026 Loan Agreement - first tranche), net</w:t>
            </w: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75,000</w:t>
            </w: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Capitalized costs and discounts</w:t>
            </w:r>
          </w:p>
        </w:tc>
        <w:tc>
          <w:tcPr>
            <w:tcW w:w="240" w:type="dxa"/>
            <w:vAlign w:val="bottom"/>
          </w:tcPr>
          <w:p>
            <w:pPr>
              <w:spacing w:after="0"/>
              <w:rPr>
                <w:sz w:val="17"/>
                <w:szCs w:val="17"/>
                <w:color w:val="auto"/>
              </w:rPr>
            </w:pPr>
          </w:p>
        </w:tc>
        <w:tc>
          <w:tcPr>
            <w:tcW w:w="13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(9,654)</w:t>
            </w: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amount paid</w:t>
            </w: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(2,211)</w:t>
            </w:r>
          </w:p>
        </w:tc>
      </w:tr>
      <w:tr>
        <w:trPr>
          <w:trHeight w:val="196"/>
        </w:trPr>
        <w:tc>
          <w:tcPr>
            <w:tcW w:w="1120" w:type="dxa"/>
            <w:vAlign w:val="bottom"/>
          </w:tcPr>
          <w:p>
            <w:pPr>
              <w:spacing w:after="0"/>
              <w:rPr>
                <w:sz w:val="17"/>
                <w:szCs w:val="17"/>
                <w:color w:val="auto"/>
              </w:rPr>
            </w:pPr>
          </w:p>
        </w:tc>
        <w:tc>
          <w:tcPr>
            <w:tcW w:w="736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Carrying value of Pharmakon loan as of February 27, 2026</w:t>
            </w: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187,883</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1,647</w:t>
            </w:r>
          </w:p>
        </w:tc>
        <w:tc>
          <w:tcPr>
            <w:tcW w:w="60" w:type="dxa"/>
            <w:vAlign w:val="bottom"/>
            <w:shd w:val="clear" w:color="auto" w:fill="CCEEFF"/>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Amounts paid</w:t>
            </w:r>
          </w:p>
        </w:tc>
        <w:tc>
          <w:tcPr>
            <w:tcW w:w="240" w:type="dxa"/>
            <w:vAlign w:val="bottom"/>
          </w:tcPr>
          <w:p>
            <w:pPr>
              <w:spacing w:after="0"/>
              <w:rPr>
                <w:sz w:val="17"/>
                <w:szCs w:val="17"/>
                <w:color w:val="auto"/>
              </w:rPr>
            </w:pPr>
          </w:p>
        </w:tc>
        <w:tc>
          <w:tcPr>
            <w:tcW w:w="1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36"/>
        </w:trPr>
        <w:tc>
          <w:tcPr>
            <w:tcW w:w="1120" w:type="dxa"/>
            <w:vAlign w:val="bottom"/>
          </w:tcPr>
          <w:p>
            <w:pPr>
              <w:spacing w:after="0"/>
              <w:rPr>
                <w:sz w:val="20"/>
                <w:szCs w:val="20"/>
                <w:color w:val="auto"/>
              </w:rPr>
            </w:pPr>
          </w:p>
        </w:tc>
        <w:tc>
          <w:tcPr>
            <w:tcW w:w="736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Carrying value of Pharmakon loan as of March 31, 2026</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189,530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403"/>
        </w:trPr>
        <w:tc>
          <w:tcPr>
            <w:tcW w:w="8480" w:type="dxa"/>
            <w:vAlign w:val="bottom"/>
            <w:gridSpan w:val="2"/>
          </w:tcPr>
          <w:p>
            <w:pPr>
              <w:spacing w:after="0"/>
              <w:rPr>
                <w:sz w:val="20"/>
                <w:szCs w:val="20"/>
                <w:color w:val="auto"/>
              </w:rPr>
            </w:pPr>
            <w:r>
              <w:rPr>
                <w:rFonts w:ascii="Arial" w:cs="Arial" w:eastAsia="Arial" w:hAnsi="Arial"/>
                <w:sz w:val="18"/>
                <w:szCs w:val="18"/>
                <w:color w:val="auto"/>
              </w:rPr>
              <w:t>The aggregate principal maturities of long-term debt as of March 31, 2026 are as follows,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11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1120" w:type="dxa"/>
            <w:vAlign w:val="bottom"/>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460"/>
              <w:spacing w:after="0" w:line="183" w:lineRule="exact"/>
              <w:rPr>
                <w:sz w:val="20"/>
                <w:szCs w:val="20"/>
                <w:color w:val="auto"/>
              </w:rPr>
            </w:pPr>
            <w:r>
              <w:rPr>
                <w:rFonts w:ascii="Arial" w:cs="Arial" w:eastAsia="Arial" w:hAnsi="Arial"/>
                <w:sz w:val="18"/>
                <w:szCs w:val="18"/>
                <w:b w:val="1"/>
                <w:bCs w:val="1"/>
                <w:color w:val="auto"/>
              </w:rPr>
              <w:t>Principal</w:t>
            </w:r>
          </w:p>
        </w:tc>
      </w:tr>
      <w:tr>
        <w:trPr>
          <w:trHeight w:val="221"/>
        </w:trPr>
        <w:tc>
          <w:tcPr>
            <w:tcW w:w="1120" w:type="dxa"/>
            <w:vAlign w:val="bottom"/>
          </w:tcPr>
          <w:p>
            <w:pPr>
              <w:spacing w:after="0"/>
              <w:rPr>
                <w:sz w:val="19"/>
                <w:szCs w:val="19"/>
                <w:color w:val="auto"/>
              </w:rPr>
            </w:pPr>
          </w:p>
        </w:tc>
        <w:tc>
          <w:tcPr>
            <w:tcW w:w="7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Payments</w:t>
            </w:r>
          </w:p>
        </w:tc>
      </w:tr>
      <w:tr>
        <w:trPr>
          <w:trHeight w:val="196"/>
        </w:trPr>
        <w:tc>
          <w:tcPr>
            <w:tcW w:w="1120" w:type="dxa"/>
            <w:vAlign w:val="bottom"/>
          </w:tcPr>
          <w:p>
            <w:pPr>
              <w:spacing w:after="0"/>
              <w:rPr>
                <w:sz w:val="17"/>
                <w:szCs w:val="17"/>
                <w:color w:val="auto"/>
              </w:rPr>
            </w:pPr>
          </w:p>
        </w:tc>
        <w:tc>
          <w:tcPr>
            <w:tcW w:w="7360" w:type="dxa"/>
            <w:vAlign w:val="bottom"/>
          </w:tcPr>
          <w:p>
            <w:pPr>
              <w:ind w:left="20"/>
              <w:spacing w:after="0" w:line="196" w:lineRule="exact"/>
              <w:rPr>
                <w:sz w:val="20"/>
                <w:szCs w:val="20"/>
                <w:color w:val="auto"/>
              </w:rPr>
            </w:pPr>
            <w:r>
              <w:rPr>
                <w:rFonts w:ascii="Arial" w:cs="Arial" w:eastAsia="Arial" w:hAnsi="Arial"/>
                <w:sz w:val="18"/>
                <w:szCs w:val="18"/>
                <w:color w:val="auto"/>
              </w:rPr>
              <w:t>2026</w:t>
            </w: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tcPr>
          <w:p>
            <w:pPr>
              <w:spacing w:after="0"/>
              <w:rPr>
                <w:sz w:val="17"/>
                <w:szCs w:val="17"/>
                <w:color w:val="auto"/>
              </w:rPr>
            </w:pPr>
          </w:p>
        </w:tc>
        <w:tc>
          <w:tcPr>
            <w:tcW w:w="1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tcPr>
          <w:p>
            <w:pPr>
              <w:spacing w:after="0"/>
              <w:rPr>
                <w:sz w:val="17"/>
                <w:szCs w:val="17"/>
                <w:color w:val="auto"/>
              </w:rPr>
            </w:pPr>
          </w:p>
        </w:tc>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tcPr>
          <w:p>
            <w:pPr>
              <w:spacing w:after="0"/>
              <w:rPr>
                <w:sz w:val="17"/>
                <w:szCs w:val="17"/>
                <w:color w:val="auto"/>
              </w:rPr>
            </w:pPr>
          </w:p>
        </w:tc>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2030</w:t>
            </w:r>
          </w:p>
        </w:tc>
        <w:tc>
          <w:tcPr>
            <w:tcW w:w="24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150,000</w:t>
            </w:r>
          </w:p>
        </w:tc>
        <w:tc>
          <w:tcPr>
            <w:tcW w:w="6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r>
      <w:tr>
        <w:trPr>
          <w:trHeight w:val="209"/>
        </w:trPr>
        <w:tc>
          <w:tcPr>
            <w:tcW w:w="112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ectPr>
          <w:pgSz w:w="11900" w:h="16838" w:orient="portrait"/>
          <w:cols w:equalWidth="0" w:num="1">
            <w:col w:w="11240"/>
          </w:cols>
          <w:pgMar w:left="320" w:top="121" w:right="3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office and laboratory facility leases during the periods covered by this report:</w:t>
      </w:r>
    </w:p>
    <w:p>
      <w:pPr>
        <w:spacing w:after="0" w:line="198" w:lineRule="exact"/>
        <w:rPr>
          <w:sz w:val="20"/>
          <w:szCs w:val="20"/>
          <w:color w:val="auto"/>
        </w:rPr>
      </w:pPr>
    </w:p>
    <w:p>
      <w:pPr>
        <w:ind w:left="660" w:right="6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UPL signed an addendum to its November 2014 lease agreement for the Company’s offices located in Israel, in order to increase the office space rented and to extend the rent period until 2019. In March 2019, UPL utilized the agreement extension option and extended the rent period for an additional three years until August 2022. In July 2022, UPL signed a lease extension agreement for the Company’s offices located in Israel, extending the term of the lease through September 2025, and, effective as of June 2025, the lease was renewed through September 2028. The Company's remaining contractual obligation under this lease is approximately $1.0 million as of March 31, 2026.</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November 2019, UPI entered into a new lease agreement for an office in Princeton, New Jersey, which the Company now uses as its headquarters. The lease commencement date was November 29, 2019 with an original lease term of 38 months, expiring January 31, 2023. In June 2022, the Company signed a lease extension for the Princeton office, extending the term of the lease through January 31, 2026. In August 2025, the Company signed an additional lease extension for the Princeton office, extending the term of the lease through April 30, 2031. The Company concluded that the lease renewal option in the agreement is not reasonably certain to be exercised. The modification did not result in a separate lease under ASC 842. As a result, the Company remeasured its lease liability and corresponding right-of-use asset using its incremental borrowing rate at the modification date. The Company’s remaining contractual obligation under this lease is approximately $3.0 million as of March 31, 2026.</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96" w:lineRule="exact"/>
        <w:rPr>
          <w:sz w:val="20"/>
          <w:szCs w:val="20"/>
          <w:color w:val="auto"/>
        </w:rPr>
      </w:pPr>
    </w:p>
    <w:p>
      <w:pPr>
        <w:ind w:left="660" w:right="10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2024, UPI entered into a new master lease agreement for vehicles, primarily for use by employees in sales, field services, and roles that require regular travel. Under the terms of the master lease agreement, the Company will lease various vehicles from time to time with an initial lease term of 48 months commencing on the delivery date of the vehicle with an option to continue month-to-month for an unlimited period of time. Lease payments are fixed, with payments due monthly in advance, and include charges for depreciation, maintenance, and other related services. At the end of each lease term, the Company is required to make a terminal rental adjustment based on the difference between the vehicle’s contractual book value and its estimated wholesale value, which may result in additional payments or refunds. The Company may also be required to pay additional rent if the vehicle exceeds certain mileage limits or shows abnormal wear and tear during the lease term. The Company’s remaining contractual obligation relating to the leases entered into under this master agreement is approximately $5.5 million as of March 31, 2026.</w:t>
      </w:r>
    </w:p>
    <w:p>
      <w:pPr>
        <w:spacing w:after="0" w:line="17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In addition, the Company has other operating office equipment and vehicle leases. The Company’s operating leases may require minimum rent payments, contingent rent payments adjusted periodically for inflation, or rent payments equal to the greater of a minimum rent or contingent rent. The Company’s leases do not contain any residual value guarantees or material restrictive covenants. The Company’s leases expire at various dates from 2026 through 2031, with varying renewal and termination options.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months ended March 31, 2026 and 2025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2026</w:t>
            </w:r>
          </w:p>
        </w:tc>
        <w:tc>
          <w:tcPr>
            <w:tcW w:w="4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Finance lease cost:</w:t>
            </w:r>
          </w:p>
        </w:tc>
        <w:tc>
          <w:tcPr>
            <w:tcW w:w="2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right-of-use assets</w:t>
            </w:r>
          </w:p>
        </w:tc>
        <w:tc>
          <w:tcPr>
            <w:tcW w:w="3920" w:type="dxa"/>
            <w:vAlign w:val="bottom"/>
            <w:gridSpan w:val="2"/>
          </w:tcPr>
          <w:p>
            <w:pPr>
              <w:jc w:val="right"/>
              <w:ind w:right="896"/>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1260" w:type="dxa"/>
            <w:vAlign w:val="bottom"/>
            <w:gridSpan w:val="2"/>
          </w:tcPr>
          <w:p>
            <w:pPr>
              <w:jc w:val="right"/>
              <w:ind w:right="89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on lease liabilities</w:t>
            </w:r>
          </w:p>
        </w:tc>
        <w:tc>
          <w:tcPr>
            <w:tcW w:w="2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Operating lease cost</w:t>
            </w:r>
          </w:p>
        </w:tc>
        <w:tc>
          <w:tcPr>
            <w:tcW w:w="2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8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ind w:left="560"/>
              <w:spacing w:after="0"/>
              <w:rPr>
                <w:sz w:val="20"/>
                <w:szCs w:val="20"/>
                <w:color w:val="auto"/>
              </w:rPr>
            </w:pPr>
            <w:r>
              <w:rPr>
                <w:rFonts w:ascii="Arial" w:cs="Arial" w:eastAsia="Arial" w:hAnsi="Arial"/>
                <w:sz w:val="18"/>
                <w:szCs w:val="18"/>
                <w:color w:val="auto"/>
              </w:rPr>
              <w:t>Total lease cost</w:t>
            </w:r>
          </w:p>
        </w:tc>
        <w:tc>
          <w:tcPr>
            <w:tcW w:w="2860" w:type="dxa"/>
            <w:vAlign w:val="bottom"/>
          </w:tcPr>
          <w:p>
            <w:pPr>
              <w:spacing w:after="0"/>
              <w:rPr>
                <w:sz w:val="18"/>
                <w:szCs w:val="18"/>
                <w:color w:val="auto"/>
              </w:rPr>
            </w:pPr>
          </w:p>
        </w:tc>
        <w:tc>
          <w:tcPr>
            <w:tcW w:w="1060" w:type="dxa"/>
            <w:vAlign w:val="bottom"/>
            <w:tcBorders>
              <w:bottom w:val="single" w:sz="8" w:color="auto"/>
            </w:tcBorders>
          </w:tcPr>
          <w:p>
            <w:pPr>
              <w:jc w:val="right"/>
              <w:ind w:right="89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60" w:type="dxa"/>
            <w:vAlign w:val="bottom"/>
            <w:vMerge w:val="restart"/>
          </w:tcPr>
          <w:p>
            <w:pPr>
              <w:jc w:val="right"/>
              <w:ind w:right="1550"/>
              <w:spacing w:after="0"/>
              <w:rPr>
                <w:sz w:val="20"/>
                <w:szCs w:val="20"/>
                <w:color w:val="auto"/>
              </w:rPr>
            </w:pPr>
            <w:r>
              <w:rPr>
                <w:rFonts w:ascii="Arial" w:cs="Arial" w:eastAsia="Arial" w:hAnsi="Arial"/>
                <w:sz w:val="18"/>
                <w:szCs w:val="18"/>
                <w:color w:val="auto"/>
              </w:rPr>
              <w:t>15</w:t>
            </w: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4"/>
        </w:trPr>
        <w:tc>
          <w:tcPr>
            <w:tcW w:w="9080" w:type="dxa"/>
            <w:vAlign w:val="bottom"/>
            <w:gridSpan w:val="6"/>
          </w:tcPr>
          <w:p>
            <w:pPr>
              <w:spacing w:after="0"/>
              <w:rPr>
                <w:sz w:val="20"/>
                <w:szCs w:val="20"/>
                <w:color w:val="auto"/>
              </w:rPr>
            </w:pPr>
            <w:r>
              <w:rPr>
                <w:rFonts w:ascii="Arial" w:cs="Arial" w:eastAsia="Arial" w:hAnsi="Arial"/>
                <w:sz w:val="18"/>
                <w:szCs w:val="18"/>
                <w:color w:val="auto"/>
              </w:rPr>
              <w:t>The amounts recognized as of March 31, 2026 and December 31, 2025 were as follows (in thousands):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Finance lease right-of-use assets</w:t>
            </w:r>
          </w:p>
        </w:tc>
        <w:tc>
          <w:tcPr>
            <w:tcW w:w="18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5,009</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2,931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3,080</w:t>
            </w:r>
          </w:p>
        </w:tc>
        <w:tc>
          <w:tcPr>
            <w:tcW w:w="1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long-term lease liabilities</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Operating long-term lease liabilities</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2,485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2,646</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 related to finance leases</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7"/>
                <w:szCs w:val="17"/>
                <w:color w:val="auto"/>
              </w:rPr>
            </w:pPr>
          </w:p>
        </w:tc>
      </w:tr>
      <w:tr>
        <w:trPr>
          <w:trHeight w:val="239"/>
        </w:trPr>
        <w:tc>
          <w:tcPr>
            <w:tcW w:w="58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 current liabilities related to operating leases</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no impairment losses have been recognized.</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Supplemental information related to leases for the three months ended March 31, 2026 and 2025 is as follows (in thousands, except for lease terms and discount rate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1"/>
        </w:trPr>
        <w:tc>
          <w:tcPr>
            <w:tcW w:w="5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500" w:type="dxa"/>
            <w:vAlign w:val="bottom"/>
          </w:tcPr>
          <w:p>
            <w:pPr>
              <w:ind w:left="160"/>
              <w:spacing w:after="0" w:line="202" w:lineRule="exact"/>
              <w:rPr>
                <w:sz w:val="20"/>
                <w:szCs w:val="20"/>
                <w:color w:val="auto"/>
              </w:rPr>
            </w:pPr>
            <w:r>
              <w:rPr>
                <w:rFonts w:ascii="Arial" w:cs="Arial" w:eastAsia="Arial" w:hAnsi="Arial"/>
                <w:sz w:val="18"/>
                <w:szCs w:val="18"/>
                <w:color w:val="auto"/>
              </w:rPr>
              <w:t>Financing cash flows from finance leases</w:t>
            </w:r>
          </w:p>
        </w:tc>
        <w:tc>
          <w:tcPr>
            <w:tcW w:w="140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92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5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400" w:type="dxa"/>
            <w:vAlign w:val="bottom"/>
            <w:gridSpan w:val="2"/>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140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92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2,045</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remaining lease term of finance leases (in years)</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of operating leases (in years)</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0.78</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discount rate of finance leases</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13.82%</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13.82%</w:t>
            </w:r>
          </w:p>
        </w:tc>
      </w:tr>
      <w:tr>
        <w:trPr>
          <w:trHeight w:val="239"/>
        </w:trPr>
        <w:tc>
          <w:tcPr>
            <w:tcW w:w="58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Weighted-average discount rate of operating leases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11.82%</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10.23%</w:t>
            </w:r>
          </w:p>
        </w:tc>
      </w:tr>
      <w:tr>
        <w:trPr>
          <w:trHeight w:val="386"/>
        </w:trPr>
        <w:tc>
          <w:tcPr>
            <w:tcW w:w="7080" w:type="dxa"/>
            <w:vAlign w:val="bottom"/>
            <w:gridSpan w:val="2"/>
          </w:tcPr>
          <w:p>
            <w:pPr>
              <w:spacing w:after="0"/>
              <w:rPr>
                <w:sz w:val="20"/>
                <w:szCs w:val="20"/>
                <w:color w:val="auto"/>
              </w:rPr>
            </w:pPr>
            <w:r>
              <w:rPr>
                <w:rFonts w:ascii="Arial" w:cs="Arial" w:eastAsia="Arial" w:hAnsi="Arial"/>
                <w:sz w:val="18"/>
                <w:szCs w:val="18"/>
                <w:color w:val="auto"/>
              </w:rPr>
              <w:t>As of March 31, 2026, maturities of lease liabilities were as follows (in thousands):</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Finance Leases</w:t>
            </w: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27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Remainder of 2026</w:t>
            </w:r>
          </w:p>
        </w:tc>
        <w:tc>
          <w:tcPr>
            <w:tcW w:w="332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2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1,822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2030 and there after</w:t>
            </w:r>
          </w:p>
        </w:tc>
        <w:tc>
          <w:tcPr>
            <w:tcW w:w="27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5,498</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Less: Interest</w:t>
            </w:r>
          </w:p>
        </w:tc>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(1,009)</w:t>
            </w: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Operating</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Leases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45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Remainder of 2026</w:t>
            </w:r>
          </w:p>
        </w:tc>
        <w:tc>
          <w:tcPr>
            <w:tcW w:w="4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4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4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2030</w:t>
            </w: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2031 and there after</w:t>
            </w:r>
          </w:p>
        </w:tc>
        <w:tc>
          <w:tcPr>
            <w:tcW w:w="4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60" w:type="dxa"/>
            <w:vAlign w:val="bottom"/>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3,938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Less: Interest</w:t>
            </w:r>
          </w:p>
        </w:tc>
        <w:tc>
          <w:tcPr>
            <w:tcW w:w="4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tcPr>
          <w:p>
            <w:pPr>
              <w:ind w:left="560"/>
              <w:spacing w:after="0" w:line="182" w:lineRule="exact"/>
              <w:rPr>
                <w:sz w:val="20"/>
                <w:szCs w:val="20"/>
                <w:color w:val="auto"/>
              </w:rPr>
            </w:pPr>
            <w:r>
              <w:rPr>
                <w:rFonts w:ascii="Arial" w:cs="Arial" w:eastAsia="Arial" w:hAnsi="Arial"/>
                <w:sz w:val="18"/>
                <w:szCs w:val="18"/>
                <w:color w:val="auto"/>
              </w:rPr>
              <w:t>Present value of lease liabilities</w:t>
            </w:r>
          </w:p>
        </w:tc>
        <w:tc>
          <w:tcPr>
            <w:tcW w:w="47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3,074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520" w:type="dxa"/>
            <w:vAlign w:val="bottom"/>
            <w:vMerge w:val="restart"/>
          </w:tcPr>
          <w:p>
            <w:pPr>
              <w:jc w:val="right"/>
              <w:ind w:right="325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From Product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 for the three months ended March 31, 2026 and 2025 (in thousands):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5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Jelmyto</w:t>
            </w:r>
          </w:p>
        </w:tc>
        <w:tc>
          <w:tcPr>
            <w:tcW w:w="2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21,713</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20,254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i w:val="1"/>
                <w:iCs w:val="1"/>
                <w:color w:val="auto"/>
              </w:rPr>
              <w:t>Zusduri</w:t>
            </w: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29,246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50,959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product sales of Jelmyto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are recognized through the Company's arrangements with two customers as defined by</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ASC 606, both of which are third-party national specialty distributors. The Company's largest customer comprised approximately 58% of product sales for the three months ended March 31, 2026, and over 85% of product sales for the three months ended March 31, 2025. The Company's largest customer comprised approximately 48% and 59% of accounts receivable at March 31, 2026 and December 31, 2025, respectively. Net revenue recognized includes gross revenue and management’s estimate of returns, consideration paid to the customers, such as rebates, chargebacks relating to differences between the wholesale acquisition cost and the contracted price offered to the end consumer, chargebacks relating to 340B drug pricing programs and other government sponsored programs, Medicaid drug rebate programs, the Company’s copay assistance program, and Medicare refunds for discarded drug. The Company does not anticipate any Medicare refunds for discarded drug for </w:t>
      </w:r>
      <w:r>
        <w:rPr>
          <w:rFonts w:ascii="Arial" w:cs="Arial" w:eastAsia="Arial" w:hAnsi="Arial"/>
          <w:sz w:val="18"/>
          <w:szCs w:val="18"/>
          <w:i w:val="1"/>
          <w:iCs w:val="1"/>
          <w:color w:val="auto"/>
        </w:rPr>
        <w:t>Zusduri</w:t>
      </w:r>
      <w:r>
        <w:rPr>
          <w:rFonts w:ascii="Arial" w:cs="Arial" w:eastAsia="Arial" w:hAnsi="Arial"/>
          <w:sz w:val="18"/>
          <w:szCs w:val="18"/>
          <w:color w:val="auto"/>
        </w:rPr>
        <w:t>. The Company estimates these elements of variable consideration based on the contractual or statutory terms governing the arrangements and the Company’s historical experience, and constrains the net revenue recognized for product sales to the value that is not probable to be reversed when the uncertainty associated with the variable consideration is subsequently resolved. Reserves for chargebacks and returns are net settled and recognized as contra accounts receivable while the remaining reserves are recognized within other current liabilities on the condensed consolidated balance sheets. The following table shows the activity with respect to sales reserves for the period ended March 31, 2026 and 2025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Reserves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related to</w:t>
            </w:r>
          </w:p>
        </w:tc>
        <w:tc>
          <w:tcPr>
            <w:tcW w:w="12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Medicare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government</w:t>
            </w:r>
          </w:p>
        </w:tc>
        <w:tc>
          <w:tcPr>
            <w:tcW w:w="12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refunds for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sponsored</w:t>
            </w:r>
          </w:p>
        </w:tc>
        <w:tc>
          <w:tcPr>
            <w:tcW w:w="12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discarded</w:t>
            </w:r>
          </w:p>
        </w:tc>
        <w:tc>
          <w:tcPr>
            <w:tcW w:w="180" w:type="dxa"/>
            <w:vAlign w:val="bottom"/>
          </w:tcPr>
          <w:p>
            <w:pPr>
              <w:spacing w:after="0"/>
              <w:rPr>
                <w:sz w:val="17"/>
                <w:szCs w:val="17"/>
                <w:color w:val="auto"/>
              </w:rPr>
            </w:pPr>
          </w:p>
        </w:tc>
        <w:tc>
          <w:tcPr>
            <w:tcW w:w="1260" w:type="dxa"/>
            <w:vAlign w:val="bottom"/>
            <w:gridSpan w:val="2"/>
          </w:tcPr>
          <w:p>
            <w:pPr>
              <w:jc w:val="right"/>
              <w:ind w:right="560"/>
              <w:spacing w:after="0" w:line="202" w:lineRule="exact"/>
              <w:rPr>
                <w:sz w:val="20"/>
                <w:szCs w:val="20"/>
                <w:color w:val="auto"/>
              </w:rPr>
            </w:pPr>
            <w:r>
              <w:rPr>
                <w:rFonts w:ascii="Arial" w:cs="Arial" w:eastAsia="Arial" w:hAnsi="Arial"/>
                <w:sz w:val="18"/>
                <w:szCs w:val="18"/>
                <w:b w:val="1"/>
                <w:bCs w:val="1"/>
                <w:color w:val="auto"/>
              </w:rPr>
              <w:t>Other</w:t>
            </w:r>
          </w:p>
        </w:tc>
        <w:tc>
          <w:tcPr>
            <w:tcW w:w="134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Total accrued</w:t>
            </w:r>
          </w:p>
        </w:tc>
      </w:tr>
      <w:tr>
        <w:trPr>
          <w:trHeight w:val="221"/>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programs</w:t>
            </w: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drug reserve</w:t>
            </w:r>
          </w:p>
        </w:tc>
        <w:tc>
          <w:tcPr>
            <w:tcW w:w="1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reserves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sales reserves</w:t>
            </w:r>
          </w:p>
        </w:tc>
      </w:tr>
      <w:tr>
        <w:trPr>
          <w:trHeight w:val="196"/>
        </w:trPr>
        <w:tc>
          <w:tcPr>
            <w:tcW w:w="3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as of December 31, 2025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4,022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3,849</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9,401</w:t>
            </w:r>
          </w:p>
        </w:tc>
      </w:tr>
      <w:tr>
        <w:trPr>
          <w:trHeight w:val="203"/>
        </w:trPr>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5,605</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884</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6,545</w:t>
            </w:r>
          </w:p>
        </w:tc>
        <w:tc>
          <w:tcPr>
            <w:tcW w:w="3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13,034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Utilizations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(10,532)</w:t>
            </w:r>
          </w:p>
        </w:tc>
      </w:tr>
      <w:tr>
        <w:trPr>
          <w:trHeight w:val="25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11,903</w:t>
            </w:r>
          </w:p>
        </w:tc>
        <w:tc>
          <w:tcPr>
            <w:tcW w:w="80" w:type="dxa"/>
            <w:vAlign w:val="bottom"/>
            <w:tcBorders>
              <w:bottom w:val="single" w:sz="8" w:color="CCEEFF"/>
            </w:tcBorders>
          </w:tcPr>
          <w:p>
            <w:pPr>
              <w:spacing w:after="0"/>
              <w:rPr>
                <w:sz w:val="21"/>
                <w:szCs w:val="21"/>
                <w:color w:val="auto"/>
              </w:rPr>
            </w:pPr>
          </w:p>
        </w:tc>
      </w:tr>
      <w:tr>
        <w:trPr>
          <w:trHeight w:val="183"/>
        </w:trPr>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Balance as of December 31, 2024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7,729</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1,946</w:t>
            </w:r>
          </w:p>
        </w:tc>
        <w:tc>
          <w:tcPr>
            <w:tcW w:w="3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10,562</w:t>
            </w:r>
          </w:p>
        </w:tc>
      </w:tr>
      <w:tr>
        <w:trPr>
          <w:trHeight w:val="203"/>
        </w:trPr>
        <w:tc>
          <w:tcPr>
            <w:tcW w:w="3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3,686</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2,713</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7,302</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Utilizations</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(3,809)</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(2,926)</w:t>
            </w: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(10,624)</w:t>
            </w:r>
          </w:p>
        </w:tc>
      </w:tr>
      <w:tr>
        <w:trPr>
          <w:trHeight w:val="210"/>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License and Collaboration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19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 xml:space="preserve">In November 2019, the Company entered into a license agreement with Agenus Inc. ("Agenus"), pursuant to which Agenus granted to the Company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UGN-301 is a formulation of zalifrelimab administered using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that was in Phase 1 clinical development for high-grade NMIBC.</w:t>
      </w:r>
    </w:p>
    <w:p>
      <w:pPr>
        <w:spacing w:after="0" w:line="16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November 2025, the Company provided notice to terminate the license agreement with Agenus in connection with its decision to discontinue development of UGN-301. Under the terms of the license agreement, following notice of termination, the agreement will terminate upon the later of (a) the expiration of a 180-day notice period; or (b) completion of all wind-down activities and delivery of all Agenus Improvements (as defined in the license agreement) to Agenus. The Company does not expect to incur significant additional costs related to this program going forward.</w:t>
      </w:r>
    </w:p>
    <w:p>
      <w:pPr>
        <w:sectPr>
          <w:pgSz w:w="11900" w:h="16838" w:orient="portrait"/>
          <w:cols w:equalWidth="0" w:num="1">
            <w:col w:w="11200"/>
          </w:cols>
          <w:pgMar w:left="320" w:top="121" w:right="379" w:bottom="1440" w:gutter="0" w:footer="0" w:header="0"/>
        </w:sectPr>
      </w:pP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Acquisitions</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On February 14, 2025 (the “Closing Date”), the Company entered into an Asset Purchase Agreement (as amended, the “Agreement”) with IconOVir Bio, Inc. (“IconOVir”), pursuant to which the Company purchased and acquired certain assets of IconOVir (the “Transferred Assets”), including the product candidate ICVB-1042 and certain contracts, intellectual property rights, regulatory applications, submissions and registrations, and data and other rights related thereto, and assumed certain liabilities and obligations of IconOVir arising under certain contracts of IconOVir acquired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consideration for the Transferred Assets and subject to the terms and conditions of the Agreement, on the Closing Date the Company</w:t>
      </w:r>
    </w:p>
    <w:p>
      <w:pPr>
        <w:spacing w:after="0" w:line="14" w:lineRule="exact"/>
        <w:rPr>
          <w:sz w:val="20"/>
          <w:szCs w:val="20"/>
          <w:color w:val="auto"/>
        </w:rPr>
      </w:pPr>
    </w:p>
    <w:p>
      <w:pPr>
        <w:ind w:right="40" w:firstLine="8"/>
        <w:spacing w:after="0" w:line="237"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374,843 ordinary shares of the Company (the “Company Shares”) to IconOVir, which represented a purchase price of $4.0 million divided by the volume-weighted average closing price of the Company Shares on The Nasdaq Stock Market over the 30 consecutive trading days ending on (and including) the trading day immediately prior to the Closing Date, (ii) agreed to pay IconOVir a one-time payment of $15.0 million in cash upon the achievement of a cumulative aggregate worldwide net sales milestone for all products, including combination products, that incorporate or comprise ICVB-1042 (“ICVB Products”), (iii) agreed to pay IconOVir a low, single-digit percentage royalty, on an ICVB Product-by-ICVB Product basis, on the annual, worldwide net sales of such ICVB Product during the royalty term, subject to certain reductions as set forth in the Agreement, and (iv) agreed to assume certain immaterial liabilities arising under certain acquired contracts ((i), (ii), (iii), and (iv) collectively, the “Purchase Price”).</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Entities affiliated with Arie Belldegrun, M.D., the Chair of the Board of Directors of the Company, held certain promissory notes of IconOVir at the time, that may entitle such entities to receive, in the aggregate, approximately 28.3% of the Purchase Price paid to IconOVir pursuant to the Agreement.</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evaluates acquisitions of assets and other similar transactions to assess whether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The cost of an asset acquisition is allocated to identifiable assets acquired and liabilities assumed based on a relative fair value basis. Goodwill is not recognized in an asset acquisition. Any contingent consideration in an asset acquisition is recognized only when amounts are both probable and estimable, at which point the consideration is allocated to the assets acquired on a relative fair value basis. Based on the Company's assessment of the value of the assets acquired as well as consideration of the inputs, processes and outputs, the Company concluded that this represented an asset acquisition. When a transaction accounted for as an asset acquisition includes IPR&amp;D, the IPR&amp;D asset is only capitalized as an intangible asset if it is determined to have an alternative future use other than in a particular research and development project. Otherwise, amounts allocated to the IPR&amp;D are recognized as research and development expenses in the period. The Company accounted for the acquisition of the Transferred Assets from IconOVir as an asset acquisition. The Company determined the fair value of the consideration transferred was $ 3.1 million, which represented the fair value of the unregistered shares at issuance date. Given the early-stage nature of such assets and level of further development necessary to produce an output, the Company recognized the cost of the acquisition as a research and development expense in 2025.</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9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Company had 100.0 million ordinary shares authorized for issuance as of March 31, 2026 and December 31, 2025. The Company had 48.7 million and 48.4 million ordinary shares issued and outstanding as of March 31, 2026 and December 31, 2025, respectively. Each ordinary share is entitled to one vote. The holders of ordinary shares are also entitled to receive dividends whenever funds are legally available, when and if declared by the Board of Directors (the “Board”). Since the Company's inception, the Board has not declared any dividends.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December 2019, the Company entered into a sales agreement (the “ATM Sales Agreement”) with TD Securities (USA) LLC (f/k/a Cowen and Company, LLC) (“TD Cowen”), pursuant to which the Company may from time to time offer and sell its ordinary shares having an aggregate offering price of up to $100.0 million, to or through TD Cowen, acting as sales agent or principal, in any manner deemed to be an “at-the-market offering.”</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During the first quarter of 2024, the Company sold 3,400,468 ordinary shares under the ATM Sales Agreement for net proceeds to the Company of approximately $54.7 million after deducting sales commissions to TD Cowen of up to 3%. During the third quarter of 2025, the Company sold 416,248 ordinary shares under the ATM Sales Agreement for net proceeds to the Company of approximately $8.0 million after deducting sales commissions to TD Cowen of up to 3%.</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November 2025, the Company amended the ATM Sales Agreement to remove the aggregate offering price limit of $100.0 million and filed a registration statement on Form S-3 providing for the offer and sale of ordinary shares pursuant to the ATM Sales Agreement having an aggregate offering price of up to $75.0 million, which became effective automatically (the “ATM Prospectus”). Following the amendment, during the fourth quarter of 2025, the Company sold 1,370,962 ordinary shares pursuant to the ATM Prospectus for net proceeds to the Company of approximately $31.8 million after deducting sales commissions to TD Cowen of up to 3%. As of March 31, 2026, the remaining capacity under the ATM Prospectus was approximately $42.4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July 26, 2023, the Company entered into a Securities Purchase Agreement (the “Purchase Agreement”) with certain institutional and other accredited investors (the “Purchasers”), pursuant to which the Company agreed to sell and issue to the Purchasers 7,300,380 ordinary shares of the Company (“Shares”) and 5,278,776 of pre-funded warrants to purchase ordinary shares of the Company at a purchase price of $9.54 per Share or $9.539 for each ordinary share underlying a pre-funded warrant, in a private placement transaction that closed on July 28, 2023 and August 9, 2023 (the “Private Placement”) for aggregate gross proceeds of $120.0 million, before deducting fees to placement agents and financial advisors and before other expenses paid by the Company. Each pre-funded warrant has an exercise price of $0.001 per ordinary share, subject to customary adjustments, became exercisable upon original issuance and will not expire until exercised in full.</w:t>
      </w:r>
    </w:p>
    <w:p>
      <w:pPr>
        <w:spacing w:after="0" w:line="5"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color w:val="auto"/>
        </w:rPr>
        <w:t>The pre-funded warrants may not be exercised if the aggregate number of ordinary shares beneficially owned by the holder thereof immediately following such exercise would exceed a specified beneficial ownership limitation. The aggregate fee paid by the Company to placement agents and financial advisors was $3.6 million, plus the reimbursement of certain expenses.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Resales of the Shares and the ordinary shares issuable upon exercise of the pre-funded warrants were registered pursuant to the Company’s registration statement on Form S-3 (File No. 333-274423) filed with the SEC on September 8, 2023, which was declared effective on September 15, 2023.</w:t>
      </w:r>
    </w:p>
    <w:p>
      <w:pPr>
        <w:spacing w:after="0" w:line="155" w:lineRule="exact"/>
        <w:rPr>
          <w:sz w:val="20"/>
          <w:szCs w:val="20"/>
          <w:color w:val="auto"/>
        </w:rPr>
      </w:pPr>
    </w:p>
    <w:p>
      <w:pPr>
        <w:jc w:val="both"/>
        <w:ind w:right="180"/>
        <w:spacing w:after="0" w:line="245" w:lineRule="auto"/>
        <w:rPr>
          <w:sz w:val="20"/>
          <w:szCs w:val="20"/>
          <w:color w:val="auto"/>
        </w:rPr>
      </w:pPr>
      <w:r>
        <w:rPr>
          <w:rFonts w:ascii="Arial" w:cs="Arial" w:eastAsia="Arial" w:hAnsi="Arial"/>
          <w:sz w:val="18"/>
          <w:szCs w:val="18"/>
          <w:color w:val="auto"/>
        </w:rPr>
        <w:t>On December 20, 2023, the Company issued 1,599,733 ordinary shares through a cashless exercise of 1,599,840 pre-funded warrants for the purchase of ordinary shares of the Company. On January 24, 2025, the Company issued 3,206,271 ordinary shares upon</w:t>
      </w:r>
    </w:p>
    <w:p>
      <w:pPr>
        <w:jc w:val="both"/>
        <w:ind w:right="180"/>
        <w:spacing w:after="0" w:line="250" w:lineRule="auto"/>
        <w:rPr>
          <w:sz w:val="20"/>
          <w:szCs w:val="20"/>
          <w:color w:val="auto"/>
        </w:rPr>
      </w:pPr>
      <w:r>
        <w:rPr>
          <w:rFonts w:ascii="Arial" w:cs="Arial" w:eastAsia="Arial" w:hAnsi="Arial"/>
          <w:sz w:val="18"/>
          <w:szCs w:val="18"/>
          <w:color w:val="auto"/>
        </w:rPr>
        <w:t>exercise of 3,206,271 pre-funded warrants for the purchase of ordinary shares of the Company. As of March 31, 2026, 472,665 pre-funded warrants from the Purchase Agreement remain outstanding.</w:t>
      </w:r>
    </w:p>
    <w:p>
      <w:pPr>
        <w:spacing w:after="0" w:line="158"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Monograph Capital Partners I, L.P. (“Monograph”), a life sciences venture firm that is affiliated with Fred Cohen, M.D., purchased 1,572,327 of the Shares in the Private Placement, for an aggregate purchase price of $15.0 million. Dr. Cohen was a director of the Company and the Chair and Chief Investment Officer of Monograph at the time of purchase.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9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On June 17, 2024, the Company entered into an underwriting agreement with TD Securities (USA) LLC and Guggenheim Securities, LLC, as representatives of the several underwriters named therein (collectively, the “Underwriters”), relating to the issuance and sale in a public offering of 5,000,000 ordinary shares of the Company for $17.50 per share and pre-funded warrants to purchase 1,142,857 ordinary shares of the Company for $17.499 per pre-funded warrant. The offering closed on June 20, 2024. The gross proceeds to the Company from this closing of the offering were $107.5 million, before deducting underwriting discounts and commissions and offering expenses paid by the Company of $7.3 million. Each pre-funded warrant has an exercise price of $0.001 per ordinary share, subject to customary adjustments,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is exercisable at any time and will not expire until exercised in full. The pre-funded warrants may not be exercised if the aggregate number of ordinary shares beneficially owned by the holder thereof immediately following such exercise would exceed a specified beneficial ownership limitation. As of March 31, 2026, all 1,142,857 pre-funded warrants remain outstanding. In addition, the Underwriters were granted an option exercisable for 30 days, to purchase up to 921,428 additional shares at the public offering price, less the underwriting discounts and commissions. On July 18, 2024, the Company completed the closing of the sale of 921,428 additional shares in the offering following the exercise in full of the Underwriters’ option to purchase additional shares, which resulted in additional gross proceeds to the Company of $16.1 million before deducting underwriting discounts and commissions and offering expenses paid by the Company of $1.0 million.</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w:t>
      </w:r>
      <w:r>
        <w:rPr>
          <w:rFonts w:ascii="Arial" w:cs="Arial" w:eastAsia="Arial" w:hAnsi="Arial"/>
          <w:sz w:val="18"/>
          <w:szCs w:val="18"/>
          <w:b w:val="1"/>
          <w:bCs w:val="1"/>
          <w:color w:val="auto"/>
        </w:rPr>
        <w:t xml:space="preserve"> Share-Based Compensation</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October 2010, the Board approved a share option plan (the "2010 Plan") for grants to Company employees, consultants, directors, and other service providers. Subsequently, in March 2017, the Board adopted the 2017 Equity Incentive Plan (the "2017 Plan" and, together with the 2010 Plan, the "Plans"), which was approved by the shareholders in April 2017. The 2017 Plan provides for the grant of stock options, stock appreciation rights, restricted stock awards, RSU awards, performance share awards, performance cash awards, and other forms of share awards to the Company's employees, directors and consultants.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grant of options to Israeli employees under the Plans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Plans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Plans, including amounts recorded as salary benefits in the Company’s accounts, with the exception of the work-income benefit component, if any, determined on grant date. For non-employees and for non-Israeli employees, the Plans are subject to Section 3(i) of the Israeli Income Tax Ordinance.</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Employees are typically granted stock options and/or RSUs, upon commencement of employment. Also, eligible employees may receive an annual grant of options, RSUs and/or PSUs. Non-employee members of the Board typically receive a grant of stock options or a mix of options and RSUs upon initial appointment to the Board, and stock options or a mix of stock options and RSUs annually. The term of any option granted under the Plans cannot exceed 10 years. Options shall not have an exercise price less than 100% of the fair market value of the Company’s ordinary shares on the grant date, and generally vest over a period of three years. If the individual possesses more than 10% of the combined voting power of all classes of equity of the Company, the exercise price shall not be less than 110% of the fair market value of an ordinary share on the date of grant.</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Company’s RSU and option grants provide for accelerated or continued vesting in certain circumstances as defined in the Plans and related grant agreements, including a termination in connection with a change in control. RSUs generally vest in a 33% increment upon the first anniversary of grant, and in either equal quarterly or annual amounts for the two years following the one-year anniversary of the grant date. Options generally vest in a 33% increment upon the first anniversary of the grant date, and in either equal quarterly or annual amounts for the two years following the one-year anniversary of the grant date. The Company also grants PSUs to certain employees. The PSUs granted during 2023 vested upon U.S. regulatory approval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The PSUs granted in 2024 vested upon the achievement of the first commercial sale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the United States following receipt of U.S. regulatory approval. The PSUs granted in 2025 vest based on both performance and service conditions, with one-third of each award vesting upon the filing of financial statements reflecting the achievement of a net product sales target and with one-third vesting on January 31</w:t>
      </w:r>
      <w:r>
        <w:rPr>
          <w:rFonts w:ascii="Arial" w:cs="Arial" w:eastAsia="Arial" w:hAnsi="Arial"/>
          <w:sz w:val="14"/>
          <w:szCs w:val="14"/>
          <w:color w:val="auto"/>
        </w:rPr>
        <w:t>st</w:t>
      </w:r>
      <w:r>
        <w:rPr>
          <w:rFonts w:ascii="Arial" w:cs="Arial" w:eastAsia="Arial" w:hAnsi="Arial"/>
          <w:sz w:val="18"/>
          <w:szCs w:val="18"/>
          <w:color w:val="auto"/>
        </w:rPr>
        <w:t xml:space="preserve"> of each of the next two calendar years following such achievement, subject to continued service on each vesting date. The PSUs granted in 2026 vest based upon U.S. regulatory approval of UGN-103 and represent 336,411 units with a total grant-date fair value of approximately $6.6 million. In June 2024, the Company amended certain RSU and PSU awards granted to its chief executive officer to defer vesting until the end of 2025. In December 2025, the Company further amended certain RSU and PSU awards granted to its chief executive officer to defer vesting until the end of 2026. The Company accounted for the modification as a Type I probable-to-probable modification under ASC 718. As the modification did not result in any incremental fair value at the modification dates, the Company continues to recognize the original grant-date fair value ratably over the original service period or expected performance period.</w:t>
      </w:r>
    </w:p>
    <w:p>
      <w:pPr>
        <w:spacing w:after="0" w:line="172"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The maximum number of ordinary shares that was initially authorized for issuance under the 2017 Plan was 1,400,000. On January 1, 2018, the share reserve increased by 250,167 shares to a total share reserve of 1,650,167 shares. On October 12, 2018, the Company increased the number of ordinary shares authorized for issuance under the 2017 Plan by 1,900,000 shares to a total share reserve</w:t>
      </w:r>
    </w:p>
    <w:p>
      <w:pPr>
        <w:spacing w:after="0" w:line="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of 3,550,167 shares. On June 8, 2020, the Company’s shareholders approved an increase to the number of ordinary shares authorized for issuance under the 2017 Plan by 400,000 shares to a total share reserve of 3,950,167 shares. On June 7, 2021, the Company’s shareholders approved an increase to the number of ordinary shares authorized for issuance under the 2017 Plan by 400,000 shares to a total share reserve of 4,350,167 shares. On June 8, 2022, the Company's shareholders approved an increase to the number of ordinary shares authorized for issuance under the 2017 Plan by 400,000 shares to a total share reserve of 4,750,167 shares. On September 7, 2023, the Company's shareholders approved an increase to the number of ordinary shares authorized for issuance under the 2017 Plan by 450,000 shares to a total share reserve of 5,200,167 shares. On August 6, 2024, the Company's shareholders approved an increase to the number of ordinary shares authorized for issuance under the 2017 Plan by 800,000 shares to a total share reserve</w:t>
      </w:r>
    </w:p>
    <w:p>
      <w:pPr>
        <w:spacing w:after="0" w:line="6"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of 6,000,167 shares. On August 26, 2025, the Company's shareholders approved an increase to the number of ordinary shares authorized for issuance under the 2017 Plan by 2,750,000 shares to a total share reserve of 8,750,167 shares.</w:t>
      </w:r>
    </w:p>
    <w:p>
      <w:pPr>
        <w:spacing w:after="0" w:line="15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May 2019, the Company adopted the UroGen Pharma Ltd. 2019 Inducement Plan (the “Inducement Plan”). Under the Inducement Plan, the Company is authorized to issue up to 900,000 ordinary shares pursuant to inducement awards. The only persons eligible to receive grants under the Inducement Plan are individuals who satisfy the standards for inducement grants under Nasdaq Marketplace Rule 5635(c)</w:t>
      </w:r>
    </w:p>
    <w:p>
      <w:pPr>
        <w:spacing w:after="0" w:line="2" w:lineRule="exact"/>
        <w:rPr>
          <w:sz w:val="20"/>
          <w:szCs w:val="20"/>
          <w:color w:val="auto"/>
        </w:rPr>
      </w:pPr>
    </w:p>
    <w:p>
      <w:pPr>
        <w:ind w:right="120" w:firstLine="8"/>
        <w:spacing w:after="0" w:line="239"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the related guidance under Nasdaq IM 5635-1, including individuals who were not previously an employee or director of the Company or are following a bona fide period of non-employment, in each case as an inducement material to such individual’s agreement to enter into employment with the Company. In December 2021, the Board approved an increase to the number of shares authorized for issuance under the Inducement Plan of 300,000 shares. In June 2024, the Board approved an increase to the number of shares authorized for issuance under the Inducement Plan of 600,000 shares to a total share reserve of 1,800,000 shares.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of March 31, 2026, 5,356,440 ordinary shares are subject to outstanding awards under the Company's share-based compensation plans and 2,052,792 ordinary shares remain available for future awards.</w:t>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The following table illustrates the effect of share-based compensation on the condensed consolidated statements of operations (in thousands):</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00" w:type="dxa"/>
            <w:vAlign w:val="bottom"/>
            <w:gridSpan w:val="4"/>
          </w:tcPr>
          <w:p>
            <w:pPr>
              <w:jc w:val="center"/>
              <w:ind w:left="416"/>
              <w:spacing w:after="0"/>
              <w:rPr>
                <w:sz w:val="20"/>
                <w:szCs w:val="20"/>
                <w:color w:val="auto"/>
              </w:rPr>
            </w:pPr>
            <w:r>
              <w:rPr>
                <w:rFonts w:ascii="Arial" w:cs="Arial" w:eastAsia="Arial" w:hAnsi="Arial"/>
                <w:sz w:val="18"/>
                <w:szCs w:val="18"/>
                <w:b w:val="1"/>
                <w:bCs w:val="1"/>
                <w:color w:val="auto"/>
                <w:w w:val="98"/>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16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769</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6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The total unrecognized compensation cost of options, RSUs and PSUs at March 31, 2026 is $39.1 million with a weighted average recognition period of 2.23 years.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98"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UroGen Pharma Ltd. is taxed under Israeli tax laws. As of March 31, 2026, the Company continues to maintain a full valuation allowance against deferred tax assets for all jurisdictions. In evaluating the need for a valuation allowance, the Company considers all sources of taxable income available to realize the deferred tax asset, including the future reversal of existing temporary differences, forecasts of future taxable income, and tax planning strategies. The Company has cumulative global pretax losses for the years ended 2025, 2024 and 2023, and for the three months ended March 31, 2026. The Company will continue to assess the extent to which its deferred tax assets may be realized in the future and will adjust the valuation allowance as needed.</w:t>
      </w:r>
    </w:p>
    <w:p>
      <w:pPr>
        <w:spacing w:after="0" w:line="165"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Company has a liability for uncertain tax positions of $3.9 million as of March 31, 2026, for tax positions relating to transfer pricing between affiliated entities. The Company recognizes interest accrued and penalties related to uncertain tax positions as a component of income tax expense. As of March 31, 2026, the Company’s liability for uncertain tax positions includes $2.1 million of accrued interest and penalties.</w:t>
      </w:r>
    </w:p>
    <w:p>
      <w:pPr>
        <w:spacing w:after="0" w:line="16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Company operates on a global basis and is subject to tax laws and regulations in the United States and Israel. The estimate of the Company’s tax liabilities relating to uncertain tax positions requires management to assess uncertainties and to make judgments about the application of complex tax laws and regulations, expectations regarding the outcome of tax authority examinations, as well as the ultimate measurement of potential liabilities.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uncertain tax positions are reviewed quarterly and adjusted as events occur that could affect potential liabilities for additional taxes, including lapsing of applicable statutes of limitations, correspondence with tax authorities, proposed assessments by tax authorities, identification of new issues, and issuance of new legislation or regulations. The Company believes that adequate amounts of tax have been provided in income tax expense for any adjustments that may result from its uncertain tax positions. The current balance of the uncertain tax position relates to tax years for which the statute of limitations will expire within the next 12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See Note 14 for discussion related to an asset purchase in February 2025 which involved a related party. There were no further related party transactions during the three months ended March 31, 2026 or 2025.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19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2026 and December 31, 2025. The Company does not anticipate recognizing any significant losses relating to these arrangements.</w:t>
      </w:r>
    </w:p>
    <w:p>
      <w:pPr>
        <w:spacing w:after="0" w:line="160"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On April 2, 2024, the Company filed a lawsuit in the U.S. District Court for the District of Delaware against Teva Pharmaceuticals, Inc., Teva Pharmaceuticals USA, Inc., and Teva Pharmaceutical Industries, Ltd., alleging infringement of U.S. Patent</w:t>
      </w:r>
    </w:p>
    <w:p>
      <w:pPr>
        <w:ind w:right="40"/>
        <w:spacing w:after="0" w:line="234" w:lineRule="auto"/>
        <w:rPr>
          <w:sz w:val="20"/>
          <w:szCs w:val="20"/>
          <w:color w:val="auto"/>
        </w:rPr>
      </w:pPr>
      <w:r>
        <w:rPr>
          <w:rFonts w:ascii="Arial" w:cs="Arial" w:eastAsia="Arial" w:hAnsi="Arial"/>
          <w:sz w:val="18"/>
          <w:szCs w:val="18"/>
          <w:color w:val="auto"/>
        </w:rPr>
        <w:t>Numbers 9,040,074 and 9,950,069 and seeking a permanent injunction preventing U.S. market entry of Teva’s generic product prior to the expiry of such patents. By written stipulation dated June 11, 2024, Teva Pharmaceutical Industries, Ltd. was dismissed from the action. On May 19, 2025, the Company filed an Amended Complaint, adding U.S. Patent 12,268,745 to the litigation (the “745 Patent”). The U.S. Patent and Trademark Office issued the ‘745 Patent on April 8, 2025, and the Company subsequently added this patent to the Orange Book for JELMYTO. By orders dated February 27, 2025, and June 26, 2025, the court approved the parties’ joint stipulations to remove</w:t>
      </w:r>
    </w:p>
    <w:p>
      <w:pPr>
        <w:spacing w:after="0" w:line="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Markman hearing and any related claim-construction proceedings from the court’s calendar. Following certain stipulations, the case is now styled as UroGen Pharma Ltd. et al. v. Teva Pharmaceuticals, Inc. et al. By order dated January 12, 2026, the court approved the parties’ joint stipulation to dismiss counts I, II, III, and IV of the Company’s Amended Complaint alleging infringement by Teva of U.S. Patent Numbers 9,040,074 and 9,950,069, with prejudice, and to dismiss counts I and II of Teva’s counterclaims seeking declaratory judgment that U.S. Patent Numbers 9,040,074 and 9,950,069 are invalid, as moot. By order dated April 27, 2026, the court approved the parties' joint stipulation to extend the deadlines for expert discovery and pre-trial activities and to postpone trial until January 2027, subject to the court's availability. No ANDA may be finally approved by the FDA until the expiration of Orphan Drug Exclusivity covering JELMYTO in April 2027. If the Company is unsuccessful in securing the requested court relief, JELMYTO may be subject to immediate competition from an FDA approved generic product after regulatory exclusivity for JELMYTO expires in April 2027.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discussion regarding lease commitments.</w:t>
      </w:r>
    </w:p>
    <w:p>
      <w:pPr>
        <w:sectPr>
          <w:pgSz w:w="11900" w:h="16838" w:orient="portrait"/>
          <w:cols w:equalWidth="0" w:num="1">
            <w:col w:w="11240"/>
          </w:cols>
          <w:pgMar w:left="320" w:top="121" w:right="339" w:bottom="243"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43"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Reporting</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The Company is engaged in the development and commercialization of innovative solutions for the treatment of urothelial and specialty cancers. The Company has a single operating segment and reportable segment focused on these business activities, and its operations are managed on a consolidated basis. The primary revenue source for the segment comes from sales of the Company’s approved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primarily conducted in the United States.</w:t>
      </w:r>
    </w:p>
    <w:p>
      <w:pPr>
        <w:spacing w:after="0" w:line="16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Company’s Chief Operating Decision Maker (“CODM”) is the Chief Executive Officer (“CEO”). The CODM assesses performance and allocates resources based on net income or loss, which is the primary measure of performance, as reported in the condensed consolidated statements of operations and comprehensive loss. Additionally, net income or loss is used to monitor performance relative to budgeted targets and to evaluate financial performance in relation to the Company’s strategic goals. For additional information, refer to the condensed consolidated statements of operations and comprehensive loss for detailed measures of segment revenues, expenses, and profit or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significant segment expenses regularly provided to the CODM is as follows (in thousands):</w:t>
      </w:r>
    </w:p>
    <w:p>
      <w:pPr>
        <w:spacing w:after="0" w:line="198"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Three Months Ended March</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31,</w:t>
      </w:r>
    </w:p>
    <w:tbl>
      <w:tblPr>
        <w:tblLayout w:type="fixed"/>
        <w:tblInd w:w="5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R&amp;D project materials &amp; services</w:t>
            </w:r>
          </w:p>
        </w:tc>
        <w:tc>
          <w:tcPr>
            <w:tcW w:w="182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9,705</w:t>
            </w:r>
          </w:p>
        </w:tc>
        <w:tc>
          <w:tcPr>
            <w:tcW w:w="180" w:type="dxa"/>
            <w:vAlign w:val="bottom"/>
          </w:tcPr>
          <w:p>
            <w:pPr>
              <w:spacing w:after="0"/>
              <w:rPr>
                <w:sz w:val="17"/>
                <w:szCs w:val="17"/>
                <w:color w:val="auto"/>
              </w:rPr>
            </w:pP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of IPR&amp;D</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Employee compensation</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office, utilities &amp; technology</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expenses</w:t>
            </w:r>
          </w:p>
        </w:tc>
        <w:tc>
          <w:tcPr>
            <w:tcW w:w="1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Employee compensation</w:t>
            </w:r>
          </w:p>
        </w:tc>
        <w:tc>
          <w:tcPr>
            <w:tcW w:w="182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26,109</w:t>
            </w:r>
          </w:p>
        </w:tc>
        <w:tc>
          <w:tcPr>
            <w:tcW w:w="180" w:type="dxa"/>
            <w:vAlign w:val="bottom"/>
          </w:tcPr>
          <w:p>
            <w:pPr>
              <w:spacing w:after="0"/>
              <w:rPr>
                <w:sz w:val="17"/>
                <w:szCs w:val="17"/>
                <w:color w:val="auto"/>
              </w:rPr>
            </w:pP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&amp; medical affairs services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7,526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Travel, meetings &amp; conferences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Rent, office, utilities &amp; technology</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(1)</w:t>
            </w:r>
          </w:p>
        </w:tc>
        <w:tc>
          <w:tcPr>
            <w:tcW w:w="1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 expenses</w:t>
            </w:r>
          </w:p>
        </w:tc>
        <w:tc>
          <w:tcPr>
            <w:tcW w:w="15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Other expenses primarily consist of insurance, publications, sponsorships, grants, other fees and taxes.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21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and determined there were no subsequent events.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and the audited financial statements and notes thereto as of and for the year ended December 31, 2025 and the related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both of which are contained in our Annual Report on Form 10-K for the year ended December 31, 2025 (</w:t>
      </w:r>
      <w:r>
        <w:rPr>
          <w:rFonts w:ascii="Arial" w:cs="Arial" w:eastAsia="Arial" w:hAnsi="Arial"/>
          <w:sz w:val="18"/>
          <w:szCs w:val="18"/>
          <w:color w:val="auto"/>
        </w:rPr>
        <w:t>“</w:t>
      </w:r>
      <w:r>
        <w:rPr>
          <w:rFonts w:ascii="Arial" w:cs="Arial" w:eastAsia="Arial" w:hAnsi="Arial"/>
          <w:sz w:val="18"/>
          <w:szCs w:val="18"/>
          <w:i w:val="1"/>
          <w:iCs w:val="1"/>
          <w:color w:val="auto"/>
        </w:rPr>
        <w:t>Annual Report</w:t>
      </w:r>
      <w:r>
        <w:rPr>
          <w:rFonts w:ascii="Arial" w:cs="Arial" w:eastAsia="Arial" w:hAnsi="Arial"/>
          <w:sz w:val="18"/>
          <w:szCs w:val="18"/>
          <w:color w:val="auto"/>
        </w:rPr>
        <w:t>”</w:t>
      </w:r>
      <w:r>
        <w:rPr>
          <w:rFonts w:ascii="Arial" w:cs="Arial" w:eastAsia="Arial" w:hAnsi="Arial"/>
          <w:sz w:val="18"/>
          <w:szCs w:val="18"/>
          <w:i w:val="1"/>
          <w:iCs w:val="1"/>
          <w:color w:val="auto"/>
        </w:rPr>
        <w:t>), which was filed with the SEC on March 2, 2026. The information in this discussion contains forward-looking statements and information within the meaning of Section 27A of the Securities Act of 1933, as amended (</w:t>
      </w: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w:t>
      </w:r>
      <w:r>
        <w:rPr>
          <w:rFonts w:ascii="Arial" w:cs="Arial" w:eastAsia="Arial" w:hAnsi="Arial"/>
          <w:sz w:val="18"/>
          <w:szCs w:val="18"/>
          <w:i w:val="1"/>
          <w:iCs w:val="1"/>
          <w:color w:val="auto"/>
        </w:rPr>
        <w:t>), and Section 21E 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xml:space="preserve">), which are subject to the </w:t>
      </w:r>
      <w:r>
        <w:rPr>
          <w:rFonts w:ascii="Arial" w:cs="Arial" w:eastAsia="Arial" w:hAnsi="Arial"/>
          <w:sz w:val="18"/>
          <w:szCs w:val="18"/>
          <w:color w:val="auto"/>
        </w:rPr>
        <w:t>“</w:t>
      </w: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created by those sections. These forward-looking statements include, but are not limited to, statements concerning our strategy, future operations, future financial position, future revenues, trends, projected costs, prospects and plans and objectives of management. The words </w:t>
      </w:r>
      <w:r>
        <w:rPr>
          <w:rFonts w:ascii="Arial" w:cs="Arial" w:eastAsia="Arial" w:hAnsi="Arial"/>
          <w:sz w:val="18"/>
          <w:szCs w:val="18"/>
          <w:color w:val="auto"/>
        </w:rPr>
        <w:t>“</w:t>
      </w:r>
      <w:r>
        <w:rPr>
          <w:rFonts w:ascii="Arial" w:cs="Arial" w:eastAsia="Arial" w:hAnsi="Arial"/>
          <w:sz w:val="18"/>
          <w:szCs w:val="18"/>
          <w:i w:val="1"/>
          <w:iCs w:val="1"/>
          <w:color w:val="auto"/>
        </w:rPr>
        <w:t>anticipates,</w:t>
      </w:r>
      <w:r>
        <w:rPr>
          <w:rFonts w:ascii="Arial" w:cs="Arial" w:eastAsia="Arial" w:hAnsi="Arial"/>
          <w:sz w:val="18"/>
          <w:szCs w:val="18"/>
          <w:color w:val="auto"/>
        </w:rPr>
        <w:t>” “</w:t>
      </w:r>
      <w:r>
        <w:rPr>
          <w:rFonts w:ascii="Arial" w:cs="Arial" w:eastAsia="Arial" w:hAnsi="Arial"/>
          <w:sz w:val="18"/>
          <w:szCs w:val="18"/>
          <w:i w:val="1"/>
          <w:iCs w:val="1"/>
          <w:color w:val="auto"/>
        </w:rPr>
        <w:t>believes,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estimates,</w:t>
      </w:r>
      <w:r>
        <w:rPr>
          <w:rFonts w:ascii="Arial" w:cs="Arial" w:eastAsia="Arial" w:hAnsi="Arial"/>
          <w:sz w:val="18"/>
          <w:szCs w:val="18"/>
          <w:color w:val="auto"/>
        </w:rPr>
        <w:t>” “</w:t>
      </w:r>
      <w:r>
        <w:rPr>
          <w:rFonts w:ascii="Arial" w:cs="Arial" w:eastAsia="Arial" w:hAnsi="Arial"/>
          <w:sz w:val="18"/>
          <w:szCs w:val="18"/>
          <w:i w:val="1"/>
          <w:iCs w:val="1"/>
          <w:color w:val="auto"/>
        </w:rPr>
        <w:t>expects,</w:t>
      </w:r>
      <w:r>
        <w:rPr>
          <w:rFonts w:ascii="Arial" w:cs="Arial" w:eastAsia="Arial" w:hAnsi="Arial"/>
          <w:sz w:val="18"/>
          <w:szCs w:val="18"/>
          <w:color w:val="auto"/>
        </w:rPr>
        <w:t>” “</w:t>
      </w:r>
      <w:r>
        <w:rPr>
          <w:rFonts w:ascii="Arial" w:cs="Arial" w:eastAsia="Arial" w:hAnsi="Arial"/>
          <w:sz w:val="18"/>
          <w:szCs w:val="18"/>
          <w:i w:val="1"/>
          <w:iCs w:val="1"/>
          <w:color w:val="auto"/>
        </w:rPr>
        <w:t>intends,</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plans,</w:t>
      </w:r>
      <w:r>
        <w:rPr>
          <w:rFonts w:ascii="Arial" w:cs="Arial" w:eastAsia="Arial" w:hAnsi="Arial"/>
          <w:sz w:val="18"/>
          <w:szCs w:val="18"/>
          <w:color w:val="auto"/>
        </w:rPr>
        <w:t>” “</w:t>
      </w:r>
      <w:r>
        <w:rPr>
          <w:rFonts w:ascii="Arial" w:cs="Arial" w:eastAsia="Arial" w:hAnsi="Arial"/>
          <w:sz w:val="18"/>
          <w:szCs w:val="18"/>
          <w:i w:val="1"/>
          <w:iCs w:val="1"/>
          <w:color w:val="auto"/>
        </w:rPr>
        <w:t>projects,</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xml:space="preserve">” </w:t>
      </w:r>
      <w:r>
        <w:rPr>
          <w:rFonts w:ascii="Arial" w:cs="Arial" w:eastAsia="Arial" w:hAnsi="Arial"/>
          <w:sz w:val="18"/>
          <w:szCs w:val="18"/>
          <w:i w:val="1"/>
          <w:iCs w:val="1"/>
          <w:color w:val="auto"/>
        </w:rPr>
        <w:t>and similar expressions are intended to identify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Quarterly Report. In addition, statements indicating that </w:t>
      </w:r>
      <w:r>
        <w:rPr>
          <w:rFonts w:ascii="Arial" w:cs="Arial" w:eastAsia="Arial" w:hAnsi="Arial"/>
          <w:sz w:val="18"/>
          <w:szCs w:val="18"/>
          <w:color w:val="auto"/>
        </w:rPr>
        <w:t>“</w:t>
      </w:r>
      <w:r>
        <w:rPr>
          <w:rFonts w:ascii="Arial" w:cs="Arial" w:eastAsia="Arial" w:hAnsi="Arial"/>
          <w:sz w:val="18"/>
          <w:szCs w:val="18"/>
          <w:i w:val="1"/>
          <w:iCs w:val="1"/>
          <w:color w:val="auto"/>
        </w:rPr>
        <w:t>we believe</w:t>
      </w:r>
      <w:r>
        <w:rPr>
          <w:rFonts w:ascii="Arial" w:cs="Arial" w:eastAsia="Arial" w:hAnsi="Arial"/>
          <w:sz w:val="18"/>
          <w:szCs w:val="18"/>
          <w:color w:val="auto"/>
        </w:rPr>
        <w:t>”</w:t>
      </w:r>
      <w:r>
        <w:rPr>
          <w:rFonts w:ascii="Arial" w:cs="Arial" w:eastAsia="Arial" w:hAnsi="Arial"/>
          <w:sz w:val="18"/>
          <w:szCs w:val="18"/>
          <w:i w:val="1"/>
          <w:iCs w:val="1"/>
          <w:color w:val="auto"/>
        </w:rPr>
        <w:t xml:space="preser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The forward-looking statements are applicable only as of the date on which they are made, and we do not assume any obligation to update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a biotechnology company dedicated to developing and commercializing innovative solutions that treat urothelial and specialty cancers. We have developed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reverse-thermal hydrogel, a proprietary sustained release, hydrogel-based technology that has the potential to improve therapeutic profiles of existing drugs. Our technology is designed to enable longer exposure of urinary tract tissue to medications, making local therapy a potentially more effective treatment option. Our approved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(mitomycin) for intravesical solution are designed to ablate tumors by non-surgical means and to treat several forms of non-muscle invasive urothelial cancer, including low-grade upper tract urothelial cancer (“low-grade UTUC”) and recurrent low-grade intermediate risk non-muscle invasive bladder cancer (“low-grade intermediate risk NMIBC”), respectively. In addition, our immuno-uro-oncology pipeline includes UGN-501 (formerly known as ICVB-1042), a next-generation investigational oncolytic virus.</w:t>
      </w:r>
    </w:p>
    <w:p>
      <w:pPr>
        <w:spacing w:after="0" w:line="16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On June 12, 2025, the U.S. Food and Drug Administration ("FDA") approved our new drug application (“NDA")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(formerly known as UGN-102) for the treatment of adults with recurrent low -grade intermediate risk NMIBC. We estimate that the annual treatable population of low-grade intermediate risk NMIBC in the United States is approximately 82,000, of which approximately 23,000 are estimated to be newly diagnosed and 59,000 are estimated to be recurrent patients. We estimate that the total addressable market opportunity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recurrent low-grade intermediate risk NMIBC is potentially over $5.0 billion.</w:t>
      </w:r>
    </w:p>
    <w:p>
      <w:pPr>
        <w:spacing w:after="0" w:line="16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has the potential to become the new standard of care for adults with recurrent low-grade intermediate risk NMIBC as the first and only FDA-approved non-surgical treatment. The existing standard of care for low-grade intermediate risk NMIBC is a surgical procedure typically performed under general anesthesia called transurethral resection of bladder tumor (“TURBT”). Due to high recurrence rates of low-grade intermediate risk NMIBC following TURBT, repeat TURBTs may be necessary. We estimate that approximately 68% of low-grade intermediate risk NMIBC patients have two or more recurrences, with approximately 23% of recurrent patients having five or more recurrences. Repeated TURBT procedures to treat these recurrences can impact patients’ physical health and quality of life. Patients who have had two to four procedures have an estimated 14% greater risk of death than patients who have only had one procedure.</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is a novel proprietary polymeric biocompatible, reverse thermal gelation hydrogel technology, which, unlike the general characteristics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most forms of matter, is liquid at lower temperatures and converts into gel form when warmed to body temperature. We believe that these characteristics promote ease of delivery into and retention of drugs in body cavities, including the bladder and the upper urinary tract, forming a transient reservoir of drug that dissolves over time while preventing rapid excretion, providing for increased dwell time. </w:t>
      </w:r>
      <w:r>
        <w:rPr>
          <w:rFonts w:ascii="Arial" w:cs="Arial" w:eastAsia="Arial" w:hAnsi="Arial"/>
          <w:sz w:val="18"/>
          <w:szCs w:val="18"/>
          <w:i w:val="1"/>
          <w:iCs w:val="1"/>
          <w:color w:val="auto"/>
        </w:rPr>
        <w:t>RTGel</w:t>
      </w:r>
      <w:r>
        <w:rPr>
          <w:rFonts w:ascii="Arial" w:cs="Arial" w:eastAsia="Arial" w:hAnsi="Arial"/>
          <w:sz w:val="18"/>
          <w:szCs w:val="18"/>
          <w:color w:val="auto"/>
        </w:rPr>
        <w:t xml:space="preserve"> leverages the physiologic flow of urine to provide a natural exit from the body.</w:t>
      </w:r>
    </w:p>
    <w:p>
      <w:pPr>
        <w:spacing w:after="0" w:line="1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We believe that </w:t>
      </w:r>
      <w:r>
        <w:rPr>
          <w:rFonts w:ascii="Arial" w:cs="Arial" w:eastAsia="Arial" w:hAnsi="Arial"/>
          <w:sz w:val="18"/>
          <w:szCs w:val="18"/>
          <w:i w:val="1"/>
          <w:iCs w:val="1"/>
          <w:color w:val="auto"/>
        </w:rPr>
        <w:t>RTGel</w:t>
      </w:r>
      <w:r>
        <w:rPr>
          <w:rFonts w:ascii="Arial" w:cs="Arial" w:eastAsia="Arial" w:hAnsi="Arial"/>
          <w:sz w:val="18"/>
          <w:szCs w:val="18"/>
          <w:color w:val="auto"/>
        </w:rPr>
        <w:t xml:space="preserve">, when formulated with an active drug, may allow for the improved efficacy of treatment of various types of urothelial and specialty cancers and urologic diseases without compromising the safety of the patient or interfering with the natural flow of fluids in the urinary tract. </w:t>
      </w:r>
      <w:r>
        <w:rPr>
          <w:rFonts w:ascii="Arial" w:cs="Arial" w:eastAsia="Arial" w:hAnsi="Arial"/>
          <w:sz w:val="18"/>
          <w:szCs w:val="18"/>
          <w:i w:val="1"/>
          <w:iCs w:val="1"/>
          <w:color w:val="auto"/>
        </w:rPr>
        <w:t>RTGel</w:t>
      </w:r>
      <w:r>
        <w:rPr>
          <w:rFonts w:ascii="Arial" w:cs="Arial" w:eastAsia="Arial" w:hAnsi="Arial"/>
          <w:sz w:val="18"/>
          <w:szCs w:val="18"/>
          <w:color w:val="auto"/>
        </w:rPr>
        <w:t xml:space="preserve"> achieves this by:</w:t>
      </w:r>
    </w:p>
    <w:p>
      <w:pPr>
        <w:spacing w:after="0" w:line="155" w:lineRule="exact"/>
        <w:rPr>
          <w:sz w:val="20"/>
          <w:szCs w:val="20"/>
          <w:color w:val="auto"/>
        </w:rPr>
      </w:pPr>
    </w:p>
    <w:p>
      <w:pPr>
        <w:jc w:val="both"/>
        <w:ind w:left="660" w:right="240" w:hanging="328"/>
        <w:spacing w:after="0" w:line="24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aqueous mitomycin formulation, currently used as adjuvant treatment, in the upper urinary tract is approximately five minutes, compared to approximately four to six hours when mitomycin is formulated with </w:t>
      </w:r>
      <w:r>
        <w:rPr>
          <w:rFonts w:ascii="Arial" w:cs="Arial" w:eastAsia="Arial" w:hAnsi="Arial"/>
          <w:sz w:val="18"/>
          <w:szCs w:val="18"/>
          <w:i w:val="1"/>
          <w:iCs w:val="1"/>
          <w:color w:val="auto"/>
        </w:rPr>
        <w:t>RTGel</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administering higher doses of an active drug than would otherwise be possible using standard water-based formulations. For instance, it is only possible to dissolve 0.5 mg of mitomycin in 1 mL of water while it is possible to formulate up to 8 mg of mitomycin with 1 mL of </w:t>
      </w:r>
      <w:r>
        <w:rPr>
          <w:rFonts w:ascii="Arial" w:cs="Arial" w:eastAsia="Arial" w:hAnsi="Arial"/>
          <w:sz w:val="18"/>
          <w:szCs w:val="18"/>
          <w:i w:val="1"/>
          <w:iCs w:val="1"/>
          <w:color w:val="auto"/>
        </w:rPr>
        <w:t>RTGel</w:t>
      </w:r>
      <w:r>
        <w:rPr>
          <w:rFonts w:ascii="Arial" w:cs="Arial" w:eastAsia="Arial" w:hAnsi="Arial"/>
          <w:sz w:val="18"/>
          <w:szCs w:val="18"/>
          <w:color w:val="auto"/>
        </w:rPr>
        <w:t>; and</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the active drug’s molecular structure and mode of action.</w:t>
      </w:r>
    </w:p>
    <w:p>
      <w:pPr>
        <w:sectPr>
          <w:pgSz w:w="11900" w:h="16838" w:orient="portrait"/>
          <w:cols w:equalWidth="0" w:num="1">
            <w:col w:w="11240"/>
          </w:cols>
          <w:pgMar w:left="320" w:top="121" w:right="339" w:bottom="864"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color w:val="auto"/>
        </w:rPr>
        <w:t xml:space="preserve">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enable sustained release of mitomycin in the urinary tract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UGN-103 and UGN-104. Further,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be particularly effective in the bladder and upper urinary tract where tumor visibility and access are challenging, and where there exists a significant amount of urine flow and voiding. We believe that 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prove useful for the local delivery of active drugs to other bodily cavities in addition to the bladder and upper urinary 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Jelmyto</w:t>
      </w:r>
    </w:p>
    <w:p>
      <w:pPr>
        <w:spacing w:after="0" w:line="19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 xml:space="preserve">On April 15, 2020, the FDA approved our NDA for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(mitomycin) for pyelocalyceal solution, formerly known as UGN-101, for the treatment of adult patients with low-grade UTUC.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consists of mitomycin, an established chemotherapy, and sterile hydrogel, using our proprietary sustained release </w:t>
      </w:r>
      <w:r>
        <w:rPr>
          <w:rFonts w:ascii="Arial" w:cs="Arial" w:eastAsia="Arial" w:hAnsi="Arial"/>
          <w:sz w:val="17"/>
          <w:szCs w:val="17"/>
          <w:i w:val="1"/>
          <w:iCs w:val="1"/>
          <w:color w:val="auto"/>
        </w:rPr>
        <w:t>RTGel</w:t>
      </w:r>
      <w:r>
        <w:rPr>
          <w:rFonts w:ascii="Arial" w:cs="Arial" w:eastAsia="Arial" w:hAnsi="Arial"/>
          <w:sz w:val="17"/>
          <w:szCs w:val="17"/>
          <w:color w:val="auto"/>
        </w:rPr>
        <w:t xml:space="preserve"> technology. It has been designed to enable longer exposure of urinary tract tissue to mitomycin, thereby enabling the treatment of tumors by non-surgical means. New product exclusivity for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expired on April 15, 2023, however, orphan drug exclusivity extends until April 15, 2027. Additionally, the main patents that protect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the United States are set to expire in January 2031. These patents are listed in the FDA's Orange Book (Approved Drug Products with Therapeutic Equivalence Evaluations).</w:t>
      </w:r>
    </w:p>
    <w:p>
      <w:pPr>
        <w:spacing w:after="0" w:line="15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Low-grade UTUC is a rare cancer that develops in the lining of the upper urinary tract, which consists of the kidneys and ureters. In the United States, there are approximately 6,000 to 7,000 new or recurrent low-grade UTUC patients annually. It is a challenging condition to treat due to the complex anatomy of the urinary tract system. Prior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current standard of care included endoscopic resection(s) and radical nephroureterectomy (“RNU”), the latter which involves the removal of the renal pelvis, kidney, ureter and bladder cuff. Treatment is further complicated by the fact that low-grade UTUC is most commonly diagnosed in patients over 70 years of age, who may already have compromised kidney function and may suffer further complications as a result of a major surgery. We are focused on changing the way urothelial cancers are treated, an area in which there has been no significant advancements in recent years.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therapy of its kind, providing an alternative to endoscopic resection(s) and/or RNU.</w:t>
      </w:r>
    </w:p>
    <w:p>
      <w:pPr>
        <w:spacing w:after="0" w:line="16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 xml:space="preserve">The FDA approval was based on results from our Phase 3 trial showing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achieved clinically significant disease eradication in adults with low-grade UTUC. Findings from the final study results include:</w:t>
      </w:r>
    </w:p>
    <w:p>
      <w:pPr>
        <w:spacing w:after="0" w:line="140" w:lineRule="exact"/>
        <w:rPr>
          <w:sz w:val="20"/>
          <w:szCs w:val="20"/>
          <w:color w:val="auto"/>
        </w:rPr>
      </w:pPr>
    </w:p>
    <w:p>
      <w:pPr>
        <w:ind w:left="660" w:right="620" w:hanging="328"/>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response (“CR”) rate (primary endpoint) of 58% (41/71) in the intent-to-treat population and in the sub-population of patients who were deemed not capable of surgical removal at diagnosis.</w:t>
      </w:r>
    </w:p>
    <w:p>
      <w:pPr>
        <w:spacing w:after="0" w:line="140" w:lineRule="exact"/>
        <w:rPr>
          <w:rFonts w:ascii="Arial" w:cs="Arial" w:eastAsia="Arial" w:hAnsi="Arial"/>
          <w:sz w:val="18"/>
          <w:szCs w:val="18"/>
          <w:color w:val="auto"/>
        </w:rPr>
      </w:pPr>
    </w:p>
    <w:p>
      <w:pPr>
        <w:ind w:left="660" w:right="240" w:hanging="328"/>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12-month assessment of durability, 23 of 41 total patients remained in CR, eight patients experienced recurrence of disease and ten patients were unable to be evaluated.</w:t>
      </w:r>
    </w:p>
    <w:p>
      <w:pPr>
        <w:spacing w:after="0" w:line="140"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Durability of response was estimated to be 81.8% at 12 months by Kaplan-Meier analysis. The median duration of response (“DOR”) was not reached.</w:t>
      </w:r>
    </w:p>
    <w:p>
      <w:pPr>
        <w:spacing w:after="0" w:line="140" w:lineRule="exact"/>
        <w:rPr>
          <w:rFonts w:ascii="Arial" w:cs="Arial" w:eastAsia="Arial" w:hAnsi="Arial"/>
          <w:sz w:val="18"/>
          <w:szCs w:val="18"/>
          <w:color w:val="auto"/>
        </w:rPr>
      </w:pPr>
    </w:p>
    <w:p>
      <w:pPr>
        <w:ind w:left="660" w:right="68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most commonly reported adverse events (≥ 20%) were ureteric obstruction, flank pain, urinary tract infection, hematuria, abdominal pain, fatigue, renal dysfunction, nausea, dysuria and vomiting. Most adverse events were mild to moderate and manageable. No treatment-related deaths occurred.</w:t>
      </w:r>
    </w:p>
    <w:p>
      <w:pPr>
        <w:spacing w:after="0" w:line="1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In February 2025, we presented additional new data from the long-term follow-up study to UroGen’s Phase 3 Olympus trial. Among patients from the trial who achieved a CR after primary chemoablation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(n=41, 20 of whom entered the long-term follow-up study), the median DOR was 47.8 months (median follow-up 28.1 months [95% CI 13.1, 57.5]). The study results were published in the March 2025 issue of </w:t>
      </w:r>
      <w:r>
        <w:rPr>
          <w:rFonts w:ascii="Arial" w:cs="Arial" w:eastAsia="Arial" w:hAnsi="Arial"/>
          <w:sz w:val="18"/>
          <w:szCs w:val="18"/>
          <w:i w:val="1"/>
          <w:iCs w:val="1"/>
          <w:color w:val="auto"/>
        </w:rPr>
        <w:t>The Journal of Urology</w:t>
      </w:r>
      <w:r>
        <w:rPr>
          <w:rFonts w:ascii="Arial" w:cs="Arial" w:eastAsia="Arial" w:hAnsi="Arial"/>
          <w:sz w:val="18"/>
          <w:szCs w:val="18"/>
          <w:color w:val="auto"/>
        </w:rPr>
        <w:t>.</w:t>
      </w:r>
    </w:p>
    <w:p>
      <w:pPr>
        <w:spacing w:after="0" w:line="16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In June 2020, we initiated our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We have staffed, trained and prepared a customer-facing team that includes territory business managers with deep experience in both urology and oncology. These territory business manager positions are led by regional business director positions, who are in turn supported by regional operations manager positions. Each region is additionally supported by clinical nurse educators to provide education and training around instillation, as well as field reimbursement managers to help ensure access and reimbursement for appropriate patients and key account directors who engage with C-suite individuals to introduce a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service line. In addition, our organization includes medical science liaisons who appropriately engage with physicians interested in learning more about UroGen,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technology, both in person and virtually. In total, our customer-facing team comprises approximately 160 colleagues.</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We are committed to helping patients access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market access teams have laid the foundation for coverage and reimbursement. Medicare patients with supplemental coverage are covered and the vast majority of commercial plans have policies in place to cover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addition to reimbursement and access, we have also been focused on ensuring seamless integration into physician practices. We have implemented processes to help make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preparation and administration seamless for practitioners and patients, including entering into agreements with various national, regional and local mixing pharmacies under which the pharmacy, following receipt of a patient prescription, prepares and dispenses the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admixture. In September 2022, the FDA authorized an extension of the in-use period for</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admixture from eight hours to 96 hours (four days) following reconstitution of the product, adding convenience and flexibility in managing patient care.</w:t>
      </w:r>
    </w:p>
    <w:p>
      <w:pPr>
        <w:spacing w:after="0" w:line="158" w:lineRule="exact"/>
        <w:rPr>
          <w:sz w:val="20"/>
          <w:szCs w:val="20"/>
          <w:color w:val="auto"/>
        </w:rPr>
      </w:pPr>
    </w:p>
    <w:p>
      <w:pPr>
        <w:ind w:right="780"/>
        <w:spacing w:after="0" w:line="245" w:lineRule="auto"/>
        <w:rPr>
          <w:sz w:val="20"/>
          <w:szCs w:val="20"/>
          <w:color w:val="auto"/>
        </w:rPr>
      </w:pPr>
      <w:r>
        <w:rPr>
          <w:rFonts w:ascii="Arial" w:cs="Arial" w:eastAsia="Arial" w:hAnsi="Arial"/>
          <w:sz w:val="18"/>
          <w:szCs w:val="18"/>
          <w:color w:val="auto"/>
        </w:rPr>
        <w:t xml:space="preserve">In October 2020, a Medicare C-Code was issued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Centers for Medicare &amp; Medicaid Services ("CMS")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 and replaced the C-Code. CMS has</w:t>
      </w:r>
    </w:p>
    <w:p>
      <w:pPr>
        <w:ind w:right="100"/>
        <w:spacing w:after="0" w:line="242" w:lineRule="auto"/>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New Technology Ambulatory Payment Classification ("APC"), effective from October 1, 2023. We have also launched a registry to capture data and evaluate real world outcomes in patients with UTUC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purpose of the registry is to study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clinical practice in the United States and address specific clinical questions.</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Zusduri</w:t>
      </w:r>
    </w:p>
    <w:p>
      <w:pPr>
        <w:spacing w:after="0" w:line="19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 xml:space="preserve">On June 12, 2025, the FDA approved our NDA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(mitomycin) for intravesical solution, formerly known as UGN-102, for the treatment of adults with recurrent low-grade intermediate risk NMIBC.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which consists of mitomycin and sterile hydrogel, uses our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and is delivered directly into the bladder in an outpatient procedure by a trained healthcare professional using a urinary catheter to enable the treatment of tumors by non-surgical means.</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We estimate that the annual treatable population of low-grade intermediate risk NMIBC in the United States is approximately 82,000, of which approximately 23,000 are estimated to be newly diagnosed and 59,000 are estimated to be recurrent patients.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is administered locally using the standard practice of intravesical instillation directly into the bladder via a urinary catheter. The instillation into the bladder can take place in a physician’s office as a non-operative outpatient treatment, in comparison with TURBT or similar surgical procedures, which are operations usually conducted in an operating room under general anesthesia and may require an overnight stay. Complete surgical tumor removal often has limited success due to the inability to properly visualize, reach and resect all tumors. We believe that an effective chemoablation agent can potentially provide better eradication of tumors irrespective of the detectability and location of the tumors. In addition, by potentially reducing the need for surgery, patients may avoid potential complications associated with surgery and anesthesia. We estimate that approximately 68% of low-grade intermediate risk NMIBC patients have two or more recurrences, with approximately 23% having five or more recurrences. Repeated TURBT procedures to treat these recurrences can impact patients’ physical health and quality of life. Approximately 35% of patients will experience an adverse event within 90 days of undergoing a TURBT, and patients who have had two to four procedures have an estimated 14% greater risk of death than patients who have only had one procedure.</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On July 27, 2023, we announced topline data from our Phase 3 trials, ATLAS and ENVISION. In the ATLAS trial,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with or without TURBT met its primary endpoint of disease-free survival, reducing risk of recurrence, progression, or death by 55% compared to TURBT alone. Results of the ATLAS trial also showed a 64.8% CR rate at three months for patients who only received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compared to a 63.6% CR rate at three months for patients who only received a TURBT. The ENVISION trial met its primary endpoint by demonstrating that patients treated with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had a 79.6% rate of CR at three-months following the initial instillation. In both trials, the safety profile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was acceptable, and comparable to that observed in previous clinical trials of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In June 2024, we announced secondary endpoint DOR data from the Phase 3 ENVISION trial investigating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for intravesical solution in patients with recurrent low-grade intermediate risk NMIBC. In the ENVISION trial, the 12-month DOR data by Kaplan-Meier estimate for patients who achieved a CR at three months after the first instillation of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was 82.3% (95% CI, 75.9%, 87.1%). The ENVISION trial met its primary endpoint with patients having a 79.6% (73.9%, 84.5%) CR rate at three months after the first instillation of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Among the patients in the ENVISION trial who achieved a CR at three months, 76.4% (69.8%, 82.3%) maintained a CR at 12 months. Among all 240 patients enrolled in the ENVISION trial, 60.8% (54.3%, 67.0%) were in CR at 12 months. The ENVISION trial demonstrated a similar safety profile to that observed in the OPTIMA II and ATLAS trials, with treatment-emergent adverse events typically mild-to-moderate in severity. The ENVISION trial data were published online in </w:t>
      </w:r>
      <w:r>
        <w:rPr>
          <w:rFonts w:ascii="Arial" w:cs="Arial" w:eastAsia="Arial" w:hAnsi="Arial"/>
          <w:sz w:val="17"/>
          <w:szCs w:val="17"/>
          <w:i w:val="1"/>
          <w:iCs w:val="1"/>
          <w:color w:val="auto"/>
        </w:rPr>
        <w:t>The Journal of Urology</w:t>
      </w:r>
      <w:r>
        <w:rPr>
          <w:rFonts w:ascii="Arial" w:cs="Arial" w:eastAsia="Arial" w:hAnsi="Arial"/>
          <w:sz w:val="17"/>
          <w:szCs w:val="17"/>
          <w:color w:val="auto"/>
        </w:rPr>
        <w:t xml:space="preserve"> in October 2024 and were included in the February 2025 print edition.</w:t>
      </w:r>
    </w:p>
    <w:p>
      <w:pPr>
        <w:spacing w:after="0" w:line="15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March 2025, we announced 18-month DOR data from the Phase 3 ENVISION trial. The 18-month DOR by Kaplan-Meier estimate for patients who achieved a CR at three months after the first instillation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remained consistent with the 12-month DOR data: 80.6% (95% CI, 74.0%, 85.7%) at 18-months (n=101) compared to 82.5% (76.1%, 87.3%) at 12-months (n=146). Median follow-up time was 18.7 months after the three-month CR.</w:t>
      </w:r>
    </w:p>
    <w:p>
      <w:pPr>
        <w:spacing w:after="0" w:line="16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August 2025, we announced 24-month DOR data from the Phase 3 ENVISION trial. The 24-month DOR by Kaplan-Meier estimate for patients who achieved a CR at three months after the first instillation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was 72.2% (95% CI, 64.1%, 78.8%). Median follow-up time was 23.7 months after the three-month CR. The median DOR had not yet been reached.</w:t>
      </w:r>
    </w:p>
    <w:p>
      <w:pPr>
        <w:spacing w:after="0" w:line="15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Additionally, in July 2025 we announced outcomes from the five-year long-term extension study of the single-arm, Phase 2b OPTIMA II study. Among the 41 patients who achieved CR at three months post-treatment with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the OPTIMA II trial, 25 remained in CR at 12 months and 17 entered the long-term follow-up study. For the 41 patients achieving CR at three months, the median Kaplan-Meier estimate of DOR was 24.2 months (95% CI 9.7, 42.1) with a median follow-up of 35.8 months. For the 17 patients in the long-term follow-up study, the median DOR was 42.1 months by Kaplan-Meier estimate (95% CI: 24.2, NE), with a median follow-up of 50.4 months. Results of the long-term extension study were published online in the J</w:t>
      </w:r>
      <w:r>
        <w:rPr>
          <w:rFonts w:ascii="Arial" w:cs="Arial" w:eastAsia="Arial" w:hAnsi="Arial"/>
          <w:sz w:val="18"/>
          <w:szCs w:val="18"/>
          <w:i w:val="1"/>
          <w:iCs w:val="1"/>
          <w:color w:val="auto"/>
        </w:rPr>
        <w:t>ournal of Clinical Genitourinary Cancer</w:t>
      </w:r>
      <w:r>
        <w:rPr>
          <w:rFonts w:ascii="Arial" w:cs="Arial" w:eastAsia="Arial" w:hAnsi="Arial"/>
          <w:sz w:val="18"/>
          <w:szCs w:val="18"/>
          <w:color w:val="auto"/>
        </w:rPr>
        <w:t xml:space="preserve"> in July 2025</w:t>
      </w:r>
      <w:r>
        <w:rPr>
          <w:rFonts w:ascii="Arial" w:cs="Arial" w:eastAsia="Arial" w:hAnsi="Arial"/>
          <w:sz w:val="18"/>
          <w:szCs w:val="18"/>
          <w:i w:val="1"/>
          <w:iCs w:val="1"/>
          <w:color w:val="auto"/>
        </w:rPr>
        <w:t>.</w:t>
      </w:r>
    </w:p>
    <w:p>
      <w:pPr>
        <w:spacing w:after="0" w:line="16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We also completed a Phase 3b study with the objective of demonstrating whether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can be administered at home by a qualified home health professional, avoiding the need for repeated visits to a healthcare setting for instillation. Eight patients with low-grade, intermediate-risk NMIBC were enrolled, of whom six (75.0%) completed all six instillations. Preliminary results were reported through a press release in February 2023, finding that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was suitable to administer at home by a home health professional under the supervision of a treating physician and resulted in 75% of patients achieving a CR, defined as no detectable disease three months after starting treatment. Home instillation was reported as feasible for home health professionals, and three of four investigators considered at-home treatment “not different” than in-office treatment. Results of the Phase 3b study were published online in the </w:t>
      </w:r>
      <w:r>
        <w:rPr>
          <w:rFonts w:ascii="Arial" w:cs="Arial" w:eastAsia="Arial" w:hAnsi="Arial"/>
          <w:sz w:val="18"/>
          <w:szCs w:val="18"/>
          <w:i w:val="1"/>
          <w:iCs w:val="1"/>
          <w:color w:val="auto"/>
        </w:rPr>
        <w:t>Reviews in Urology-LUGPA Journal</w:t>
      </w:r>
      <w:r>
        <w:rPr>
          <w:rFonts w:ascii="Arial" w:cs="Arial" w:eastAsia="Arial" w:hAnsi="Arial"/>
          <w:sz w:val="18"/>
          <w:szCs w:val="18"/>
          <w:color w:val="auto"/>
        </w:rPr>
        <w:t xml:space="preserve"> in June 2025.</w:t>
      </w:r>
    </w:p>
    <w:p>
      <w:pPr>
        <w:spacing w:after="0" w:line="16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 xml:space="preserve">The FDA approval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on June 12, 2025 was based on the results from the FDA Analysis Population (n=223) from the Phase 3 ENVISION trial demonstrating 78% of patients achieved CR at three months, and 79% of those responders maintained CR at 12 months after the three-month visit (using the observed rate). The most common (≥ 10%) adverse reactions, including laboratory abnormalities, which occurred in patients were increased creatinine, increased potassium, dysuria, decreased hemoglobin, increased aspartate aminotransferase, increased alanine aminotransferase, increased eosinophils, decreased lymphocytes, urinary tract infection, decreased neutrophils, and hematuria. Serious adverse reactions occurred in 12% of patients who received </w:t>
      </w:r>
      <w:r>
        <w:rPr>
          <w:rFonts w:ascii="Arial" w:cs="Arial" w:eastAsia="Arial" w:hAnsi="Arial"/>
          <w:sz w:val="18"/>
          <w:szCs w:val="18"/>
          <w:i w:val="1"/>
          <w:iCs w:val="1"/>
          <w:color w:val="auto"/>
        </w:rPr>
        <w:t>Zusduri</w:t>
      </w:r>
      <w:r>
        <w:rPr>
          <w:rFonts w:ascii="Arial" w:cs="Arial" w:eastAsia="Arial" w:hAnsi="Arial"/>
          <w:sz w:val="18"/>
          <w:szCs w:val="18"/>
          <w:color w:val="auto"/>
        </w:rPr>
        <w:t>, including, urinary retention (0.8%) and urethral stenosis (0.4%).</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As a post-marketing commitment, we agreed with the FDA to complete the ongoing ENVISION trial to further characterize the clinical benefit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adult patients with recurrent low-grade intermediate risk NMIBC. We committed to providing the FDA with updates on DOR for all patients with ongoing CRs. The updates will continue until all ongoing patients experience a recurrence of low-grade intermediate risk NMIBC; progression; death; loss to follow-up; or reach 63 months after the first instillation as planned in the protocol, or until the study ends, whichever occurs first.</w:t>
      </w:r>
    </w:p>
    <w:p>
      <w:pPr>
        <w:spacing w:after="0" w:line="16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 xml:space="preserve">We began promotion of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in the United States in late June 2025. We initiated a strategic, multi-faceted approach to promote broad adoption and patient access to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leveraging our customer-facing team of territory business managers, regional business directors, regional operations managers, clinical nurse educators and field reimbursement managers.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is now broadly accessible to patients through commercial, Medicare, and Medicaid insurance programs, with open access for more than 95% of covered lives and approximately</w:t>
      </w:r>
    </w:p>
    <w:p>
      <w:pPr>
        <w:sectPr>
          <w:pgSz w:w="11900" w:h="16838" w:orient="portrait"/>
          <w:cols w:equalWidth="0" w:num="1">
            <w:col w:w="11240"/>
          </w:cols>
          <w:pgMar w:left="320" w:top="121" w:right="339" w:bottom="0" w:gutter="0" w:footer="0" w:header="0"/>
        </w:sectPr>
      </w:pPr>
    </w:p>
    <w:bookmarkStart w:id="29" w:name="page30"/>
    <w:bookmarkEnd w:id="29"/>
    <w:p>
      <w:pPr>
        <w:spacing w:after="0" w:line="270" w:lineRule="auto"/>
        <w:rPr>
          <w:sz w:val="20"/>
          <w:szCs w:val="20"/>
          <w:color w:val="auto"/>
        </w:rPr>
      </w:pPr>
      <w:r>
        <w:rPr>
          <w:rFonts w:ascii="Arial" w:cs="Arial" w:eastAsia="Arial" w:hAnsi="Arial"/>
          <w:sz w:val="18"/>
          <w:szCs w:val="18"/>
          <w:color w:val="auto"/>
        </w:rPr>
        <w:t xml:space="preserve">296 million eligible patients. In October 2025,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was assigned a unique, permanent Healthcare Common Procedure Coding System (“HCPCS”) J-code (J9282) by CMS. The J-code became effective on January 1, 2026.</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UGN-103 (mitomycin) for intravesical solution and UGN-104 (mitomycin) for pyelocalyceal solution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January 2024, we entered into a licensing and supply agreement with medac Gesellschaft für klinische Spezialpräparate m.b.H. (“medac”) to develop UGN-103 and UGN-104, which are next-generation investigational formulations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respectively, that combine medac’s proprietary 80 mg mitomycin formulation with our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which we believe will provide advantages related to production, cost, supply and product convenience.</w:t>
      </w:r>
    </w:p>
    <w:p>
      <w:pPr>
        <w:spacing w:after="0" w:line="16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April 2024, we announced that the FDA accepted our Investigational New Drug Application (“IND”) for UGN-103 and we initiated our Phase 3 UTOPIA trial, a single-arm, multicenter study evaluating the efficacy and safety of UGN-103 in patients with recurrent low-grade intermediate risk NMIBC. In October 2024, we announced the first patient dosed in the UTOPIA trial, and in July 2025, we announced the completion of patient enrollment with 99 patients enrolled across multiple centers globally. Patients in the UTOPIA trial received 75 mg of mitomycin via intravesical instillation once a week for six weeks. Efficacy was assessed by the CR rate at the three-month visit. Patients who had a CR at the three-month visit, defined as having no detectable disease in the bladder, entered the follow-up period of the study. Patients will remain on study until disease recurrence, disease progression, death, or the last patient completes 12 months of follow-up (i.e., 15 months after the first instillation), whichever occurs first. A long-term follow up study will also be conducted following patients remaining in CR for up to five years after initiation of treatment with UGN-103. In November 2025 we reported a three-month CR rate of 77.8% (95% CI,</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68.3%, 85.5%), consistent with results from the ENVISION clinical trial. The FDA agreed with the regulatory plan to submit an NDA based on the data from our Phase 3 UTOPIA trial to support potential approval of UGN-103. We anticipate submitting an NDA for UGN-103 in the second half of 2026 with potential FDA approval in 2027.</w:t>
      </w:r>
    </w:p>
    <w:p>
      <w:pPr>
        <w:spacing w:after="0" w:line="166"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In February 2025, the FDA accepted our IND for UGN-104, and we initiated a Phase 3 trial of UGN-104 in low-grade UTUC in June 2025. We expect to complete enrollment in the Phase 3 trial of UGN-104 by the end of 2026.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UGN-501</w:t>
      </w:r>
    </w:p>
    <w:p>
      <w:pPr>
        <w:spacing w:after="0" w:line="19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pipeline also includes UGN-501, our investigational next-generation oncolytic virus therapy being developed as a locally administered treatment for cancer, for which we plan to initiate a Phase 1 clinical trial in NMIBC by the end of 2026.</w:t>
      </w:r>
    </w:p>
    <w:p>
      <w:pPr>
        <w:spacing w:after="0" w:line="140"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High-grade NMIBC is a highly aggressive form of bladder cancer. TURBT followed by adjuvant intravesical immunotherapy with Bacillus of Calmette and Guerin ("BCG") is the current standard of care therapy for high-grade NMIBC. However, the high rates of recurrence and significant risk of progression to muscle-invasive tumors are particularly dangerous. Radical cystectomy, or bladder removal is strongly advocated in patients with BCG-unresponsive NMIBC (i.e., patients with BCG-refractory and BCG-relapsing tumors in whom further BCG therapy is not recommended) or for patients who cannot tolerate BCG.</w:t>
      </w:r>
    </w:p>
    <w:p>
      <w:pPr>
        <w:spacing w:after="0" w:line="17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February 2025, we acquired ICVB-1042 (now known as UGN-501). UGN-501 is a potent and fast-replicating investigational next generation oncolytic virus being developed as a locally administered cancer treatment. IND-enabling studies are nearing completion, and we plan to submit an IND in the second quarter of 2026 and initiate a Phase 1 clinical trial in NMIBC by the end of 2026. Nonclinical data to date support the potential of UGN-501 to be a best-in-class oncolytic virus, with cytotoxic activity observed across a panel of bladder cancer cell lines representing a broad range of tumor stages and grades. The Phase 1 trial will initially evaluate aqueous intravesical administration of UGN-501, and we plan to evaluate delivery using our proprietary RTGel technology, which may enable prolonged dwell time and enhanced local activity. The initial focus is bladder cancer with the potential to expand into additional tumor types beyond the genitourinary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UGN-301 (zalifrelimab) intravesical solution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Our immuno-uro-oncology pipeline previously included UGN-301, an anti-CTLA-4 monoclonal antibody, which we studied as a combination therapy with multiple agents. UGN-301 was delivered using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which has been designed to significantly improve the effectiveness of certain intravesical therapies.</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March 2022, we announced FDA clearance of our IND to begin a novel Phase 1 clinical study of UGN-301 in patients with recurrent NMIBC. The multi-arm Phase 1 study, which was expected to support the development of UGN-301 in high-grade NMIBC, was initiated in April 2022 and enrollment in the study was completed. Safety and dosing data from the first arm evaluating UGN-301 as monotherapy were presented in late 2024.</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November 2025, we made the decision to discontinue development of UGN-301 based on our strategic priorities and provided Agenus, Inc. ("Agenus") notice of termination of the license agreement. Under the terms of the license agreement, following notice of termination, the agreement will terminate upon the later of (a) the expiration of a 180-day notice period; or (b) completion of all wind-down activities and delivery of all Agenus Improvements (as defined in the license agreement) to Agenus.</w:t>
      </w:r>
    </w:p>
    <w:p>
      <w:pPr>
        <w:spacing w:after="0" w:line="160"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 xml:space="preserve">While the Phase 1 clinical study of UGN-301 confirmed proof of concept for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as a viable platform for local delivery of complex immunotherapies, UGN-301’s overall clinical profile did not meet our internal benchmarks for advancement to Phase 2. The program achieved key proof of concept objectives, including sustained bladder exposure with minimal systemic absorption and an acceptable safety and tolerability profile, demonstrating the ability to mitigate CTLA-4–related toxicities, and encouraging efficacy signals. These findings further reinforce the versatility and potential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to enable localized delivery of immunotherapy candidates. We do not expect to incur significant additional costs related to this program going forward.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and Acquisition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19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November 2019, we entered into a license agreement with Agenus, pursuant to which Agenus granted us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In November 2025, we provided notice to terminate the license agreement with Agenus in connection with our decision to discontinue development of UGN-301. Under the terms of the license agreement, following notice of termination, the agreement will terminate upon the later of (a) the expiration of a 180-day notice period; or (b) completion of all wind-down activities and delivery of all Agenus Improvements (as defined in the license agreement) to Agenus. We do not expect to incur significant additional costs related to this program going forward.</w:t>
      </w:r>
    </w:p>
    <w:p>
      <w:pPr>
        <w:sectPr>
          <w:pgSz w:w="11900" w:h="16838" w:orient="portrait"/>
          <w:cols w:equalWidth="0" w:num="1">
            <w:col w:w="11240"/>
          </w:cols>
          <w:pgMar w:left="320" w:top="121" w:right="3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IconOVir Agreement</w:t>
      </w:r>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February 14, 2025 (the “Closing Date”), we entered into an asset purchase agreement (the “IconOVir Agreement”) with IconOVir Bio, Inc. (“IconOVir”), pursuant to which we purchased and acquired certain assets of IconOVir (the “Transferred Assets”), including UGN-501 (formerly ICVB-1042) and certain contracts, intellectual property rights, regulatory applications, submissions and registrations, and data and other rights related thereto, and assumed certain liabilities and obligations of IconOVir arising under certain contracts of IconOVir acquired by us.</w:t>
      </w:r>
    </w:p>
    <w:p>
      <w:pPr>
        <w:spacing w:after="0" w:line="16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consideration for the Transferred Assets and subject to the terms and conditions of the IconOVir Agreement, we (i) issued 374,843 of our ordinary shares to IconOVir, which represented a purchase price of $4.0 million divided by the volume-weighted average closing price of our ordinary shares on The Nasdaq Stock Market over the 30 consecutive trading days ending on (and including) the trading day immediately prior to the Closing Date, (ii) agreed to pay IconOVir a one-time payment of $15.0 million in cash upon the achievement of a cumulative aggregate worldwide net sales milestone for all products, including combination products, that incorporate or comprise ICVB-1042 (“ICVB Products”), (iii) agreed to pay IconOVir a low, single-digit percentage royalty, on an ICVB Product-by-ICVB Product basis, on the annual, worldwide net sales of such ICVB Product during the royalty term, subject to certain reductions as set forth in the IconOVir Agreement, and (iv) agreed to assume certain immaterial liabilities arising under certain acquired contracts.</w:t>
      </w:r>
    </w:p>
    <w:p>
      <w:pPr>
        <w:spacing w:after="0" w:line="16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Pursuant to the IconOVir Agreement, from the Closing Date until the earlier of the 10</w:t>
      </w:r>
      <w:r>
        <w:rPr>
          <w:rFonts w:ascii="Arial" w:cs="Arial" w:eastAsia="Arial" w:hAnsi="Arial"/>
          <w:sz w:val="14"/>
          <w:szCs w:val="14"/>
          <w:color w:val="auto"/>
        </w:rPr>
        <w:t>th</w:t>
      </w:r>
      <w:r>
        <w:rPr>
          <w:rFonts w:ascii="Arial" w:cs="Arial" w:eastAsia="Arial" w:hAnsi="Arial"/>
          <w:sz w:val="18"/>
          <w:szCs w:val="18"/>
          <w:color w:val="auto"/>
        </w:rPr>
        <w:t xml:space="preserve"> anniversary of the Closing Date and the first commercial sale of any ICVB Product in any jurisdiction, we agreed to use commercially reasonable efforts to develop and commercialize one ICVB Product. The IconOVir Agreement contains customary representations, warranties and covenants of the parties and also provides for customary indemnification rights of us and IconOVir related to breaches of certain representations, warranties and covenants of the other party and certain assumed liabilities or excluded liabilities and excluded assets, as applicable.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During the three months ended March 31, 2026 and 2025 we recognized $51.0 million and $20.3 million of revenue, respectively, from sales of our products.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Cost of revenue consists primarily of inventory and related costs associated with the manufacturing, distribution, warehousing and preparation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including inventory write-downs.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we recognized inventory and related manufacturing costs as research and development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net consists primarily of:</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salaries and related costs, including share-based compensation expense, for our personnel in research and development functions;</w:t>
      </w:r>
    </w:p>
    <w:p>
      <w:pPr>
        <w:spacing w:after="0" w:line="238" w:lineRule="exact"/>
        <w:rPr>
          <w:rFonts w:ascii="Arial" w:cs="Arial" w:eastAsia="Arial" w:hAnsi="Arial"/>
          <w:sz w:val="18"/>
          <w:szCs w:val="18"/>
          <w:color w:val="auto"/>
        </w:rPr>
      </w:pPr>
    </w:p>
    <w:p>
      <w:pPr>
        <w:ind w:left="660" w:right="18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 incurred under agreements with third parties, including clinical research organizations (“CROs”), subcontractors, suppliers and consultants, nonclinical studies and clinical trials;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 incurred to acquire, develop and manufacture nonclinical study and clinical trial materials;</w:t>
      </w:r>
    </w:p>
    <w:p>
      <w:pPr>
        <w:spacing w:after="0" w:line="238"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expense incurred to purchase active pharmaceutical ingredients (“APIs”) in support of R&amp;D activities and other related manufacturing costs; and</w:t>
      </w:r>
    </w:p>
    <w:p>
      <w:pPr>
        <w:spacing w:after="0" w:line="154" w:lineRule="exact"/>
        <w:rPr>
          <w:rFonts w:ascii="Courier New" w:cs="Courier New" w:eastAsia="Courier New" w:hAnsi="Courier New"/>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facility and equipment costs, including depreciation expense, maintenance and allocated direct and indirect overhead costs.</w:t>
      </w:r>
    </w:p>
    <w:p>
      <w:pPr>
        <w:spacing w:after="0" w:line="23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manage and prioritize our research and development expenses based on scientific data, probability of successful technical development and regulatory approval, market potential and unmet medical need, available human and capital resources and other considerations. We regularly review our research and development activities and, as necessary, reallocate resources among our programs, product candidates and external opportunities that we believe will best support the long-term growth of our business. We do not track total research and development expenses by program, product candidate, or development phase.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The following table provides a breakout of expenses by major cost type: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221"/>
        </w:trPr>
        <w:tc>
          <w:tcPr>
            <w:tcW w:w="80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 facility and equipment, and other overhead costs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5,097</w:t>
            </w:r>
          </w:p>
        </w:tc>
        <w:tc>
          <w:tcPr>
            <w:tcW w:w="420" w:type="dxa"/>
            <w:vAlign w:val="bottom"/>
            <w:gridSpan w:val="2"/>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4,664</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Clinical and other development costs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15,207</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19,871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See Note 20 to our condensed consolidated financial statements appearing elsewhere in this Quarterly Report for additional disaggregation of significant research and development expenses. We expense all research and development costs as incurred. We estimate nonclinical study and clinical trial expense based on the services performed pursuant to contracts with research institutions and contract research organizations that conduct and manage nonclinical studies and clinical trials on our behalf based on actual time and expense incurred by them.</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recognize costs incurred as the services are being provided by monitoring the status of the trial or project and the invoices received from our external service providers. We adjust our accrual as actual costs become known. Where at risk contingent milestone payments are due to third parties under research and development and collaboration agreements, the milestone payment obligations are expensed when such development milestone results are probable of being achieved.</w:t>
      </w:r>
    </w:p>
    <w:p>
      <w:pPr>
        <w:spacing w:after="0" w:line="16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 are currently focused on advancing our product candidates, and our future research and development expenses will depend on their clinical success. Research and development expenses will continue to be significant.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do not believe that it is possible at this time to accurately project total expenses required for us to reach commercialization of our product candidates. Due to the inherently unpredictable nature of nonclinical and clinical development, we are unable to estimate with certainty the costs we will incur and the timelines that will be required in the continued development and approval of our product candidates. Clinical and nonclinical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 We expect our research and development expenses to increase over the next several years as our clinical programs progress and as we seek to initiate clinical trials of additional product candidates. We also expect to incur increased research and development expenses as we selectively identify and develop additional product candidates.</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14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39" w:lineRule="exact"/>
        <w:rPr>
          <w:sz w:val="20"/>
          <w:szCs w:val="20"/>
          <w:color w:val="auto"/>
        </w:rPr>
      </w:pPr>
    </w:p>
    <w:p>
      <w:pPr>
        <w:jc w:val="both"/>
        <w:ind w:right="420"/>
        <w:spacing w:after="0" w:line="275"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3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arrangements.</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License fees and development milestone payments related to in-licensed products and technology are expensed as incurred, or achieved in the case of milestones, if it is determined at that point that they have no established alternative future use.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 xml:space="preserve">To date, selling and marketing expenses consist primarily of commercial personnel costs (including share-based compensation) along with commercialization activities related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General and administrative expenses consist primarily of personnel costs (including share -based compensation related to directors, executives, finance, medical affairs, business development, investor relations, and human resource functions). Other significant costs include medical affairs services, external professional service costs, facility costs, accounting and audit services, legal services, and other consulting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on Prepaid Forward Obligation</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Financing on prepaid forward obligation is comprised of financing expenses related to the transaction with RTW Investments ("RTW") (see Note 9 to our condensed consolidated financial statements appearing elsewhere in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Interest expense is comprised of interest related to our long-term debt with Pharmakon Advisors, L.P. ("Pharmakon") (see Note 10 to our condensed consolidated financial statements appearing elsewhere in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primarily of interest income, net losses on foreign exchange and bank commissions.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yet to generate taxable income in Israel. We have historically incurred operating losses resulting in carry forward tax losses totaling approximately $626.7 million as of December 31, 2025. We anticipate that we will continue to generate tax losses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 Income tax expense also consists of our estimate of uncertain tax positions, and related interest and penalties. See Note 17 to our condensed consolidated financial statements appearing elsewhere in this Quarterly Report 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preparation of our unaudited condensed consolidated financial statements requires us to make estimates, judgments and assumptions that affect the reported amounts of assets and liabilities, disclosure of contingent assets and liabilities, and the revenue and expense incurred during the reported periods. In accordance with U.S. generally accepted accounting principles, we base our estimates on historical experience and on various other factors that we believe are reasonable under the circumstances at the time such estimates are made. Actual results may differ from these estimates under different assumptions or conditions. We discussed the critical accounting policies used in the preparation of our financial statements in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w:t>
      </w:r>
      <w:r>
        <w:rPr>
          <w:rFonts w:ascii="Arial" w:cs="Arial" w:eastAsia="Arial" w:hAnsi="Arial"/>
          <w:sz w:val="18"/>
          <w:szCs w:val="18"/>
          <w:color w:val="auto"/>
        </w:rPr>
        <w:t xml:space="preserve"> included in our Annual Report as well as in the Note 3 to the condensed consolidated financial statements included in this Quarterly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2026 and 2025.</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50,959</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20,254</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46,820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32,135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22,122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19,351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12,845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67,083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(20,263)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(36,914)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(28,346)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(43,451)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(23,574)</w:t>
            </w:r>
          </w:p>
        </w:tc>
        <w:tc>
          <w:tcPr>
            <w:tcW w:w="3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(43,843)</w:t>
            </w:r>
          </w:p>
        </w:tc>
        <w:tc>
          <w:tcPr>
            <w:tcW w:w="2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Revenue was $51.0 million and $20.3 million for the three months ended March 31, 2026 and 2025, respectively. The increase in revenue of $30.7 million primarily reflects the volume of sales of </w:t>
      </w:r>
      <w:r>
        <w:rPr>
          <w:rFonts w:ascii="Arial" w:cs="Arial" w:eastAsia="Arial" w:hAnsi="Arial"/>
          <w:sz w:val="18"/>
          <w:szCs w:val="18"/>
          <w:i w:val="1"/>
          <w:iCs w:val="1"/>
          <w:color w:val="auto"/>
        </w:rPr>
        <w:t>Zusduri</w:t>
      </w:r>
      <w:r>
        <w:rPr>
          <w:rFonts w:ascii="Arial" w:cs="Arial" w:eastAsia="Arial" w:hAnsi="Arial"/>
          <w:sz w:val="18"/>
          <w:szCs w:val="18"/>
          <w:color w:val="auto"/>
        </w:rPr>
        <w:t>, which was launched late in the second quarter of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Cost of revenue was $4.1 million and $2.3 million for the three months ended March 31, 2026 and 2025, respectively. The increase in cost of revenue of $1.8 million is primarily attributable to increased sales volumes, partially offset given that in periods prior to receiving FDA approval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as research and development expenses. We expect this to continue to favorably impact cost of revenue through approximately 2027 as we deplete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inventories that we expensed prior to receiving FDA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Research and development expenses were $15.6 million and $19.9 million for the three months ended March 31, 2026 and 2025, respectively. The decrease in research and development expenses of $4.3 million is primarily attributable to the acquisition of UGN-501 in the first quarter of 2025, as well as the costs related to manufacturing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which were recognized as research and development expenses in the first quarter of 2025 prior to receiving FDA approval in June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Selling and marketing expenses were $32.1 million and $ 22.1 million for the three months ended March 31, 2026 and 2025, respectively. The increase in selling and marketing expenses of $10.0 million is primarily attributable to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commercial activities, including expansion of the sales force and higher brand marketing expenses, as well as an increase in overall commercial operation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General and administrative expenses were $19.4 million and $12.8 million for the three months ended March 31, 2026 and 2025, respectively. The increase in general and administrative expenses of $6.6 million is primarily attributable to higher compensation expenses, increased spending on third-party advisory services, including fees recognized in the first quarter of 2026 associated with the debt refinancing.</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on Prepaid Forward Obligation</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Financing on prepaid forward obligation was $4.5 million and $ 4.6 million for the three months ended March 31, 2026 and 2025, respectively. The measurement of financing on prepaid forward obligation is an accounting estimate under the "imputed interest method" of accounting (see Note 3 to our condensed consolidated financial statements appearing elsewhere in this Quarterly Report) which is affected by estimated future payments to RTW, which are based on a percentage of revenues. The decrease in financing on prepaid forward obligation of $0.1 million was driven primarily by changes in underlying assumptions for remeasuring the effective 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on Long-term Debt</w:t>
      </w:r>
    </w:p>
    <w:p>
      <w:pPr>
        <w:spacing w:after="0" w:line="196"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Interest expense was $4.2 million and $4.1 million for the three months ended March 31, 2026 and 2025, respectively. The increase in interest expense was primarily attributable to the additional borrowings of $75.0 million in the first quarter of 2026 in connection with the Pharmakon refinancing of long-term debt, offset by a lower interest 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19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Interest and other income, net was $0.6 million and $2.1 million for the three months ended March 31, 2026 and 2025, respectively. The decrease in interest and other income, net was primarily due to lower cash and investment balances.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As of March 31, 2026, we had $140.3 million in cash and cash equivalents and marketable securities. Cash in excess of immediate requirements is invested in accordance with our investment policy, primarily with a view to liquidity and capital preservation, and is held primarily in U.S. dollars.</w:t>
      </w:r>
    </w:p>
    <w:p>
      <w:pPr>
        <w:spacing w:after="0" w:line="15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Through March 31, 2026, we funded our operations primarily through public equity offerings, private placements of equity securities and our funding arrangements with RTW and Pharmakon, and product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9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 December 2019, we entered into a sales agreement (the “ATM Sales Agreement”) with TD Securities (USA) LLC (f/k/a Cowen and Company, LLC) (“TD Cowen”), pursuant to which we were able to from time to time offer and sell our ordinary shares having an aggregate offering price of up to $100.0 million, to or through TD Cowen, acting as sales agent or principal, in any manner deemed to be an “at-the-market offering.”</w:t>
      </w:r>
    </w:p>
    <w:p>
      <w:pPr>
        <w:spacing w:after="0" w:line="160"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During the first quarter of 2024, we sold 3,400,468 ordinary shares under the ATM Sales Agreement for net proceeds to us of approximately $54.7 million after deducting sales commissions to TD Cowen of up to 3%. During the third quarter of 2025, we sold 416,248 ordinary shares under the ATM Sales Agreement for net proceeds to us of approximately $8.0 million after deducting sales commissions to TD Cowen of up to 3%.</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November 2025, we amended the ATM Sales Agreement to remove the aggregate offering price limit of $100.0 million and filed a registration statement on Form S-3 providing for the offer and sale of ordinary shares pursuant to the ATM Sales Agreement having an aggregate offering price of up to $75.0 million, which became effective automatically (the “ATM Prospectus”). Following the amendment, during the fourth quarter of 2025, we sold 1,370,962 ordinary shares pursuant to the ATM Prospectus for net proceeds to us of approximately $31.8 million after deducting sales commissions to TD Cowen of up to 3%. As of March 31, 2026, the remaining capacity under the ATM Prospectus was approximately $42.4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Agreement</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In March 2021, we entered into a prepaid forward agreement with RTW (the “RTW Transaction”), pursuant to which RTW agreed to provide us with an upfront cash payment of $75.0 million to support the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we agreed to provide RTW with tiered future payments based on global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and, subject to FDA approval, UGN-103 and UGN-104. In May 2021, following the receipt of necessary regulatory approvals, we received the $75.0 million prepaid forward payment ($72.4 million net of transaction costs) from RTW.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Pharmakon Loan Agreement</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March 7, 2022, we entered into a loan agreement with Pharmakon (the “2022 Loan Agreement”) for a senior secured term loan of up to $100.0 million in two tranches. The first tranche of $75.0 million ($72.6 million of proceeds were received, $70.8 million net of additional transaction costs) was funded in March 2022, and the second tranche of $25.0 million was funded in December 2022.</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29, 2023, the 2022 Loan Agreement with Pharmakon was amended to replace the benchmark governing the interest rate with a rate based on the secured overnight financing rate (“SOFR”) published by the Federal Reserve Bank of New York. Effective July 2023, the loan accrued interest using a benchmark rate of 3-month SOFR plus 8.25% plus an additional adjustment of 0.26161%.</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On March 13, 2024, we entered into an amended and restated loan agreement, which replaced the 2022 Loan Agreement, with Pharmakon for an additional third and fourth tranche of senior secured loan (the "2024 Loan Agreement"). The third tranche of $25.0 million was funded in September 2024. The fourth tranche of $75.0 million became available upon our receipt of FDA approval of our NDA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could have been drawn at our option no later than August 29, 2025, subject to the satisfaction of customary bringdown conditions and deliverables. We elected not to draw down the fourth tranche. Under the 2024 Loan Agreement, prior to the refinancing described in the immediately following paragraph, all outstanding loans accrued interest using a benchmark rate of three-month SOFR plus 7.25% plus an additional adjustment of 0.26161%.</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February 26, 2026 (the "Closing Date"), we entered into a second amended and restated loan agreement, which replaced the 2024 Loan Agreement, with Pharmakon providing for a senior secured term loan facility of up to $250.0 million, consisting of two tranches (the "2026 Loan Agreement"). The first tranche of $200.0 million was advanced on the Closing Date and refinanced our term loan facility under the 2024 Loan Agreement which had $125.0 million of outstanding principal, with the remaining proceeds available for general corporate purposes and working capital. The second tranche of $50.0 million may, at our option, be requested no later than June 30, 2027 for funding to occur no later than August 29, 2027, subject to customary conditions. The term loans mature on the fifth anniversary of the Closing Date.</w:t>
      </w:r>
    </w:p>
    <w:p>
      <w:pPr>
        <w:sectPr>
          <w:pgSz w:w="11900" w:h="16838" w:orient="portrait"/>
          <w:cols w:equalWidth="0" w:num="1">
            <w:col w:w="11240"/>
          </w:cols>
          <w:pgMar w:left="320" w:top="121" w:right="339" w:bottom="0" w:gutter="0" w:footer="0" w:header="0"/>
        </w:sectPr>
      </w:pPr>
    </w:p>
    <w:bookmarkStart w:id="37" w:name="page38"/>
    <w:bookmarkEnd w:id="37"/>
    <w:p>
      <w:pPr>
        <w:spacing w:after="0" w:line="244" w:lineRule="auto"/>
        <w:rPr>
          <w:sz w:val="20"/>
          <w:szCs w:val="20"/>
          <w:color w:val="auto"/>
        </w:rPr>
      </w:pPr>
      <w:r>
        <w:rPr>
          <w:rFonts w:ascii="Arial" w:cs="Arial" w:eastAsia="Arial" w:hAnsi="Arial"/>
          <w:sz w:val="18"/>
          <w:szCs w:val="18"/>
          <w:color w:val="auto"/>
        </w:rPr>
        <w:t>All outstanding loans with Pharmakon pursuant to the 2026 Loan Agreement accrue interest at a fixed rate of 8.25%. The principal amount of the loans outstanding under the 2026 Loan Agreement will be repayable in four equal quarterly payments commencing in the second quarter of 2030, which are subject to an exit fee of 1% of the principal amount being repaid. We may prepay the full outstanding principal amounts of the loans in whole at our discretion at any time, together with accrued but unpaid interest thereon and subject to prepayment premiums, make-whole amounts, as applicable, and fees.</w:t>
      </w:r>
    </w:p>
    <w:p>
      <w:pPr>
        <w:spacing w:after="0" w:line="16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obligations of UroGen Pharma, Inc., as the borrower under the 2026 Loan Agreement, are guaranteed by UroGen Pharma Ltd., subject to customary limitations on parent guarantees under Israeli law, and are secured by substantially all of the tangible and intangible assets and property, including intellectual property, of UroGen Pharma, Inc. and UroGen Pharma Ltd., subject to certain exceptions.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1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July 26, 2023, we entered into a Securities Purchase Agreement with certain institutional and other accredited investors (the “Purchasers”), pursuant to which we agreed to sell and issue to the Purchasers 12,579,156 ordinary shares of the Company (“Shares”) (or in lieu of Shares, pre-funded warrants to purchase ordinary shares of the Company) at a purchase price of $9.54 per Share (or $9.539 for each ordinary share underlying a pre-funded warrant), in a private placement transaction that closed on July 28, 2023 and August 9, 2023 for aggregate gross proceeds of $120.0 million, before deducting fees to placement agents and financial advisors and before other expenses. Each pre-funded warrant has an exercise price of $0.001 per ordinary share, subject to customary adjustments, and became exercisable upon original issuance and will not expire until exercised in full. The pre-funded warrants may not be exercised if the aggregate number of ordinary shares beneficially owned by the holder thereof immediately following such exercise would exceed a specified beneficial ownership limitation. The aggregate fee paid by us to placement agents and financial advisors was $3.6 million, plus the reimbursement of certain expenses.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June 17, 2024, we entered into an underwriting agreement with TD Securities (USA) LLC and Guggenheim Securities, LLC, as representatives of the several underwriters named therein (collectively, the "Underwriters"), relating to the issuance and sale in a public offering of 5,000,000 ordinary shares of the Company for $17.50 per share and pre-funded warrants to purchase 1,142,857 ordinary shares of the Company for $ 17.499 per pre-funded warrant. The offering closed on June 20, 2024. The gross proceeds from this closing of the offering were $107.5 million, before deducting underwriting discounts and commissions and offering expenses of $7.3 million. Each pre-funded warrant has an exercise price of $0.001 per ordinary share, subject to customary adjustments, is exercisable at any time and will not expire until exercised in full. The pre-funded warrants may not be exercised if the aggregate number of ordinary shares beneficially owned by the holder thereof immediately following such exercise would exceed a specified beneficial ownership limitation. In addition, the Underwriters were granted an option exercisable for 30 days, to purchase up to 921,428 additional shares at the public offering price, less the underwriting discounts and commissions. On July 18, 2024, we completed the closing of the sale of 921,428 additional shares in the offering following the exercise in full of the Underwriters’ option to purchase additional shares, which resulted in additional gross proceeds of $16.1 million before deducting underwriting discounts and commissions and offering expenses of $1.0 million.</w:t>
      </w:r>
    </w:p>
    <w:p>
      <w:pPr>
        <w:spacing w:after="0" w:line="18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We have incurred losses since our inception and negative cash flows from our operations, and as of March 31, 2026, we had an accumulated deficit of $983.3 million. We expect to incur losses and have negative net cash flows from operating activities as we execute on our strategy, including the commercial launch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the continued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and engaging in further research and development activities. Our primary uses of capital are, and we expect will continue to be, commercialization activities, research and development expense, including third-party clinical research and development services, laboratory and related supplies, clinical costs, including manufacturing costs, legal and other regulatory expense and general and administrative costs.</w:t>
      </w:r>
    </w:p>
    <w:p>
      <w:pPr>
        <w:spacing w:after="0" w:line="165"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 xml:space="preserve">We routinely evaluate our liquidity needs, including assessment of our current financial condition, sources of liquidity including current cash and cash equivalents and marketable securities and management’s cash flow projections. Our ability to continue as a going concern is expected to be impacted by our ability to produce cash inflows from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product sales, the rate of physician and patient adoption of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and our ability to raise additional capital to fund our operations in the future. Based on our cash and cash equivalents and marketable securities as of March 31, 2026, together with management’s cash flow projections, we believe we have sufficient cash and cash equivalents to fund our operations beyond one year from the issuance of our condensed consolidated financial statements appearing elsewhere in this Quarterly Report. If we are unable to generate sufficient cash inflows from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w:t>
      </w:r>
      <w:r>
        <w:rPr>
          <w:rFonts w:ascii="Arial" w:cs="Arial" w:eastAsia="Arial" w:hAnsi="Arial"/>
          <w:sz w:val="17"/>
          <w:szCs w:val="17"/>
          <w:i w:val="1"/>
          <w:iCs w:val="1"/>
          <w:color w:val="auto"/>
        </w:rPr>
        <w:t>Zusduri</w:t>
      </w:r>
      <w:r>
        <w:rPr>
          <w:rFonts w:ascii="Arial" w:cs="Arial" w:eastAsia="Arial" w:hAnsi="Arial"/>
          <w:sz w:val="17"/>
          <w:szCs w:val="17"/>
          <w:color w:val="auto"/>
        </w:rPr>
        <w:t xml:space="preserve"> product sales, we</w:t>
      </w:r>
    </w:p>
    <w:p>
      <w:pPr>
        <w:spacing w:after="0" w:line="4"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may need to raise additional capital in the future or reduce operating expenditures. There can be no assurances that we will be able to secure such additional financing on terms that are satisfactory to us, in an amount sufficient to meet our needs, or at all. In the event we are not successful in obtaining sufficient funding, this could force us to delay, limit, reduce or terminate our product development, commercialization efforts or other operations.</w:t>
      </w:r>
    </w:p>
    <w:p>
      <w:pPr>
        <w:spacing w:after="0" w:line="16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cannot estimate the actual amounts necessary to successfully commercialize any approved products, or whether, or when, we may achieve profitability. Until such time, if ever, as we can generate sufficient product revenue, we expect to finance our cash needs through a combination of equity or debt financings and collaboration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and material cash requirements will depend on many factors, including, among other things:</w:t>
      </w:r>
    </w:p>
    <w:p>
      <w:pPr>
        <w:spacing w:after="0" w:line="198" w:lineRule="exact"/>
        <w:rPr>
          <w:sz w:val="20"/>
          <w:szCs w:val="20"/>
          <w:color w:val="auto"/>
        </w:rPr>
      </w:pPr>
    </w:p>
    <w:p>
      <w:pPr>
        <w:ind w:left="1700" w:hanging="329"/>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timing and completion of clinical trials for UGN-103, UGN-104 and UGN-501;</w:t>
      </w:r>
    </w:p>
    <w:p>
      <w:pPr>
        <w:spacing w:after="0" w:line="198" w:lineRule="exact"/>
        <w:rPr>
          <w:rFonts w:ascii="Arial" w:cs="Arial" w:eastAsia="Arial" w:hAnsi="Arial"/>
          <w:sz w:val="18"/>
          <w:szCs w:val="18"/>
          <w:color w:val="auto"/>
        </w:rPr>
      </w:pPr>
    </w:p>
    <w:p>
      <w:pPr>
        <w:ind w:left="1700" w:hanging="329"/>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nonclinical studies and clinical trials for any of our product candidates;</w:t>
      </w:r>
    </w:p>
    <w:p>
      <w:pPr>
        <w:spacing w:after="0" w:line="198" w:lineRule="exact"/>
        <w:rPr>
          <w:rFonts w:ascii="Arial" w:cs="Arial" w:eastAsia="Arial" w:hAnsi="Arial"/>
          <w:sz w:val="18"/>
          <w:szCs w:val="18"/>
          <w:color w:val="auto"/>
        </w:rPr>
      </w:pPr>
    </w:p>
    <w:p>
      <w:pPr>
        <w:ind w:left="1700" w:right="60" w:hanging="329"/>
        <w:spacing w:after="0" w:line="253"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obtaining regulatory approval for UGN-103, UGN-104, UGN-501 and any other product candidates, and any delays we may encounter as a result of regulatory requirements or adverse clinical trial results with respect to any of our product candidates;</w:t>
      </w:r>
    </w:p>
    <w:p>
      <w:pPr>
        <w:spacing w:after="0" w:line="155" w:lineRule="exact"/>
        <w:rPr>
          <w:rFonts w:ascii="Arial" w:cs="Arial" w:eastAsia="Arial" w:hAnsi="Arial"/>
          <w:sz w:val="18"/>
          <w:szCs w:val="18"/>
          <w:color w:val="auto"/>
        </w:rPr>
      </w:pPr>
    </w:p>
    <w:p>
      <w:pPr>
        <w:ind w:left="1700" w:right="60" w:hanging="329"/>
        <w:spacing w:after="0" w:line="253"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selling, marketing and patent-related activities undertaken in connection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any of our product candidates, if approved, and costs involved in the continued development of an effective sales and marketing organization;</w:t>
      </w:r>
    </w:p>
    <w:p>
      <w:pPr>
        <w:spacing w:after="0" w:line="155" w:lineRule="exact"/>
        <w:rPr>
          <w:rFonts w:ascii="Arial" w:cs="Arial" w:eastAsia="Arial" w:hAnsi="Arial"/>
          <w:sz w:val="18"/>
          <w:szCs w:val="18"/>
          <w:color w:val="auto"/>
        </w:rPr>
      </w:pPr>
    </w:p>
    <w:p>
      <w:pPr>
        <w:ind w:left="1700" w:right="360" w:hanging="329"/>
        <w:spacing w:after="0" w:line="253"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third-party intellectual property rights;</w:t>
      </w:r>
    </w:p>
    <w:p>
      <w:pPr>
        <w:spacing w:after="0" w:line="155" w:lineRule="exact"/>
        <w:rPr>
          <w:rFonts w:ascii="Arial" w:cs="Arial" w:eastAsia="Arial" w:hAnsi="Arial"/>
          <w:sz w:val="18"/>
          <w:szCs w:val="18"/>
          <w:color w:val="auto"/>
        </w:rPr>
      </w:pPr>
    </w:p>
    <w:p>
      <w:pPr>
        <w:ind w:left="1700" w:hanging="329"/>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new product candidates we identify and attempt to develop;</w:t>
      </w:r>
    </w:p>
    <w:p>
      <w:pPr>
        <w:spacing w:after="0" w:line="198" w:lineRule="exact"/>
        <w:rPr>
          <w:rFonts w:ascii="Arial" w:cs="Arial" w:eastAsia="Arial" w:hAnsi="Arial"/>
          <w:sz w:val="18"/>
          <w:szCs w:val="18"/>
          <w:color w:val="auto"/>
        </w:rPr>
      </w:pPr>
    </w:p>
    <w:p>
      <w:pPr>
        <w:ind w:left="1700" w:right="160" w:hanging="329"/>
        <w:spacing w:after="0" w:line="253"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revenues we may derive either directly or in the form of royalty payments from future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if approved, UGN-103, UGN-104, UGN-501,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 thermal hydrogel technology and any other product candidates;</w:t>
      </w:r>
    </w:p>
    <w:p>
      <w:pPr>
        <w:spacing w:after="0" w:line="155" w:lineRule="exact"/>
        <w:rPr>
          <w:rFonts w:ascii="Arial" w:cs="Arial" w:eastAsia="Arial" w:hAnsi="Arial"/>
          <w:sz w:val="18"/>
          <w:szCs w:val="18"/>
          <w:color w:val="auto"/>
        </w:rPr>
      </w:pPr>
    </w:p>
    <w:p>
      <w:pPr>
        <w:ind w:left="1700" w:right="620" w:hanging="329"/>
        <w:spacing w:after="0" w:line="271"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any milestone, net sales or royalty payments owed by us from the development and/or commercialization of our products or product candidates; and</w:t>
      </w:r>
    </w:p>
    <w:p>
      <w:pPr>
        <w:spacing w:after="0" w:line="153" w:lineRule="exact"/>
        <w:rPr>
          <w:rFonts w:ascii="Arial" w:cs="Arial" w:eastAsia="Arial" w:hAnsi="Arial"/>
          <w:sz w:val="18"/>
          <w:szCs w:val="18"/>
          <w:color w:val="auto"/>
        </w:rPr>
      </w:pPr>
    </w:p>
    <w:p>
      <w:pPr>
        <w:ind w:left="1700" w:hanging="329"/>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repayment of outstanding debt.</w:t>
      </w:r>
    </w:p>
    <w:p>
      <w:pPr>
        <w:sectPr>
          <w:pgSz w:w="11900" w:h="16838" w:orient="portrait"/>
          <w:cols w:equalWidth="0" w:num="1">
            <w:col w:w="11200"/>
          </w:cols>
          <w:pgMar w:left="320" w:top="121" w:right="379"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Accordingly, we may need to obtain additional funding in connection with our continuing operations. There can be no assurance that we will be able to secure such additional financing on terms that are satisfactory to us, in an amount sufficient to meet our needs, or at all. In the event we are not successful in obtaining sufficient funding, we may be forced to delay, limit, reduce or terminate our research and development programs or future commercialization efforts.</w:t>
      </w:r>
    </w:p>
    <w:p>
      <w:pPr>
        <w:spacing w:after="0" w:line="16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that further limit or restrict our ability to take specific actions, such as incurring additional debt, making capital expenditures or declaring dividends. In addition, the terms of the Prepaid Forward Contract (the “Forward Contract”) with RTW and the 2026 Loan Agreement limit our ability to take certain actions, including incurring additional indebtedness.</w:t>
      </w:r>
    </w:p>
    <w:p>
      <w:pPr>
        <w:spacing w:after="0" w:line="18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more information as to the risks associated with our future funding needs, see Part II, Item 1A – Risk Factors. 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April 2016, we signed an addendum to our November 2014 lease agreement for our executive offices located in Israel, in order to increase the office space rented and to extend the rent period until 2019. In March 2019, we utilized the agreement extension option and extended the rent period for an additional three years until August 2022. In July 2022, we signed a lease extension agreement extending the term of the lease through September 2025 and in June 2025 we exercised our renewal option to extend the lease through September 2028.</w:t>
      </w:r>
    </w:p>
    <w:p>
      <w:pPr>
        <w:spacing w:after="0" w:line="160"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November 2019, we entered into a new lease agreement, dated effective October 31, 2019, for an office in Princeton, NJ. The lease commencement date was November 29, 2019 and the lease term is 38 months. In June 2022, we signed an amendment to our November 2019 lease agreement to extend the term for an additional three years through January 31, 2026. In August 2025, we signed an additional extension to our November 2019 lease agreement to extend the lease term through April 30, 2031. We concluded that the lease renewal option in the agreement is not reasonably certain to be exercised.</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July 2024, we entered into a new master lease agreement for vehicles, primarily for use by employees in sales, field services, and roles that require regular travel. Under the terms of the master lease agreement, we will lease various vehicles from time to time with an initial lease term of 48 months commencing on the delivery date of the vehicle with an option to continue month-to-month for an unlimited period of time.</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total obligation for future minimum lease payments under our operating and finance leases are $3.9 million and $5.5 million, respectively, as of March 31, 2026. See Note 11 to the condensed consolidated financial statements appearing elsewhere in this Quarterly Report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March 7, 2022, we entered into the 2022 Loan Agreement with Pharmakon for a senior secured term loan of up to $100.0 million</w:t>
      </w:r>
    </w:p>
    <w:p>
      <w:pPr>
        <w:spacing w:after="0" w:line="1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 two tranches. The first tranche of $75.0 million ($72.6 million of proceeds were received, $70.8 million net of additional transaction costs) was funded in March 2022, and the second tranche of $25.0 million was funded in December 2022.</w:t>
      </w:r>
    </w:p>
    <w:p>
      <w:pPr>
        <w:spacing w:after="0" w:line="15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On March 13, 2024, we entered into the 2024 Loan Agreement, which replaced the 2022 Loan Agreement. The third tranche of $25.0 million was funded in September 2024. The fourth tranche of $75.0 million became available upon our receipt of FDA approval of our NDA</w:t>
      </w:r>
    </w:p>
    <w:p>
      <w:pPr>
        <w:ind w:right="30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could have been drawn at our option no later than August 29, 2025, subject to customary bringdown conditions and deliverables. We elected not to draw down the fourth tranche. Under the 2024 Loan Agreement, prior to the refinancing described in the immediately following paragraph, all outstanding loans accrued interest using a benchmark rate of three-month SOFR plus 7.25% plus an additional adjustment of 0.26161%.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On February 26, 2026, we entered into the 2026 Loan Agreement, which replaced the 2024 Loan Agreement. The first tranche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of $200.0 million was advanced on the Closing Date and refinanced our original term loan facility under the 2024 Loan Agreement which had $125.0 million of outstanding principal, with the remaining proceeds available for general corporate purposes and working capital. The second tranche of $50.0 million may, at our option, be requested no later than June 30, 2027 for funding to occur no later than August 29, 2027, subject to customary conditions. The term loans mature on the fifth anniversary of the Closing Date.</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All outstanding loans with Pharmakon pursuant to the 2026 Loan Agreement will accrue interest at a fixed rate of 8.25%. The principal amount of the loans outstanding under the 2026 Loan Agreement shall be repayable in four equal quarterly payments commencing in the second quarter of 2030, which are subject to an exit fee of 1% of the principal amount being repaid. We may prepay the loans in whole at our discretion at any time, subject to prepayment premiums, make-whole amounts, as applicable, and fees.</w:t>
      </w:r>
    </w:p>
    <w:p>
      <w:pPr>
        <w:spacing w:after="0" w:line="16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obligations of UroGen Pharma, Inc., as the borrower under the 2026 Loan Agreement, are guaranteed by UroGen Pharma Ltd., subject to customary limitations on parent guarantees under Israeli law, and are secured by substantially all of the tangible and intangible assets and property, including intellectual property, of UroGen Pharma, Inc. and UroGen Pharma Ltd., subject to certain exceptions.</w:t>
      </w:r>
    </w:p>
    <w:p>
      <w:pPr>
        <w:spacing w:after="0" w:line="15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February 14, 2025, we entered into the IconOVir Agreement pursuant to which we purchased and acquired the Transferred Assets. As consideration for the Transferred Assets and subject to the terms and conditions of the IconOVir Agreement, we (i) issued 374,843 of our ordinary shares to IconOVir, which represented a purchase price of $4.0 million divided by the volume-weighted average closing price of our ordinary shares on The Nasdaq Stock Market over the 30 consecutive trading days ending on (and including) the trading day immediately prior to the Closing Date, (ii) agreed to pay IconOVir a one-time payment of $ 15.0 million in cash upon the achievement of a cumulative aggregate worldwide net sales milestone for all ICVB Products, (iii) agreed to pay IconOVir a low, single-digit percentage royalty, on an ICVB Product-by-ICVB Product basis, on the annual, worldwide net sales of such ICVB Product during the royalty term, subject to certain</w:t>
      </w:r>
    </w:p>
    <w:p>
      <w:pPr>
        <w:sectPr>
          <w:pgSz w:w="11900" w:h="16838" w:orient="portrait"/>
          <w:cols w:equalWidth="0" w:num="1">
            <w:col w:w="11220"/>
          </w:cols>
          <w:pgMar w:left="320" w:top="121" w:right="359" w:bottom="0" w:gutter="0" w:footer="0" w:header="0"/>
        </w:sectPr>
      </w:pPr>
    </w:p>
    <w:bookmarkStart w:id="40" w:name="page41"/>
    <w:bookmarkEnd w:id="40"/>
    <w:p>
      <w:pPr>
        <w:spacing w:after="0" w:line="270" w:lineRule="auto"/>
        <w:rPr>
          <w:sz w:val="20"/>
          <w:szCs w:val="20"/>
          <w:color w:val="auto"/>
        </w:rPr>
      </w:pPr>
      <w:r>
        <w:rPr>
          <w:rFonts w:ascii="Arial" w:cs="Arial" w:eastAsia="Arial" w:hAnsi="Arial"/>
          <w:sz w:val="18"/>
          <w:szCs w:val="18"/>
          <w:color w:val="auto"/>
        </w:rPr>
        <w:t>reductions as set forth in the IconOVir Agreement, and (iv) agreed to assume certain immaterial liabilities arising under certain acquired contracts.</w:t>
      </w:r>
    </w:p>
    <w:p>
      <w:pPr>
        <w:spacing w:after="0" w:line="1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sources and uses of cash for the periods set forth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-118745</wp:posOffset>
            </wp:positionV>
            <wp:extent cx="641223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Operating activities</w:t>
      </w:r>
    </w:p>
    <w:p>
      <w:pPr>
        <w:ind w:left="90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7913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940" w:val="left"/>
        </w:tabs>
        <w:rPr>
          <w:sz w:val="20"/>
          <w:szCs w:val="20"/>
          <w:color w:val="auto"/>
        </w:rPr>
      </w:pPr>
      <w:r>
        <w:rPr>
          <w:rFonts w:ascii="Arial" w:cs="Arial" w:eastAsia="Arial" w:hAnsi="Arial"/>
          <w:sz w:val="18"/>
          <w:szCs w:val="18"/>
          <w:b w:val="1"/>
          <w:bCs w:val="1"/>
          <w:color w:val="auto"/>
        </w:rPr>
        <w:t>2026</w:t>
      </w:r>
      <w:r>
        <w:rPr>
          <w:sz w:val="20"/>
          <w:szCs w:val="20"/>
          <w:color w:val="auto"/>
        </w:rPr>
        <w:tab/>
      </w: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791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(45,316)</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(42,024)</w:t>
            </w: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(20,688)</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(25,963)</w:t>
            </w:r>
          </w:p>
        </w:tc>
      </w:tr>
      <w:tr>
        <w:trPr>
          <w:trHeight w:val="221"/>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(67,953)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040" w:space="720"/>
            <w:col w:w="34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used in operating activities was $45.3 million during the three months ended March 31, 2026, compared to $42.0 million during the three months ended March 31, 2025. The $3.3 million increase was attributable primarily to timing of collections of accounts receivables, inventory purchases, and timing of payments and accruals, partially offset by lower net loss in the first quarter of 2026.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cash used in investing activities was $ 20.7 million during the three months ended March 31, 2026, compared to $26.0 million during the three months ended March 31, 2025. The net change of $5.3 million primarily reflects lower reinvestments in marketable securities in the first quarter of 2026 as compared to the first quarter of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provided by financing activities was $65.2 million during the three months ended March 31, 2026, compared to $34 thousand during the three months ended March 31, 2025. The increase of $65.2 million is primarily attributable to proceeds from the 2026 Loan Agreement with Pharmakon in the first quarter of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9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Some of the securities in which we invest have market risk in that a change in prevailing interest rates may cause the principal amount of the marketable securities to fluctuate. Financial instruments that potentially subject us to significant concentrations of credit risk consist primarily of cash, cash equivalents and marketable securities. As of March 31, 2026, we had $140.3 million in cash and cash equivalents and marketable securities. We invest our cash primarily in money market accounts, but from time to time may invest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If a 10% change in interest rates were to have occurred</w:t>
      </w:r>
    </w:p>
    <w:p>
      <w:pPr>
        <w:spacing w:after="0" w:line="3"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on March 31, 2026, this change would not have had a material effect on the fair value of our cash, cash equivalents and marketable securities as of that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Inflation generally may affect us by increasing our cost of labor and clinical trial costs. Inflation has not had a material effect on our business, financial condition or results of operations during the three months ended March 31, 2026 or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the New Israeli Shekel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dollar depreciated against the NIS during 2025 by approximately 12.5%. If the dollar cost of our operations in Israel increases, our dollar-measured results of operations will be adversely affected. Our operations also could be adversely affected if we are unable to effectively hedge against currency fluctuations in the future. If a 10% change in NIS-to-Dollar exchange rates were to have occurred during the three months ended March 31, 2026, this change would not have had a material effect on our operating expenses.</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management, with the participation of our chief executive and financial officers (our principal executive officer and principal financial officer, respectively), evaluated the effectiveness of our disclosures controls and procedures, as defined in Rules 13a-15(e) and 15d-15(e) under the Exchange Act,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0"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a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r>
        <w:rPr>
          <w:rFonts w:ascii="Arial" w:cs="Arial" w:eastAsia="Arial" w:hAnsi="Arial"/>
          <w:sz w:val="18"/>
          <w:szCs w:val="18"/>
          <w:color w:val="auto"/>
        </w:rPr>
        <w:t>—</w:t>
      </w: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On April 2, 2024, the Company filed a lawsuit in the U.S. District Court for the District of Delaware against Teva Pharmaceuticals, Inc., Teva Pharmaceuticals USA, Inc., and Teva Pharmaceutical Industries, Ltd., alleging infringement of U.S. Patent Numbers 9,040,074 and 9,950,069 and seeking a permanent injunction preventing U.S. market entry of Teva’s generic product prior to the expiry of such patents. By written stipulation dated June 11, 2024, Teva Pharmaceutical Industries, Ltd. was dismissed from the action. On May 19, 2025 the Company filed an Amended Complaint, adding U.S. Patent 12,268,745 to the litigation (the “745 Patent”). The U.S. Patent and Trademark Office issued the ‘745 Patent on April 8, 2025, and the Company subsequently added this patent to the Orange Book for JELMYTO. By orders dated February 27, 2025, and June 26, 2025, the court approved the parties’ joint stipulations to remove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and any related claim-construction proceedings from the court’s calendar. Following certain stipulations, the case is now styled as </w:t>
      </w:r>
      <w:r>
        <w:rPr>
          <w:rFonts w:ascii="Arial" w:cs="Arial" w:eastAsia="Arial" w:hAnsi="Arial"/>
          <w:sz w:val="18"/>
          <w:szCs w:val="18"/>
          <w:i w:val="1"/>
          <w:iCs w:val="1"/>
          <w:color w:val="auto"/>
        </w:rPr>
        <w:t>UroGen Pharma Ltd. et al.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Teva Pharmaceuticals, Inc. et al. </w:t>
      </w:r>
      <w:r>
        <w:rPr>
          <w:rFonts w:ascii="Arial" w:cs="Arial" w:eastAsia="Arial" w:hAnsi="Arial"/>
          <w:sz w:val="18"/>
          <w:szCs w:val="18"/>
          <w:color w:val="auto"/>
        </w:rPr>
        <w:t>By order dated January 12, 2026, the court approved the parties’ joint stipulation to dismiss counts I, II, III,</w:t>
      </w:r>
      <w:r>
        <w:rPr>
          <w:rFonts w:ascii="Arial" w:cs="Arial" w:eastAsia="Arial" w:hAnsi="Arial"/>
          <w:sz w:val="18"/>
          <w:szCs w:val="18"/>
          <w:i w:val="1"/>
          <w:iCs w:val="1"/>
          <w:color w:val="auto"/>
        </w:rPr>
        <w:t xml:space="preserve"> </w:t>
      </w:r>
      <w:r>
        <w:rPr>
          <w:rFonts w:ascii="Arial" w:cs="Arial" w:eastAsia="Arial" w:hAnsi="Arial"/>
          <w:sz w:val="18"/>
          <w:szCs w:val="18"/>
          <w:color w:val="auto"/>
        </w:rPr>
        <w:t>and IV of the Company’s Amended Complaint alleging infringement by Teva of U.S. Patent Numbers 9,040,074 and 9,950,069, with prejudice, and to dismiss counts I and II of Teva’s counterclaims seeking declaratory judgment that U.S. Patent Numbers 9,040,074 and 9,950,069 are invalid, as moot. By order dated April 27, 2026, the court approved the parties' joint stipulation to extend the deadlines for expert discovery and pre-trial activities and to postpone trial until January 2027, subject to the court's availability. No ANDA may be finally approved by the FDA until the expiration of Orphan Drug Exclusivity covering JELMYTO in April 2027. If the Company is unsuccessful in securing the requested court relief, JELMYTO may be subject to immediate competition from an FDA approved generic product after regulatory exclusivity for JELMYTO expires in April 2027.</w:t>
      </w:r>
    </w:p>
    <w:p>
      <w:pPr>
        <w:spacing w:after="0" w:line="17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Other than as set forth above, we are not currently a party to any material legal proceedings. Regardless of outcome, litigation can have an adverse impact on us because of defense and settlement costs, diversion of management resources and other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0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i w:val="1"/>
          <w:iCs w:val="1"/>
          <w:color w:val="auto"/>
        </w:rPr>
        <w:t xml:space="preserve">Below is a summary of the material factors that make an investment in our ordinary shares speculative or risky. This summary does not address all of the risks that we face. Additional discussion of the risks summarized in this risk factor summary, and other risks that we face, can be found below under the heading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should be carefully considered, together with other information in this Quarterly Report and our other filings with the SEC before making investment decisions regarding our ordinary shares.</w:t>
      </w:r>
    </w:p>
    <w:p>
      <w:pPr>
        <w:spacing w:after="0" w:line="200" w:lineRule="exact"/>
        <w:rPr>
          <w:sz w:val="20"/>
          <w:szCs w:val="20"/>
          <w:color w:val="auto"/>
        </w:rPr>
      </w:pPr>
    </w:p>
    <w:p>
      <w:pPr>
        <w:spacing w:after="0" w:line="367" w:lineRule="exact"/>
        <w:rPr>
          <w:sz w:val="20"/>
          <w:szCs w:val="20"/>
          <w:color w:val="auto"/>
        </w:rPr>
      </w:pPr>
    </w:p>
    <w:p>
      <w:pPr>
        <w:ind w:left="380" w:right="180" w:hanging="318"/>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require additional financing to fund our operations and achieve our goals, and a failure to obtain this capital when needed and on acceptable terms, or at all, could force us to delay, limit, reduce or terminate our product development, commercialization efforts or other operations.</w:t>
      </w:r>
    </w:p>
    <w:p>
      <w:pPr>
        <w:spacing w:after="0" w:line="155" w:lineRule="exact"/>
        <w:rPr>
          <w:rFonts w:ascii="Arial" w:cs="Arial" w:eastAsia="Arial" w:hAnsi="Arial"/>
          <w:sz w:val="18"/>
          <w:szCs w:val="18"/>
          <w:color w:val="auto"/>
        </w:rPr>
      </w:pPr>
    </w:p>
    <w:p>
      <w:pPr>
        <w:ind w:left="380" w:hanging="31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are highly dependent on the successful commercialization of our approved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80" w:hanging="318"/>
        <w:spacing w:after="0" w:line="27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have limited experience as an organization in marketing and distributing products and are therefore subject to certain risks in relation to the commercialization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of our product candidates that receive regulatory approval.</w:t>
      </w:r>
    </w:p>
    <w:p>
      <w:pPr>
        <w:spacing w:after="0" w:line="140" w:lineRule="exact"/>
        <w:rPr>
          <w:rFonts w:ascii="Arial" w:cs="Arial" w:eastAsia="Arial" w:hAnsi="Arial"/>
          <w:sz w:val="18"/>
          <w:szCs w:val="18"/>
          <w:color w:val="auto"/>
        </w:rPr>
      </w:pPr>
    </w:p>
    <w:p>
      <w:pPr>
        <w:ind w:left="380" w:right="100" w:hanging="318"/>
        <w:spacing w:after="0" w:line="27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market opportunities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our product candidates may be smaller than we anticipate or limited to those patients who are ineligible for established therapies or for whom prior therapies have failed and may be small.</w:t>
      </w:r>
    </w:p>
    <w:p>
      <w:pPr>
        <w:spacing w:after="0" w:line="140" w:lineRule="exact"/>
        <w:rPr>
          <w:rFonts w:ascii="Arial" w:cs="Arial" w:eastAsia="Arial" w:hAnsi="Arial"/>
          <w:sz w:val="18"/>
          <w:szCs w:val="18"/>
          <w:color w:val="auto"/>
        </w:rPr>
      </w:pPr>
    </w:p>
    <w:p>
      <w:pPr>
        <w:ind w:left="380" w:right="240" w:hanging="318"/>
        <w:spacing w:after="0" w:line="27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Jelmyto, Zusduri </w:t>
      </w:r>
      <w:r>
        <w:rPr>
          <w:rFonts w:ascii="Arial" w:cs="Arial" w:eastAsia="Arial" w:hAnsi="Arial"/>
          <w:sz w:val="18"/>
          <w:szCs w:val="18"/>
          <w:color w:val="auto"/>
        </w:rPr>
        <w:t>and any of our product candidates that receive regulatory approval may fail to achieve the broad degree of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use and market acceptance necessary for commercial success.</w:t>
      </w:r>
    </w:p>
    <w:p>
      <w:pPr>
        <w:spacing w:after="0" w:line="140" w:lineRule="exact"/>
        <w:rPr>
          <w:rFonts w:ascii="Arial" w:cs="Arial" w:eastAsia="Arial" w:hAnsi="Arial"/>
          <w:sz w:val="18"/>
          <w:szCs w:val="18"/>
          <w:color w:val="auto"/>
        </w:rPr>
      </w:pPr>
    </w:p>
    <w:p>
      <w:pPr>
        <w:ind w:left="380" w:right="60" w:hanging="318"/>
        <w:spacing w:after="0" w:line="27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Jelmyto, Zusduri </w:t>
      </w:r>
      <w:r>
        <w:rPr>
          <w:rFonts w:ascii="Arial" w:cs="Arial" w:eastAsia="Arial" w:hAnsi="Arial"/>
          <w:sz w:val="18"/>
          <w:szCs w:val="18"/>
          <w:color w:val="auto"/>
        </w:rPr>
        <w:t>and our product candidates, if approved, will face significant competition with competing technologies and our failure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effectively may prevent us from achieving significant market penetration.</w:t>
      </w:r>
    </w:p>
    <w:p>
      <w:pPr>
        <w:spacing w:after="0" w:line="140" w:lineRule="exact"/>
        <w:rPr>
          <w:rFonts w:ascii="Arial" w:cs="Arial" w:eastAsia="Arial" w:hAnsi="Arial"/>
          <w:sz w:val="18"/>
          <w:szCs w:val="18"/>
          <w:color w:val="auto"/>
        </w:rPr>
      </w:pPr>
    </w:p>
    <w:p>
      <w:pPr>
        <w:ind w:left="380" w:right="100" w:hanging="318"/>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55" w:lineRule="exact"/>
        <w:rPr>
          <w:rFonts w:ascii="Arial" w:cs="Arial" w:eastAsia="Arial" w:hAnsi="Arial"/>
          <w:sz w:val="18"/>
          <w:szCs w:val="18"/>
          <w:color w:val="auto"/>
        </w:rPr>
      </w:pPr>
    </w:p>
    <w:p>
      <w:pPr>
        <w:ind w:left="380" w:right="120" w:hanging="318"/>
        <w:spacing w:after="0" w:line="24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entered into collaboration and licensing agreements and in the future may enter into collaboration and licensing arrangements with other third parties for the development and commercialization of our products and product candidates. If our collaboration and licensing arrangements are not successful, we may not be able to capitalize on the market potential of these products and product candidates.</w:t>
      </w:r>
    </w:p>
    <w:p>
      <w:pPr>
        <w:spacing w:after="0" w:line="160" w:lineRule="exact"/>
        <w:rPr>
          <w:rFonts w:ascii="Arial" w:cs="Arial" w:eastAsia="Arial" w:hAnsi="Arial"/>
          <w:sz w:val="18"/>
          <w:szCs w:val="18"/>
          <w:color w:val="auto"/>
        </w:rPr>
      </w:pPr>
    </w:p>
    <w:p>
      <w:pPr>
        <w:ind w:left="380" w:right="20" w:hanging="318"/>
        <w:spacing w:after="0" w:line="239"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currently rely on third-party subcontractors and single-source suppliers for certain raw materials,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commercial use, and to produce and administer UGN-103, UGN-104 and UGN-501 for nonclinical studies and clinical trials, and expect to continue to do so to support commercial scale production of UGN-103, UGN-104 and UGN-501, if approved, or for any approved products that include UGN-501.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w:t>
      </w:r>
      <w:r>
        <w:rPr>
          <w:rFonts w:ascii="Arial" w:cs="Arial" w:eastAsia="Arial" w:hAnsi="Arial"/>
          <w:sz w:val="18"/>
          <w:szCs w:val="18"/>
          <w:i w:val="1"/>
          <w:iCs w:val="1"/>
          <w:color w:val="auto"/>
        </w:rPr>
        <w:t xml:space="preserve"> Zusduri</w:t>
      </w:r>
      <w:r>
        <w:rPr>
          <w:rFonts w:ascii="Arial" w:cs="Arial" w:eastAsia="Arial" w:hAnsi="Arial"/>
          <w:sz w:val="18"/>
          <w:szCs w:val="18"/>
          <w:color w:val="auto"/>
        </w:rPr>
        <w:t>, UGN-103, UGN-104 or UGN-501, or be able to obtain such quantities at an acceptable cost, which could delay,</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or impair our development or commercialization efforts.</w:t>
      </w:r>
    </w:p>
    <w:p>
      <w:pPr>
        <w:spacing w:after="0" w:line="169" w:lineRule="exact"/>
        <w:rPr>
          <w:rFonts w:ascii="Arial" w:cs="Arial" w:eastAsia="Arial" w:hAnsi="Arial"/>
          <w:sz w:val="18"/>
          <w:szCs w:val="18"/>
          <w:color w:val="auto"/>
        </w:rPr>
      </w:pPr>
    </w:p>
    <w:p>
      <w:pPr>
        <w:ind w:left="380" w:right="20" w:hanging="318"/>
        <w:spacing w:after="0" w:line="27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trade policies, including tariffs, sanctions and trade barriers may adversely affect our business, financial condition, results of operations and prospects.</w:t>
      </w:r>
    </w:p>
    <w:p>
      <w:pPr>
        <w:spacing w:after="0" w:line="140" w:lineRule="exact"/>
        <w:rPr>
          <w:rFonts w:ascii="Arial" w:cs="Arial" w:eastAsia="Arial" w:hAnsi="Arial"/>
          <w:sz w:val="18"/>
          <w:szCs w:val="18"/>
          <w:color w:val="auto"/>
        </w:rPr>
      </w:pPr>
    </w:p>
    <w:p>
      <w:pPr>
        <w:ind w:left="380" w:right="240" w:hanging="318"/>
        <w:spacing w:after="0" w:line="27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may incur substantial liabilities and may be required to limit commercialization of any of our products and product candidates, if approved.</w:t>
      </w:r>
    </w:p>
    <w:p>
      <w:pPr>
        <w:sectPr>
          <w:pgSz w:w="11900" w:h="16838" w:orient="portrait"/>
          <w:cols w:equalWidth="0" w:num="1">
            <w:col w:w="11240"/>
          </w:cols>
          <w:pgMar w:left="320" w:top="121" w:right="339" w:bottom="0" w:gutter="0" w:footer="0" w:header="0"/>
        </w:sectPr>
      </w:pPr>
    </w:p>
    <w:bookmarkStart w:id="45" w:name="page46"/>
    <w:bookmarkEnd w:id="45"/>
    <w:p>
      <w:pPr>
        <w:ind w:left="380" w:right="80" w:hanging="318"/>
        <w:spacing w:after="0" w:line="27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personnel, we may be unable to successfully develop our product candidates, conduct our clinical trials and commercialize any of the products we develop.</w:t>
      </w:r>
    </w:p>
    <w:p>
      <w:pPr>
        <w:spacing w:after="0" w:line="140" w:lineRule="exact"/>
        <w:rPr>
          <w:rFonts w:ascii="Arial" w:cs="Arial" w:eastAsia="Arial" w:hAnsi="Arial"/>
          <w:sz w:val="18"/>
          <w:szCs w:val="18"/>
          <w:color w:val="auto"/>
        </w:rPr>
      </w:pPr>
    </w:p>
    <w:p>
      <w:pPr>
        <w:ind w:left="380" w:right="120" w:hanging="318"/>
        <w:spacing w:after="0" w:line="24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significant losses and negative cash flows since our inception, and we anticipate that we will continue to incur losses and negative cash flows as we execute on our strategy and may not generate positive or sufficient cash flows from operations in the future, which may have an adverse impact on our working capital, total assets, stockholders’ equity and our ability to service our indebtedness and commitments.</w:t>
      </w:r>
    </w:p>
    <w:p>
      <w:pPr>
        <w:spacing w:after="0" w:line="160" w:lineRule="exact"/>
        <w:rPr>
          <w:rFonts w:ascii="Arial" w:cs="Arial" w:eastAsia="Arial" w:hAnsi="Arial"/>
          <w:sz w:val="18"/>
          <w:szCs w:val="18"/>
          <w:color w:val="auto"/>
        </w:rPr>
      </w:pPr>
    </w:p>
    <w:p>
      <w:pPr>
        <w:ind w:left="380" w:right="160" w:hanging="318"/>
        <w:spacing w:after="0" w:line="27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indebtedness resulting from our loan agreement with Pharmakon Advisors, L.P. ("Pharmakon") could adversely affect our financial condition or restrict our future operations.</w:t>
      </w:r>
    </w:p>
    <w:p>
      <w:pPr>
        <w:spacing w:after="0" w:line="140" w:lineRule="exact"/>
        <w:rPr>
          <w:rFonts w:ascii="Arial" w:cs="Arial" w:eastAsia="Arial" w:hAnsi="Arial"/>
          <w:sz w:val="18"/>
          <w:szCs w:val="18"/>
          <w:color w:val="auto"/>
        </w:rPr>
      </w:pPr>
    </w:p>
    <w:p>
      <w:pPr>
        <w:ind w:left="380" w:right="220" w:hanging="318"/>
        <w:spacing w:after="0" w:line="301"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If our efforts to obtain, protect or enforce our patents and other intellectual property rights related to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w:t>
      </w:r>
      <w:r>
        <w:rPr>
          <w:rFonts w:ascii="Arial" w:cs="Arial" w:eastAsia="Arial" w:hAnsi="Arial"/>
          <w:sz w:val="17"/>
          <w:szCs w:val="17"/>
          <w:i w:val="1"/>
          <w:iCs w:val="1"/>
          <w:color w:val="auto"/>
        </w:rPr>
        <w:t>Zusduri</w:t>
      </w:r>
      <w:r>
        <w:rPr>
          <w:rFonts w:ascii="Arial" w:cs="Arial" w:eastAsia="Arial" w:hAnsi="Arial"/>
          <w:sz w:val="17"/>
          <w:szCs w:val="17"/>
          <w:color w:val="auto"/>
        </w:rPr>
        <w:t>, and our product candidates and technologies are not adequate, we may not be able to compete effectively, and we otherwise may be harmed.</w:t>
      </w:r>
    </w:p>
    <w:p>
      <w:pPr>
        <w:spacing w:after="0" w:line="117" w:lineRule="exact"/>
        <w:rPr>
          <w:rFonts w:ascii="Arial" w:cs="Arial" w:eastAsia="Arial" w:hAnsi="Arial"/>
          <w:sz w:val="17"/>
          <w:szCs w:val="17"/>
          <w:color w:val="auto"/>
        </w:rPr>
      </w:pPr>
    </w:p>
    <w:p>
      <w:pPr>
        <w:ind w:left="380" w:right="40" w:hanging="318"/>
        <w:spacing w:after="0" w:line="27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other intellectual property rights or the patents of our licensors, which could be expensive and time consuming.</w:t>
      </w:r>
    </w:p>
    <w:p>
      <w:pPr>
        <w:spacing w:after="0" w:line="140" w:lineRule="exact"/>
        <w:rPr>
          <w:rFonts w:ascii="Arial" w:cs="Arial" w:eastAsia="Arial" w:hAnsi="Arial"/>
          <w:sz w:val="18"/>
          <w:szCs w:val="18"/>
          <w:color w:val="auto"/>
        </w:rPr>
      </w:pPr>
    </w:p>
    <w:p>
      <w:pPr>
        <w:ind w:left="380" w:right="40" w:hanging="318"/>
        <w:spacing w:after="0" w:line="25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FDA concludes that the requirements for our relevant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55" w:lineRule="exact"/>
        <w:rPr>
          <w:rFonts w:ascii="Arial" w:cs="Arial" w:eastAsia="Arial" w:hAnsi="Arial"/>
          <w:sz w:val="18"/>
          <w:szCs w:val="18"/>
          <w:color w:val="auto"/>
        </w:rPr>
      </w:pPr>
    </w:p>
    <w:p>
      <w:pPr>
        <w:ind w:left="380" w:right="120" w:hanging="318"/>
        <w:spacing w:after="0" w:line="24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and product candidates, if approved.</w:t>
      </w:r>
    </w:p>
    <w:p>
      <w:pPr>
        <w:spacing w:after="0" w:line="160" w:lineRule="exact"/>
        <w:rPr>
          <w:rFonts w:ascii="Arial" w:cs="Arial" w:eastAsia="Arial" w:hAnsi="Arial"/>
          <w:sz w:val="18"/>
          <w:szCs w:val="18"/>
          <w:color w:val="auto"/>
        </w:rPr>
      </w:pPr>
    </w:p>
    <w:p>
      <w:pPr>
        <w:ind w:left="380" w:hanging="318"/>
        <w:spacing w:after="0" w:line="25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Jelmyto, Zusduri </w:t>
      </w:r>
      <w:r>
        <w:rPr>
          <w:rFonts w:ascii="Arial" w:cs="Arial" w:eastAsia="Arial" w:hAnsi="Arial"/>
          <w:sz w:val="18"/>
          <w:szCs w:val="18"/>
          <w:color w:val="auto"/>
        </w:rPr>
        <w:t>and any of our product candidates that receive regulatory approval will be subject to ongoing regulatory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regulatory review, which may result in significant additional expenses, limit or withdraw regulatory approval and subject us to penalties if we fail to comply with applicable regulatory requirements.</w:t>
      </w:r>
    </w:p>
    <w:p>
      <w:pPr>
        <w:spacing w:after="0" w:line="155" w:lineRule="exact"/>
        <w:rPr>
          <w:rFonts w:ascii="Arial" w:cs="Arial" w:eastAsia="Arial" w:hAnsi="Arial"/>
          <w:sz w:val="18"/>
          <w:szCs w:val="18"/>
          <w:color w:val="auto"/>
        </w:rPr>
      </w:pPr>
    </w:p>
    <w:p>
      <w:pPr>
        <w:ind w:left="380" w:right="860" w:hanging="318"/>
        <w:spacing w:after="0" w:line="27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may be difficult for us to profitably sell our products and product candidates that receive regulatory approval if coverage and reimbursement for these products is limited by government authorities and/or third-party payor policies.</w:t>
      </w:r>
    </w:p>
    <w:p>
      <w:pPr>
        <w:spacing w:after="0" w:line="140" w:lineRule="exact"/>
        <w:rPr>
          <w:rFonts w:ascii="Arial" w:cs="Arial" w:eastAsia="Arial" w:hAnsi="Arial"/>
          <w:sz w:val="18"/>
          <w:szCs w:val="18"/>
          <w:color w:val="auto"/>
        </w:rPr>
      </w:pPr>
    </w:p>
    <w:p>
      <w:pPr>
        <w:ind w:left="380" w:right="600" w:hanging="318"/>
        <w:spacing w:after="0" w:line="27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research and development and other significant operations are located in Israel and, therefore, our results may be adversely affected by political, economic and military conditions in Israel.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 xml:space="preserve">You should carefully consider the following risk factors, as well as the other information in this Quarterly Report, before deciding whether to purchase, hold or sell our ordinary shares. The occurrence of any of the following risks could harm our business, financial condition, results of operations and/or growth prospects or cause our actual results to differ materially from those contained in forward-looking statements we have made in this Quarterly Report and those we may make from time to time. When evaluating our business, you should consider all of the factors described as well as the other information in our Annual Report and this Quarterly Report, including our financial statements and the related notes, </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w:t>
      </w:r>
      <w:r>
        <w:rPr>
          <w:rFonts w:ascii="Arial" w:cs="Arial" w:eastAsia="Arial" w:hAnsi="Arial"/>
          <w:sz w:val="18"/>
          <w:szCs w:val="18"/>
          <w:color w:val="auto"/>
        </w:rPr>
        <w:t>”</w:t>
      </w:r>
      <w:r>
        <w:rPr>
          <w:rFonts w:ascii="Arial" w:cs="Arial" w:eastAsia="Arial" w:hAnsi="Arial"/>
          <w:sz w:val="18"/>
          <w:szCs w:val="18"/>
          <w:i w:val="1"/>
          <w:iCs w:val="1"/>
          <w:color w:val="auto"/>
        </w:rPr>
        <w:t xml:space="preserve"> and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We have marked with an asterisk (*) those risk factors that did not appear as risk factors in, or contain changes to, the similarly titled risk factors included in Item 1A of our Annual Report. If any of the following risks actually occur, our business, financial condition, results of operations and future growth prospects would likely be materially and adversely affected. In these circumstances, the market price of our ordinary shares would likely decline and you may lose all or part of your investment. Additional risks and uncertainties not presently known to us or that we currently deem immaterial also may impair our business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4"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We have incurred significant losses and negative cash flows since our inception, and we anticipate that we will continue to incur losses and negative cash flows as we execute on our strategy and may not generate positive or sufficient cash flows from operations in the future, which may have an adverse impact on our working capital, total assets, stockholders’ equity and our ability to service our indebtedness and commitments.*</w:t>
      </w:r>
    </w:p>
    <w:p>
      <w:pPr>
        <w:spacing w:after="0" w:line="15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xml:space="preserve">We are not profitable and have incurred net losses in each period since we commenced operations in 2004, including net losses of $153.5 million and $126.9 million for the years ended December 31, 2025 and 2024, respectively. As of March 31, 2026, we had an accumulated deficit of $983.3 million. We expect to continue to incur losses and negative cash flows as we execute our strategy, including the ongoing commercial launch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the continued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and engaging in further product development activities. Our ability to ultimately achieve and sustain recurring revenues and profitability is dependent upon our ability to successfully commercialize our products and complete the development of our product candidates and obtain necessary regulatory approvals for and successfully manufacture, market and commercialize our product candidates, if approved.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believe that we will continue to expend substantial resources in the foreseeable future for the clinical development of our current product candidates or any additional product candidates and indications that we may choose to pursue in the future as well as for the expansion of our commercial operations as we execute our commercialization strategy for </w:t>
      </w:r>
      <w:r>
        <w:rPr>
          <w:rFonts w:ascii="Arial" w:cs="Arial" w:eastAsia="Arial" w:hAnsi="Arial"/>
          <w:sz w:val="18"/>
          <w:szCs w:val="18"/>
          <w:i w:val="1"/>
          <w:iCs w:val="1"/>
          <w:color w:val="auto"/>
        </w:rPr>
        <w:t>Zusduri</w:t>
      </w:r>
      <w:r>
        <w:rPr>
          <w:rFonts w:ascii="Arial" w:cs="Arial" w:eastAsia="Arial" w:hAnsi="Arial"/>
          <w:sz w:val="18"/>
          <w:szCs w:val="18"/>
          <w:color w:val="auto"/>
        </w:rPr>
        <w:t>. These expenditures will include costs associated with research and development, conducting nonclinical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clinical-stage and nonclinical drug candidates and any other drug candidates that we may develop in the future. Other unanticipated costs may also arise.</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If we are not able to generate sufficient cash flows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product sales to fund our operations, it may have an adverse impact on our working capital, total assets, stockholders’ equity and our ability to service our indebtedness.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98" w:lineRule="exact"/>
        <w:rPr>
          <w:sz w:val="20"/>
          <w:szCs w:val="20"/>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clinical development and obtaining regulatory approvals for our product candidates;</w:t>
      </w:r>
    </w:p>
    <w:p>
      <w:pPr>
        <w:spacing w:after="0" w:line="198" w:lineRule="exact"/>
        <w:rPr>
          <w:rFonts w:ascii="Arial" w:cs="Arial" w:eastAsia="Arial" w:hAnsi="Arial"/>
          <w:sz w:val="18"/>
          <w:szCs w:val="18"/>
          <w:color w:val="auto"/>
        </w:rPr>
      </w:pPr>
    </w:p>
    <w:p>
      <w:pPr>
        <w:ind w:left="380" w:right="120" w:hanging="318"/>
        <w:spacing w:after="0" w:line="27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during the development phase that can delay or force us to stop our activities related to any of our product candidates;</w:t>
      </w:r>
    </w:p>
    <w:p>
      <w:pPr>
        <w:spacing w:after="0" w:line="140" w:lineRule="exact"/>
        <w:rPr>
          <w:rFonts w:ascii="Arial" w:cs="Arial" w:eastAsia="Arial" w:hAnsi="Arial"/>
          <w:sz w:val="18"/>
          <w:szCs w:val="18"/>
          <w:color w:val="auto"/>
        </w:rPr>
      </w:pPr>
    </w:p>
    <w:p>
      <w:pPr>
        <w:ind w:left="380" w:right="220" w:hanging="318"/>
        <w:spacing w:after="0" w:line="27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cost of commercialization activities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other products approved for sale, including marketing, sales and distribution costs;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our degree of success in commercializing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third-party manufacturing of our products candidates and any approved products;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any other product candidates we develop or acquire;</w:t>
      </w:r>
    </w:p>
    <w:p>
      <w:pPr>
        <w:spacing w:after="0" w:line="198" w:lineRule="exact"/>
        <w:rPr>
          <w:rFonts w:ascii="Arial" w:cs="Arial" w:eastAsia="Arial" w:hAnsi="Arial"/>
          <w:sz w:val="18"/>
          <w:szCs w:val="18"/>
          <w:color w:val="auto"/>
        </w:rPr>
      </w:pPr>
    </w:p>
    <w:p>
      <w:pPr>
        <w:ind w:left="380" w:right="400" w:hanging="318"/>
        <w:spacing w:after="0" w:line="27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commercialization arrangements, and the terms and timing of such arrangements;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and rate of market acceptance of any approved products;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98" w:lineRule="exact"/>
        <w:rPr>
          <w:rFonts w:ascii="Arial" w:cs="Arial" w:eastAsia="Arial" w:hAnsi="Arial"/>
          <w:sz w:val="18"/>
          <w:szCs w:val="18"/>
          <w:color w:val="auto"/>
        </w:rPr>
      </w:pPr>
    </w:p>
    <w:p>
      <w:pPr>
        <w:ind w:left="380" w:right="200" w:hanging="318"/>
        <w:spacing w:after="0" w:line="27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and other intellectual property claims, including potential litigation costs, and the outcome of such litigation;</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current or future approved products, if any;</w:t>
      </w:r>
    </w:p>
    <w:p>
      <w:pPr>
        <w:spacing w:after="0" w:line="198" w:lineRule="exact"/>
        <w:rPr>
          <w:rFonts w:ascii="Arial" w:cs="Arial" w:eastAsia="Arial" w:hAnsi="Arial"/>
          <w:sz w:val="18"/>
          <w:szCs w:val="18"/>
          <w:color w:val="auto"/>
        </w:rPr>
      </w:pPr>
    </w:p>
    <w:p>
      <w:pPr>
        <w:ind w:left="380" w:right="180"/>
        <w:spacing w:after="0" w:line="271" w:lineRule="auto"/>
        <w:rPr>
          <w:rFonts w:ascii="Arial" w:cs="Arial" w:eastAsia="Arial" w:hAnsi="Arial"/>
          <w:sz w:val="18"/>
          <w:szCs w:val="18"/>
          <w:color w:val="auto"/>
        </w:rPr>
      </w:pPr>
      <w:r>
        <w:rPr>
          <w:rFonts w:ascii="Arial" w:cs="Arial" w:eastAsia="Arial" w:hAnsi="Arial"/>
          <w:sz w:val="18"/>
          <w:szCs w:val="18"/>
          <w:color w:val="auto"/>
        </w:rPr>
        <w:t>the timing and amount of any milestone, net sales or royalty payments owed by us from the development and/or commercialization of our products or product candidates;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repayment of outstanding debt;</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 business arrangements, or conduct of our business;</w:t>
      </w:r>
    </w:p>
    <w:p>
      <w:pPr>
        <w:spacing w:after="0" w:line="198" w:lineRule="exact"/>
        <w:rPr>
          <w:rFonts w:ascii="Arial" w:cs="Arial" w:eastAsia="Arial" w:hAnsi="Arial"/>
          <w:sz w:val="18"/>
          <w:szCs w:val="18"/>
          <w:color w:val="auto"/>
        </w:rPr>
      </w:pPr>
    </w:p>
    <w:p>
      <w:pPr>
        <w:ind w:left="380" w:right="380" w:hanging="318"/>
        <w:spacing w:after="0" w:line="27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scientific breakthroughs in the field of urothelial cancer treatment and diagnosis that could significantly diminish the demand for our products or product candidates or make them obsolete; and</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reimbursement or other laws, regulations or policies that could have a negative impact on our future revenue stream.</w:t>
      </w:r>
    </w:p>
    <w:p>
      <w:pPr>
        <w:sectPr>
          <w:pgSz w:w="11900" w:h="16838" w:orient="portrait"/>
          <w:cols w:equalWidth="0" w:num="1">
            <w:col w:w="11140"/>
          </w:cols>
          <w:pgMar w:left="320" w:top="121" w:right="439" w:bottom="1440" w:gutter="0" w:footer="0" w:header="0"/>
        </w:sectPr>
      </w:pP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In addition, we have limited experience and have not yet demonstrated an ability to successfully overcome many of the risks and uncertainties frequently encountered by companies in new and rapidly evolving fields, particularly in the biotechnology industry. Drug development is a highly speculative undertaking and involves a substantial degree of risk.</w:t>
      </w:r>
    </w:p>
    <w:p>
      <w:pPr>
        <w:spacing w:after="0" w:line="1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may require additional financing to fund our operations and achieve our goals, and a failure to obtain this capital when needed and on acceptable terms, or at all, could force us to delay, limit, reduce or terminate our product development, commercialization efforts or other operations.*</w:t>
      </w:r>
    </w:p>
    <w:p>
      <w:pPr>
        <w:spacing w:after="0" w:line="14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We are not profitable and have had negative cash flow from operations since our inception. Since our inception, almost all our resources have been dedicated to the nonclinical and clinical development of our commercial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As of March 31, 2026, we had cash and cash equivalents and marketable securities of $140.3 million. To fund our operations, develop our product candidates and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we have relied primarily on equity and debt financings and revenue generated from sales of our approved products.</w:t>
      </w:r>
    </w:p>
    <w:p>
      <w:pPr>
        <w:spacing w:after="0" w:line="16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December 2019, we entered into a sales agreement (the “ATM Sales Agreement”) with TD Securities (USA) LLC (f/k/a Cowen and Company, LLC) (“TD Cowen”), pursuant to which we were able to from time to time offer and sell our ordinary shares having an aggregate offering price of up to $100.0 million, to or through TD Cowen, acting as sales agent or principal, in any manner deemed to be an “at-the-market offering.”</w:t>
      </w:r>
    </w:p>
    <w:p>
      <w:pPr>
        <w:spacing w:after="0" w:line="160"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In November 2025, we amended the ATM Sales Agreement to remove the aggregate offering price limit of $100.0 million and filed a registration statement on Form S-3 providing for the offer and sale of ordinary shares pursuant to the ATM Sales Agreement having an aggregate offering price of up to $75.0 million, which became effective automatically (the “ATM Prospectus”). As of March 31, 2026, the remaining capacity under the ATM Prospectus was approximately $42.4 million.</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In March 2021, we announced a transaction (the "RTW Transaction") with RTW Investments ("RTW") totaling $75 million in funding for our company, which was received in May 2021, to support the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return for the upfront cash payment, RTW is entitled to receive tiered future payments based on global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and, subject to FDA approval, UGN-103 and UGN-104.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On March 7, 2022, UroGen Pharma Ltd., UroGen Pharma, Inc., as the borrower (the "Borrower"), and certain of our direct and indirect subsidiaries party thereto from time to time, as guarantors ("Guarantors" and, collectively with UroGen Pharma Ltd. and Borrower, "Credit Parties"), entered into a loan agreement (the "2022 Loan Agreement") with funds managed by Pharmakon, including BPCR Limited Partnership (as a "Lender"), BioPharma Credit Investments V (Master) LP as a Lender, and BioPharma Credit PLC, as collateral agent for the Lenders (in such capacity, "Collateral Agent"), pursuant to which the Lenders agreed to make term loans to the Borrower in an aggregate principal amount of up to $100.0 million (the “Initial Term Loans”) to be funded in two tranches. The first tranche of $75.0 million ($72.6 million of proceeds were received, $70.8 million net of additional transaction costs) was funded in March 2022, and the second tranche of $25.0 million was funded in December 2022.</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On March 13, 2024, we entered into an amended and restated loan agreement, which replaced the 2022 Loan Agreement, with Pharmakon for an additional third and fourth tranche of senior secured loan (the "2024 Loan Agreement"). The third tranche of $25.0 million was funded in September 2024. The fourth tranche of $75.0 million became available upon our receipt of FDA approval of our NDA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could have been drawn at our option no later than August 29, 2025, subject to the satisfaction of customary bringdown conditions and deliverables. We elected not to draw down the fourth tranche.</w:t>
      </w:r>
    </w:p>
    <w:p>
      <w:pPr>
        <w:spacing w:after="0" w:line="16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On February 26, 2026 (the “Closing Date”), we entered into a second amended and restated loan agreement with Pharmakon, which replaced the 2024 Loan Agreement (the “2026 Loan Agreement”), providing for a senior secured term loan facility of up to $250.0 million, consisting of two tranches. The first tranche of $200.0 million was advanced on the Closing Date and refinanced our term loan facility under the 2024 Loan Agreement which had $125.0 million of outstanding principal, with the remaining proceeds available for general corporate purposes and working capital. The second tranche of $50.0 million may be drawn at our option no later than June 30, 2027, subject to customary conditions. The term loans mature on the fifth anniversary of the Closing Date.</w:t>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All outstanding loans with Pharmakon will accrue interest at a fixed rate of 8.25% and are repayable in four equal quarterly payments commencing in the second quarter of 2030, which are subject to an exit fee of 1% of the principal amount being repaid. We may prepay the loans in whole at our discretion at any time, subject to prepayment premiums, make-whole amounts, as applicable, and fees.</w:t>
      </w:r>
    </w:p>
    <w:p>
      <w:pPr>
        <w:spacing w:after="0" w:line="155"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We may require additional capital to complete clinical trials, obtain regulatory approval for and commercialize our product candidates, and otherwise fund our operations. Our operating plan may change as a result of many factors currently unknown to us, and we may need to seek additional funds sooner than planned, through public or private equity financings, convertible debt or debt financings, third-party funding, marketing and distribution arrangements, as well as other collaborations, strategic alliances and licensing arrangements, or a combination of these approaches. We may also require additional capital to pursue nonclinical and clinical activities, and pursue regulatory approval for, and to commercialize, our pipeline product candidates.</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favorable terms,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If adequate funds are not available to us on a timely basis, we may be required or choose to:</w:t>
      </w:r>
    </w:p>
    <w:p>
      <w:pPr>
        <w:spacing w:after="0" w:line="212" w:lineRule="exact"/>
        <w:rPr>
          <w:sz w:val="20"/>
          <w:szCs w:val="20"/>
          <w:color w:val="auto"/>
        </w:rPr>
      </w:pPr>
    </w:p>
    <w:p>
      <w:pPr>
        <w:ind w:left="380" w:right="80" w:hanging="318"/>
        <w:spacing w:after="0" w:line="271"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development activities for our product candidates or any of our future product candidates;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other research and development activities; or</w:t>
      </w:r>
    </w:p>
    <w:p>
      <w:pPr>
        <w:sectPr>
          <w:pgSz w:w="11900" w:h="16838" w:orient="portrait"/>
          <w:cols w:equalWidth="0" w:num="1">
            <w:col w:w="11220"/>
          </w:cols>
          <w:pgMar w:left="320" w:top="121" w:right="359" w:bottom="0" w:gutter="0" w:footer="0" w:header="0"/>
        </w:sectPr>
      </w:pPr>
    </w:p>
    <w:bookmarkStart w:id="48" w:name="page49"/>
    <w:bookmarkEnd w:id="48"/>
    <w:p>
      <w:pPr>
        <w:ind w:left="380" w:right="100" w:hanging="318"/>
        <w:spacing w:after="0" w:line="253"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delay, limit, reduce or terminate our establishment or expansion of manufacturing, sales and marketing or distribution capabilities or other activities that may be necessary to commercialize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or any of our product candidates that obtain marketing approval.</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may also be unable to expand our operations or otherwise capitalize on our business opportunities, as desired, which could harm our business, financial condition, cash flows and results of operations.</w:t>
      </w:r>
    </w:p>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323" w:right="6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Our indebtedness resulting from our loan agreement with Pharmakon could adversely affect our financial condition or restrict our future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March 2022, we entered into a loan agreement with Pharmakon pursuant to which the Lenders funded the Initial Term Loans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Borrower in an aggregate principal amount of $100.0 million in two tranches. In March 2024, we entered into the 2024 Loan</w:t>
      </w:r>
    </w:p>
    <w:p>
      <w:pPr>
        <w:ind w:right="200"/>
        <w:spacing w:after="0"/>
        <w:rPr>
          <w:sz w:val="20"/>
          <w:szCs w:val="20"/>
          <w:color w:val="auto"/>
        </w:rPr>
      </w:pPr>
      <w:r>
        <w:rPr>
          <w:rFonts w:ascii="Arial" w:cs="Arial" w:eastAsia="Arial" w:hAnsi="Arial"/>
          <w:sz w:val="18"/>
          <w:szCs w:val="18"/>
          <w:color w:val="auto"/>
        </w:rPr>
        <w:t xml:space="preserve">Agreement, pursuant to which the Lenders agreed to make additional term loans to the Borrower in an aggregate principal amount of up to $100.0 million to be funded in two tranches. The third tranche of $25.0 million was funded in September 2024. The fourth tranche of $75.0 million became available upon our receipt of FDA approval of our NDA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could have been drawn at our option no later than August 29, 2025, subject to customary bringdown conditions and deliverables. We elected not to draw down the fourth tranche.</w:t>
      </w:r>
    </w:p>
    <w:p>
      <w:pPr>
        <w:spacing w:after="0" w:line="16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On February 26, 2026, we entered into the 2026 Loan Agreement with Pharmakon for a senior secured term loan of up to $250 million, consisting of two tranches. The first tranche of $200.0 million was advanced on the Closing Date and refinanced our term loan facility under the 2024 Loan Agreement which had $125.0 million of outstanding principal, with the remaining proceeds available for general corporate purposes and working capital. The second tranche of $50.0 million may be drawn at our option no later than June 30, 2027, subject to customary conditions. The term loans mature on the fifth anniversary of the Closing Date.</w:t>
      </w:r>
    </w:p>
    <w:p>
      <w:pPr>
        <w:spacing w:after="0" w:line="16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obligations of the Borrower under the 2026 Loan Agreement are guaranteed on a full and unconditional basis by the Credit Parties and are secured by substantially all of the respective Credit Parties’ tangible and intangible assets and property, including intellectual property, subject to certain exceptions.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2026 Loan Agreement contains negative covenants that, among other things and subject to certain exceptions, restrict our ability to:</w:t>
      </w:r>
    </w:p>
    <w:p>
      <w:pPr>
        <w:spacing w:after="0" w:line="198" w:lineRule="exact"/>
        <w:rPr>
          <w:sz w:val="20"/>
          <w:szCs w:val="20"/>
          <w:color w:val="auto"/>
        </w:rPr>
      </w:pPr>
    </w:p>
    <w:p>
      <w:pPr>
        <w:ind w:left="280" w:hanging="110"/>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dispose of assets, including certain intellectual property;</w:t>
      </w:r>
    </w:p>
    <w:p>
      <w:pPr>
        <w:spacing w:after="0" w:line="13" w:lineRule="exact"/>
        <w:rPr>
          <w:rFonts w:ascii="Arial" w:cs="Arial" w:eastAsia="Arial" w:hAnsi="Arial"/>
          <w:sz w:val="18"/>
          <w:szCs w:val="18"/>
          <w:color w:val="auto"/>
        </w:rPr>
      </w:pPr>
    </w:p>
    <w:p>
      <w:pPr>
        <w:ind w:left="280" w:hanging="110"/>
        <w:spacing w:after="0" w:line="23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 modify or waive certain agreements or organizational documents;</w:t>
      </w:r>
    </w:p>
    <w:p>
      <w:pPr>
        <w:ind w:left="280" w:hanging="110"/>
        <w:spacing w:after="0" w:line="23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consummate certain change in control transactions;</w:t>
      </w:r>
    </w:p>
    <w:p>
      <w:pPr>
        <w:ind w:left="280" w:hanging="110"/>
        <w:spacing w:after="0" w:line="23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certain additional indebtedness;</w:t>
      </w:r>
    </w:p>
    <w:p>
      <w:pPr>
        <w:ind w:left="280" w:hanging="110"/>
        <w:spacing w:after="0" w:line="23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any non-permitted lien or other encumbrance on the Credit Parties’ assets;</w:t>
      </w:r>
    </w:p>
    <w:p>
      <w:pPr>
        <w:ind w:left="280" w:hanging="110"/>
        <w:spacing w:after="0" w:line="23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any distribution or payment on or redeem, retire or purchase any equity interests; and</w:t>
      </w:r>
    </w:p>
    <w:p>
      <w:pPr>
        <w:ind w:left="280" w:hanging="110"/>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payments of certain subordinated indebtedness.</w:t>
      </w:r>
    </w:p>
    <w:p>
      <w:pPr>
        <w:spacing w:after="0" w:line="18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addition, we are required under the 2026 Loan Agreement to comply with various operating covenants and default clauses that may restrict our ability to finance our operations, engage in business activities or expand or fully pursue our business strategies. A breach of any of these covenants or clauses could result in a default under the 2026 Loan Agreement, which could cause all of the outstanding indebtedness under the 2026 Loan Agreement to become immediately due and payable, including a make whole amount and prepayment premium.</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If we are unable to generate sufficient cash to repay our debt obligations when they become due and payable, we may not be able to obtain additional debt or equity financing on favorable terms, if at all, which may negatively affect our business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under our Prepaid Forward Contract with RTW restrict our ability to borrow additional capital.</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2021, we entered into a prepaid forward agreement (the "Forward Contract") with RTW, pursuant to which we are obligated to make tiered cash payments to RTW, based on the worldwide annual net product sales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subject to FDA approval, UGN-103 and UGN-104 (together, the “Products”), subject to an aggregate revenue cap of $300.0 million.</w:t>
      </w:r>
    </w:p>
    <w:p>
      <w:pPr>
        <w:spacing w:after="0" w:line="15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Until the earlier of such time that (i) our aggregate worldwide annual net product sales of the Products reach a certain threshold or (ii) our market capitalization reaches a certain threshold, (a) we have granted RTW a security interest in the Products and the regulatory approvals, intellectual property, material agreements, proceeds and accounts receivable related to the Products (the “Product Collateral”), (b) we are subject to a negative pledge in respect of the Product Collateral and (c) we may not incur additional indebtedness secured by Product Collateral without such secured debt provider entering into a intercreditor agreement with RTW. Upon the occurrence of an insolvency event, as defined in the Forward Contract, any remaining payment obligations under the Forward Contract will be automatically accelerated.</w:t>
      </w:r>
    </w:p>
    <w:p>
      <w:pPr>
        <w:spacing w:after="0" w:line="1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Forward Contract requires us to use a significant portion of our cash flow to make payments to RTW, limits our ability to borrow additional funds for working capital, capital expenditures or other general business purposes, limits our flexibility to plan for, or react to, changes in our business and industry, places us at a competitive disadvantage compared to our competitors not subject to similar restrictions and increases our vulnerability to the impact of adverse economic industry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Until such time, if ever, as we can generate sufficient product revenues to support our operations and capital requirements, we expect to supplement our cash needs through equity, convertible debt or debt financings, as well as selectively continuing to enter into collaborations, strategic alliances and licensing arrangements. Other than the second tranche of $50.0 million available under our term loan facility with Pharmakon, we do not currently have any committed external source of funds. To the extent that we raise additional capital through the sale of equity or convertible debt securities, including pursuant to the ATM Sales Agreement, our shareholders' ownership interest in us will be diluted, and the terms of these securities may include liquidation or other preferences that adversely affect our shareholders' rights as ordinary shareholders.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7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successful commercialization of our approved products, Jelmyto and Zusduri.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our first product, which we commercially launched in the United States in June 2020.</w:t>
      </w:r>
      <w:r>
        <w:rPr>
          <w:rFonts w:ascii="Arial" w:cs="Arial" w:eastAsia="Arial" w:hAnsi="Arial"/>
          <w:sz w:val="18"/>
          <w:szCs w:val="18"/>
          <w:i w:val="1"/>
          <w:iCs w:val="1"/>
          <w:color w:val="auto"/>
        </w:rPr>
        <w:t xml:space="preserve"> Zusduri </w:t>
      </w:r>
      <w:r>
        <w:rPr>
          <w:rFonts w:ascii="Arial" w:cs="Arial" w:eastAsia="Arial" w:hAnsi="Arial"/>
          <w:sz w:val="18"/>
          <w:szCs w:val="18"/>
          <w:color w:val="auto"/>
        </w:rPr>
        <w:t>is our second product, which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began commercializing in the United States in late June 2025. We have invested significant efforts and financial resources in the research and development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are focusing a significant portion of our activities and resources 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we believe our prospects are highly dependent on, and a significant portion of the value of our company relates to, our ability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the United States.</w:t>
      </w:r>
    </w:p>
    <w:p>
      <w:pPr>
        <w:spacing w:after="0" w:line="16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Successful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is subject to many risks. We initiated our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June 2020, and prior to that, we had never, as an organization, launched or commercialized any product. There is no guarantee that our commercialization efforts will be successful, or that we will be able to successfully launch and commercialize any other product candidates that receive regulatory approval. There are numerous examples of unsuccessful product launches and failures to meet high expectations of market potential, including by pharmaceutical companies with more experience and resources than us. While we have established and expanded our commercial team and our U.S. sales force, we will need to maintain, further train and develop our team in order to successfully execute the ongoing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There are many factors that could cause the commercialization</w:t>
      </w:r>
    </w:p>
    <w:p>
      <w:pPr>
        <w:spacing w:after="0" w:line="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to be unsuccessful, including a number of factors that are outside of our control. We must also properly educate physicians and nurses on the skillful preparation and administration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and develop a broad experiential knowledge base of aggregated clinician feedback from which we can refine appropriate procedures for product administration, without which there could be a risk of adverse events.</w:t>
      </w:r>
    </w:p>
    <w:p>
      <w:pPr>
        <w:spacing w:after="0" w:line="16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Because no drug has previously been approved by the FDA for the treatment of low-grade UTUC, it is difficult to estimate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’s market potential and we have based our estimates on limited scientific literature or other research on incidence prevalence and our commercialization experience to date. Similarly,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is the first FDA-approved non-surgical treatment for adult patients with recurrent low-grade intermediate risk NMIBC. The commercial success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depends on the extent to which patients and physicians accept and adopt them as a treatment, and we do not know whether our or others’ estimates in this regard will be accurate. For example, if the patient population suffering from low-grade UTUC is smaller than we estimate or if physicians are unwilling to prescribe or patients are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due to label warnings, adverse events associated with product administration or other reasons,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will be limited. Physicians may not prescribe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patients may be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if coverage is not provided or reimbursement is inadequate to cover a significant portion of the</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cost. Additionally, any negative development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our post-marketing commitments, or in regulatory processes in other jurisdictions, may adversely impact the commercial results and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Thus, significant uncertainty remains regarding their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our commercialization efforts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could be hindered by pandemics, epidemics or public health emergencies.</w:t>
      </w:r>
    </w:p>
    <w:p>
      <w:pPr>
        <w:spacing w:after="0" w:line="19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 xml:space="preserve">If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do not meet expectations, our share price could decline significantly and the long-term success of the products and our company could be harmed.</w:t>
      </w:r>
    </w:p>
    <w:p>
      <w:pPr>
        <w:spacing w:after="0" w:line="142"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Post-approval results for our approved drugs in larger numbers of patients and broader populations may not be consistent with the results from our clinical studies.</w:t>
      </w:r>
    </w:p>
    <w:p>
      <w:pPr>
        <w:spacing w:after="0" w:line="126" w:lineRule="exact"/>
        <w:rPr>
          <w:sz w:val="20"/>
          <w:szCs w:val="20"/>
          <w:color w:val="auto"/>
        </w:rPr>
      </w:pPr>
    </w:p>
    <w:p>
      <w:pPr>
        <w:ind w:right="20"/>
        <w:spacing w:after="0" w:line="207" w:lineRule="exact"/>
        <w:rPr>
          <w:sz w:val="20"/>
          <w:szCs w:val="20"/>
          <w:color w:val="auto"/>
        </w:rPr>
      </w:pPr>
      <w:r>
        <w:rPr>
          <w:rFonts w:ascii="Arial" w:cs="Arial" w:eastAsia="Arial" w:hAnsi="Arial"/>
          <w:sz w:val="18"/>
          <w:szCs w:val="18"/>
          <w:color w:val="auto"/>
        </w:rPr>
        <w:t xml:space="preserve">Prior to approval our drugs have been administered only to a limited number of patients and in limited populations in clinical studies. We do not know whether the results when a larger number of patients and a broader population are exposed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including results related to safety and efficacy, will be consistent with the results from earlier clinical studies that served as the basis for their respective approval. New data, including from spontaneous adverse event reports and post-marketing studies in the United States, and other ongoing clinical studies to evaluate real world experience and outcomes of patients in the United States may result in changes to the product label and may adversely affect sales, or result in withdrawal of our products from the market. The FDA and regulatory authorities in other jurisdictions may also consider the new data in reviewing potential marketing applications in other jurisdictions, or imposing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If any of these actions were to occur, it could result in significant expense and delay or limit our ability to generate sales revenues.</w:t>
      </w:r>
    </w:p>
    <w:p>
      <w:pPr>
        <w:sectPr>
          <w:pgSz w:w="11900" w:h="16838" w:orient="portrait"/>
          <w:cols w:equalWidth="0" w:num="1">
            <w:col w:w="11240"/>
          </w:cols>
          <w:pgMar w:left="320" w:top="121" w:right="339" w:bottom="5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have limited experience as an organization in marketing and distributing products and are therefore subject to certain risks in relation to the commercialization of Jelmyto, Zusduri and any of our product candidates that receive regulatory approval.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 build and maintain a fully integrated biotechnology company to successfully execute the commercialization</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the United States.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became available in the United States in June 2020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became available in the United States in June 2025. While we have established a commercial management team and have also established a field-based organization comprised of a sales team, reimbursement support team, clinical nurse educators, national account managers and medical science liaisons, we currently have limited experience commercializing pharmaceutical products as an organization. In order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must continue to develop our sales, marketing, managerial, compliance and related capabilities or make arrangements with third parties to perform these services. This involves many challenges, such as recruiting and retaining talented personnel, training employees, setting the appropriate system of incentives, managing additional headcount and integrating new business units into an existing corporate infrastructure. These efforts will continue to be expensive and time-consuming, and we cannot be certain that we will be able to successfully further develop these capabilities. Additionally, we will need to maintain and further develop our sales force, and we will be competing with other pharmaceutical and biotechnology companies to recruit, hire, train and retain marketing and sales personnel. In the event we are unable to effectively develop and maintain our commercial team, including our sales force, our ability to effectively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would be limited, and we would not be able to generate product revenues successfully. If we fail to establish and maintain an effective sales and marketing infrastructure, we will be unable to successfully commercialize our product candidates, which in turn would have an adverse effect on our business, financial condition and results of operations.</w:t>
      </w:r>
    </w:p>
    <w:p>
      <w:pPr>
        <w:spacing w:after="0" w:line="172"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If we are unable to effectively train and equip our sales force, our ability to successfully commercialize Jelmyto, Zusduri and any future product candidates will be harmed.</w:t>
      </w:r>
    </w:p>
    <w:p>
      <w:pPr>
        <w:spacing w:after="0" w:line="12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Our sales force has promoted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since its launch in June 2020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since we began commercialization in June 2025.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approved by the FDA for the treatment of low-grade UTUC. Similarly,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was approved by the FDA in June 2025, and is the first and only FDA-approved medication for adults with recurrent low-grade intermediate risk NMIBC. As a result, we are, and will continue to, be required to expend significant time and resources to train our sales force to be credible, persuasive, and compliant with applicable laws in marketing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the treatment of adult patients with recurrent low-grade intermediate risk NMIBC.</w:t>
      </w:r>
    </w:p>
    <w:p>
      <w:pPr>
        <w:spacing w:after="0" w:line="16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In addition, we must train our sales force to ensure that consistent and appropriate messaging about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is being delivered to our customers. We generally manage and deploy our sales force by geographic coverage across the United States. Lack of coverage due to turnover of personnel, and/or inability to identify and integrate additional personnel would have a negative impact on our ability to engage with physicians and other stakeholders. If we are unable to effectively train, deploy and retain our sales force and equip them with effective materials, including medical and sales literature to help them inform and educate customers about the benefits and risks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future product candidates, and their proper administration, our efforts to successfully</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 xml:space="preserve">commercialize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future product candidates could be compromised, which would negatively impact our ability to generate product revenues.</w:t>
      </w:r>
    </w:p>
    <w:p>
      <w:pPr>
        <w:spacing w:after="0" w:line="15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There can be no assurance that our sales force will continue to have in-person access to physicians as a result of pandemics, epidemics or public health emergencies, or that digital materials and virtual engagement will be effective at growing and sustaining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successfully launching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Disruptions in the prescription volumes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could also occur:</w:t>
      </w:r>
    </w:p>
    <w:p>
      <w:pPr>
        <w:spacing w:after="0" w:line="155" w:lineRule="exact"/>
        <w:rPr>
          <w:sz w:val="20"/>
          <w:szCs w:val="20"/>
          <w:color w:val="auto"/>
        </w:rPr>
      </w:pPr>
    </w:p>
    <w:p>
      <w:pPr>
        <w:ind w:left="380" w:hanging="318"/>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98" w:lineRule="exact"/>
        <w:rPr>
          <w:rFonts w:ascii="Arial" w:cs="Arial" w:eastAsia="Arial" w:hAnsi="Arial"/>
          <w:sz w:val="18"/>
          <w:szCs w:val="18"/>
          <w:color w:val="auto"/>
        </w:rPr>
      </w:pPr>
    </w:p>
    <w:p>
      <w:pPr>
        <w:ind w:left="380" w:right="200" w:hanging="318"/>
        <w:spacing w:after="0" w:line="271"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treatment of low-grade UTUC and/or recurrent low-grade intermediate risk NMIBC;</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pharmacies are closed or suffering staff shortages or supply chain disruptions;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98" w:lineRule="exact"/>
        <w:rPr>
          <w:rFonts w:ascii="Arial" w:cs="Arial" w:eastAsia="Arial" w:hAnsi="Arial"/>
          <w:sz w:val="18"/>
          <w:szCs w:val="18"/>
          <w:color w:val="auto"/>
        </w:rPr>
      </w:pPr>
    </w:p>
    <w:p>
      <w:pPr>
        <w:ind w:left="380" w:right="260" w:hanging="318"/>
        <w:spacing w:after="0" w:line="271"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as a result of general disruptions in the operations of payors, distributors, logistics providers and other third parties that are necessary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to be prescribed, reconstituted, instilled and reimbursed.</w:t>
      </w:r>
    </w:p>
    <w:p>
      <w:pPr>
        <w:spacing w:after="0" w:line="142"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The market opportunities for Jelmyto, Zusduri and our product candidates may be smaller than we anticipate or limited to those patients who are ineligible for established therapies or for whom prior therapies have failed and may be small.*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believe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may provide an alternative to surgery as the standard of care for adults with recurrent low-grade intermediate risk NMIBC. However, the market opportunity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may be smaller than we anticipate or limited to those patients who are ineligible for established therapies or for whom prior therapies have failed. Our other or future product candidates, including UGN-103, UGN-104 and UGN-501 may face similar risks.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For instance, our pivotal Phase 3 clinical trial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was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renal pelvis (the funnel-like dilated part of the ureter in the kidney) and was not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ureter (the tube that connects the kidneys to the bladder). Even though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approved for the treatment of low-grade UTUC, some physicians have chosen, and physicians may choose in the future, to only use it to treat tumors in the renal pelvis and not tumors in the ureter, which would limit the degree of physician adoption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Even if we obtain significant market share, because the potential target populations are small, we may never achieve profitability without obtaining regulatory approval for additional indications, including the use of the products as first- or second-line therapy. For example, low-grade UTUC is a rare malignant tumor of the cells lining the urinary tract and there is limited scientific literature or other research on the incidence and prevalence of low-grade UTUC. If our estimates of the incidence and prevalence of low-grade UTUC are incorrect, </w:t>
      </w:r>
      <w:r>
        <w:rPr>
          <w:rFonts w:ascii="Arial" w:cs="Arial" w:eastAsia="Arial" w:hAnsi="Arial"/>
          <w:sz w:val="18"/>
          <w:szCs w:val="18"/>
          <w:i w:val="1"/>
          <w:iCs w:val="1"/>
          <w:color w:val="auto"/>
        </w:rPr>
        <w:t>Jelmyto</w:t>
      </w:r>
      <w:r>
        <w:rPr>
          <w:rFonts w:ascii="Arial" w:cs="Arial" w:eastAsia="Arial" w:hAnsi="Arial"/>
          <w:sz w:val="18"/>
          <w:szCs w:val="18"/>
          <w:color w:val="auto"/>
        </w:rPr>
        <w:t>’s commercial viability may prove to be limited, which may negatively affect our financial results.</w:t>
      </w:r>
    </w:p>
    <w:p>
      <w:pPr>
        <w:spacing w:after="0" w:line="174"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Jelmyto, Zusduri and any of our product candidates that receive regulatory approval may fail to achieve the broad degree of physician adoption and use and market acceptance necessary for commercial success.</w:t>
      </w:r>
    </w:p>
    <w:p>
      <w:pPr>
        <w:spacing w:after="0" w:line="12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 xml:space="preserve">The commercial success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product candidates that receive regulatory approval will depend significantly on their broad adoption and use by physicians for approved indications, including, in the case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adults with low-grade UTUC, and in the case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the treatment of adults with recurrent low-grade intermediate risk NMIBC, and for other therapeutic indications that we may seek to pursue with any of our product candidates. Physicians treating low-grade UTUC and recurrent low-grade intermediate risk NMIBC have never had to consider treatments other than surgery. The degree and rate of physician and patient adoption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any of our product candidates, if approved, will depend on a number of factors, including:</w:t>
      </w:r>
    </w:p>
    <w:p>
      <w:pPr>
        <w:spacing w:after="0" w:line="165" w:lineRule="exact"/>
        <w:rPr>
          <w:sz w:val="20"/>
          <w:szCs w:val="20"/>
          <w:color w:val="auto"/>
        </w:rPr>
      </w:pPr>
    </w:p>
    <w:p>
      <w:pPr>
        <w:ind w:left="380" w:hanging="318"/>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3" w:lineRule="exact"/>
        <w:rPr>
          <w:rFonts w:ascii="Arial" w:cs="Arial" w:eastAsia="Arial" w:hAnsi="Arial"/>
          <w:sz w:val="18"/>
          <w:szCs w:val="18"/>
          <w:color w:val="auto"/>
        </w:rPr>
      </w:pPr>
    </w:p>
    <w:p>
      <w:pPr>
        <w:ind w:left="38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safety and efficacy data from the clinical trial(s) supporting the approved clinical indications;</w:t>
      </w:r>
    </w:p>
    <w:p>
      <w:pPr>
        <w:ind w:left="380" w:right="12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approved labeling and packaging for our products, including the degree of product preparation and administration convenience and ease of use that is afforded to physicians by the approved labeling and product packaging;</w:t>
      </w:r>
    </w:p>
    <w:p>
      <w:pPr>
        <w:spacing w:after="0" w:line="1" w:lineRule="exact"/>
        <w:rPr>
          <w:rFonts w:ascii="Arial" w:cs="Arial" w:eastAsia="Arial" w:hAnsi="Arial"/>
          <w:sz w:val="18"/>
          <w:szCs w:val="18"/>
          <w:color w:val="auto"/>
        </w:rPr>
      </w:pPr>
    </w:p>
    <w:p>
      <w:pPr>
        <w:ind w:left="38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and the level of benefit/risk observed in our clinical trials;</w:t>
      </w:r>
    </w:p>
    <w:p>
      <w:pPr>
        <w:ind w:left="380" w:right="44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patient satisfaction with the results and administration of our products and overall treatment experience, including relative convenience, ease of use and avoidance of, or reduction in, adverse side effects;</w:t>
      </w:r>
    </w:p>
    <w:p>
      <w:pPr>
        <w:spacing w:after="0" w:line="1" w:lineRule="exact"/>
        <w:rPr>
          <w:rFonts w:ascii="Arial" w:cs="Arial" w:eastAsia="Arial" w:hAnsi="Arial"/>
          <w:sz w:val="18"/>
          <w:szCs w:val="18"/>
          <w:color w:val="auto"/>
        </w:rPr>
      </w:pPr>
    </w:p>
    <w:p>
      <w:pPr>
        <w:ind w:left="38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patients;</w:t>
      </w:r>
    </w:p>
    <w:p>
      <w:pPr>
        <w:ind w:left="380" w:right="64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physicians’ and patients’ willingness to adopt new therapies in lieu of other products or treatments, including willingness to adopt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and</w:t>
      </w:r>
      <w:r>
        <w:rPr>
          <w:rFonts w:ascii="Arial" w:cs="Arial" w:eastAsia="Arial" w:hAnsi="Arial"/>
          <w:sz w:val="18"/>
          <w:szCs w:val="18"/>
          <w:i w:val="1"/>
          <w:iCs w:val="1"/>
          <w:color w:val="auto"/>
        </w:rPr>
        <w:t xml:space="preserve"> Zusduri </w:t>
      </w:r>
      <w:r>
        <w:rPr>
          <w:rFonts w:ascii="Arial" w:cs="Arial" w:eastAsia="Arial" w:hAnsi="Arial"/>
          <w:sz w:val="18"/>
          <w:szCs w:val="18"/>
          <w:color w:val="auto"/>
        </w:rPr>
        <w:t>as locally-administered drug replacements to current surgical standards of care;</w:t>
      </w:r>
    </w:p>
    <w:p>
      <w:pPr>
        <w:spacing w:after="0" w:line="1" w:lineRule="exact"/>
        <w:rPr>
          <w:rFonts w:ascii="Arial" w:cs="Arial" w:eastAsia="Arial" w:hAnsi="Arial"/>
          <w:sz w:val="18"/>
          <w:szCs w:val="18"/>
          <w:color w:val="auto"/>
        </w:rPr>
      </w:pPr>
    </w:p>
    <w:p>
      <w:pPr>
        <w:ind w:left="380" w:right="64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safety and efficacy of our products in relation to alternative treatments, including the recurrence rate of our treatments;</w:t>
      </w:r>
    </w:p>
    <w:p>
      <w:pPr>
        <w:spacing w:after="0" w:line="1" w:lineRule="exact"/>
        <w:rPr>
          <w:rFonts w:ascii="Arial" w:cs="Arial" w:eastAsia="Arial" w:hAnsi="Arial"/>
          <w:sz w:val="18"/>
          <w:szCs w:val="18"/>
          <w:color w:val="auto"/>
        </w:rPr>
      </w:pPr>
    </w:p>
    <w:p>
      <w:pPr>
        <w:ind w:left="380" w:right="18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costs of our products are covered and reimbursed by third-party payors, including the availability of a physician reimbursement code for our treatments, and patients’ willingness to pay for our products;</w:t>
      </w:r>
    </w:p>
    <w:p>
      <w:pPr>
        <w:spacing w:after="0" w:line="1" w:lineRule="exact"/>
        <w:rPr>
          <w:rFonts w:ascii="Arial" w:cs="Arial" w:eastAsia="Arial" w:hAnsi="Arial"/>
          <w:sz w:val="18"/>
          <w:szCs w:val="18"/>
          <w:color w:val="auto"/>
        </w:rPr>
      </w:pPr>
    </w:p>
    <w:p>
      <w:pPr>
        <w:jc w:val="both"/>
        <w:ind w:left="380" w:right="20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whether treatment with our products, including the treatment of low-grade UTUC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treatment of adult patients with recurrent low-grade intermediate risk NMIBC with </w:t>
      </w:r>
      <w:r>
        <w:rPr>
          <w:rFonts w:ascii="Arial" w:cs="Arial" w:eastAsia="Arial" w:hAnsi="Arial"/>
          <w:sz w:val="18"/>
          <w:szCs w:val="18"/>
          <w:i w:val="1"/>
          <w:iCs w:val="1"/>
          <w:color w:val="auto"/>
        </w:rPr>
        <w:t>Zusduri</w:t>
      </w:r>
      <w:r>
        <w:rPr>
          <w:rFonts w:ascii="Arial" w:cs="Arial" w:eastAsia="Arial" w:hAnsi="Arial"/>
          <w:sz w:val="18"/>
          <w:szCs w:val="18"/>
          <w:color w:val="auto"/>
        </w:rPr>
        <w:t>, will be deemed to be an elective procedure by third- party payors; if so, the cost of treatment would be borne by the patient and would be less likely to be broadly adopted;</w:t>
      </w:r>
    </w:p>
    <w:p>
      <w:pPr>
        <w:spacing w:after="0" w:line="2" w:lineRule="exact"/>
        <w:rPr>
          <w:rFonts w:ascii="Arial" w:cs="Arial" w:eastAsia="Arial" w:hAnsi="Arial"/>
          <w:sz w:val="18"/>
          <w:szCs w:val="18"/>
          <w:color w:val="auto"/>
        </w:rPr>
      </w:pPr>
    </w:p>
    <w:p>
      <w:pPr>
        <w:ind w:left="380" w:right="6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proper education of physicians or nurses for the skillful administration of our approved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development of a broad experiential knowledge base of aggregated clinician feedback from which we can refine appropriate procedures for product administration, without which there could be a risk of adverse events;</w:t>
      </w:r>
    </w:p>
    <w:p>
      <w:pPr>
        <w:spacing w:after="0" w:line="2" w:lineRule="exact"/>
        <w:rPr>
          <w:rFonts w:ascii="Arial" w:cs="Arial" w:eastAsia="Arial" w:hAnsi="Arial"/>
          <w:sz w:val="18"/>
          <w:szCs w:val="18"/>
          <w:color w:val="auto"/>
        </w:rPr>
      </w:pPr>
    </w:p>
    <w:p>
      <w:pPr>
        <w:ind w:left="380" w:right="60" w:hanging="318"/>
        <w:spacing w:after="0" w:line="23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especially the success of any targeted marketing efforts directed toward physicians and clinics and any direct-to-consumer marketing efforts we may initiate; and</w:t>
      </w:r>
    </w:p>
    <w:p>
      <w:pPr>
        <w:spacing w:after="0" w:line="1" w:lineRule="exact"/>
        <w:rPr>
          <w:rFonts w:ascii="Arial" w:cs="Arial" w:eastAsia="Arial" w:hAnsi="Arial"/>
          <w:sz w:val="18"/>
          <w:szCs w:val="18"/>
          <w:color w:val="auto"/>
        </w:rPr>
      </w:pPr>
    </w:p>
    <w:p>
      <w:pPr>
        <w:ind w:left="380" w:hanging="318"/>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clinical practice guidelines.</w:t>
      </w:r>
    </w:p>
    <w:p>
      <w:pPr>
        <w:spacing w:after="0" w:line="18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any of our product candidates that are approved for use fail to achieve the broad degree of physician adoption and market acceptance necessary for commercial success, our operating results and financial condition would be adversely affected.</w:t>
      </w:r>
    </w:p>
    <w:p>
      <w:pPr>
        <w:spacing w:after="0" w:line="14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Jelmyto, Zusduri and our product candidates, if approved, will face significant competition with competing technologies and our failure to compete effectively may prevent us from achieving significant market penetration.*</w:t>
      </w:r>
    </w:p>
    <w:p>
      <w:pPr>
        <w:spacing w:after="0" w:line="12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biotechnology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ectPr>
          <w:pgSz w:w="11900" w:h="16838" w:orient="portrait"/>
          <w:cols w:equalWidth="0" w:num="1">
            <w:col w:w="11200"/>
          </w:cols>
          <w:pgMar w:left="320" w:top="121" w:right="37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aware of several pharmaceutical companies that are developing drugs in the general fields of urology and uro-oncology, such as AstraZeneca, Aura Biosciences., Bristol Myers Squibb, CG Oncology, enGene Holdings, Ferring Pharmaceuticals, Fidia Pharmaceuticals, GSK, ImmunityBio, ImmVira, ImPact Biotech, Johnson &amp; Johnson, LIPAC Oncology, Merck, Pfizer, Prokarium, Protara Therapeutics, Relmada Therapeutics, Roche, Samyang Biopharma, Sustained Therapeutics, SURGE Therapeutics, Theralase Technologies, Trigone Pharma, Tyra Biosciences, and Vyriad. We are aware of the FDA's approval of treatments such as Ferring Pharmaceuticals' Adstiladrin, which was approved by the FDA for the treatment of high-risk BCG-unresponsive NMIBC in 2022, and Johnson &amp; Johnson's INLEXZO, which was approved by the FDA the treatment of adult patients with BCG-unresponsive NMIBC with carcinoma in situ, with or without papillary tumors in September 2025. We are also aware there are companies among this list conducting clinical trials in various phases in the same indications in which we are developing products. In addition, we received from Teva a Paragraph IV Certification Notice Letter</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 xml:space="preserve">in February 2024, providing notification that Teva has submitted an ANDA to the FDA seeking approval to manufacture, use or sell a generic version of </w:t>
      </w:r>
      <w:r>
        <w:rPr>
          <w:rFonts w:ascii="Arial" w:cs="Arial" w:eastAsia="Arial" w:hAnsi="Arial"/>
          <w:sz w:val="18"/>
          <w:szCs w:val="18"/>
          <w:i w:val="1"/>
          <w:iCs w:val="1"/>
          <w:color w:val="auto"/>
        </w:rPr>
        <w:t>Jelmyto</w:t>
      </w:r>
      <w:r>
        <w:rPr>
          <w:rFonts w:ascii="Arial" w:cs="Arial" w:eastAsia="Arial" w:hAnsi="Arial"/>
          <w:sz w:val="18"/>
          <w:szCs w:val="18"/>
          <w:color w:val="auto"/>
        </w:rPr>
        <w:t>. See Part II, Item 1. “Legal Proceedings” for additional discussion. If we are unable to maintain patent protection</w:t>
      </w:r>
    </w:p>
    <w:p>
      <w:pPr>
        <w:spacing w:after="0" w:line="1" w:lineRule="exact"/>
        <w:rPr>
          <w:sz w:val="20"/>
          <w:szCs w:val="20"/>
          <w:color w:val="auto"/>
        </w:rPr>
      </w:pPr>
    </w:p>
    <w:p>
      <w:pPr>
        <w:ind w:right="1040"/>
        <w:spacing w:after="0" w:line="250"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Jelmyto, Jelmyto</w:t>
      </w:r>
      <w:r>
        <w:rPr>
          <w:rFonts w:ascii="Arial" w:cs="Arial" w:eastAsia="Arial" w:hAnsi="Arial"/>
          <w:sz w:val="18"/>
          <w:szCs w:val="18"/>
          <w:color w:val="auto"/>
        </w:rPr>
        <w:t xml:space="preserve"> may be subject to immediate competition from FDA-approved generic entrants after orphan drug exclusivity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expires in April 2027.</w:t>
      </w:r>
    </w:p>
    <w:p>
      <w:pPr>
        <w:spacing w:after="0" w:line="15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Additionally,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products that are more effective, easier to administer or less costly than our product candidates.</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addition, we face competition from existing standards of treatment, surgical tumor resection procedures. If we are not able to demonstrate that our product candidates are at least as safe and effective as such courses of treatment, medical professionals may not adopt our product candidates in replacement of the existing standard of care. Generic mitomycin injectable drug products, while approved by FDA for gastric and pancreatic cancers, are neither approved for low-grade UTUC nor reconstituted with hydrogel in an FDA-approved product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although they may be used off-label by physicians for the treatment of low-grade UTUC, as they have been prior to the approval</w:t>
      </w:r>
    </w:p>
    <w:p>
      <w:pPr>
        <w:spacing w:after="0" w:line="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Similarly, generic mitomycin injectable drug products have not been approved for the treatment of low-grade intermediate risk NMIBC, nor reconstituted with hydrogel in an FDA-approved product such as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although they may be used off-label by physicians for the treatment of low-grade intermediate risk NMIBC as they have been prior to the approval of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6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b w:val="1"/>
          <w:bCs w:val="1"/>
          <w:i w:val="1"/>
          <w:iCs w:val="1"/>
          <w:color w:val="auto"/>
        </w:rPr>
        <w:t>Our ability to market Jelmyto, Zusduri and any of our product candidates that receive regulatory approval is and will be limited to certain indications. If we want to expand the indications for which we may market our products, we will need to obtain additional regulatory approvals, which may not be granted.*</w:t>
      </w:r>
    </w:p>
    <w:p>
      <w:pPr>
        <w:spacing w:after="0" w:line="14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indicated for adult patients with low-grade UTUC and</w:t>
      </w:r>
      <w:r>
        <w:rPr>
          <w:rFonts w:ascii="Arial" w:cs="Arial" w:eastAsia="Arial" w:hAnsi="Arial"/>
          <w:sz w:val="18"/>
          <w:szCs w:val="18"/>
          <w:i w:val="1"/>
          <w:iCs w:val="1"/>
          <w:color w:val="auto"/>
        </w:rPr>
        <w:t xml:space="preserve"> Zusduri </w:t>
      </w:r>
      <w:r>
        <w:rPr>
          <w:rFonts w:ascii="Arial" w:cs="Arial" w:eastAsia="Arial" w:hAnsi="Arial"/>
          <w:sz w:val="18"/>
          <w:szCs w:val="18"/>
          <w:color w:val="auto"/>
        </w:rPr>
        <w:t>is indicated for adult patients with recurrent low-grade intermediate</w:t>
      </w:r>
      <w:r>
        <w:rPr>
          <w:rFonts w:ascii="Arial" w:cs="Arial" w:eastAsia="Arial" w:hAnsi="Arial"/>
          <w:sz w:val="18"/>
          <w:szCs w:val="18"/>
          <w:i w:val="1"/>
          <w:iCs w:val="1"/>
          <w:color w:val="auto"/>
        </w:rPr>
        <w:t xml:space="preserve"> </w:t>
      </w:r>
      <w:r>
        <w:rPr>
          <w:rFonts w:ascii="Arial" w:cs="Arial" w:eastAsia="Arial" w:hAnsi="Arial"/>
          <w:sz w:val="18"/>
          <w:szCs w:val="18"/>
          <w:color w:val="auto"/>
        </w:rPr>
        <w:t>risk NMIBC. We are currently developing UGN-103, UGN-104 and UGN-501 for the treatment of various forms of urothelial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found to have improperly promoted off-label uses of Jelmyto, Zusduri or any of our product candidates that</w:t>
      </w:r>
    </w:p>
    <w:p>
      <w:pPr>
        <w:spacing w:after="0" w:line="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receive regulatory approval,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and may not be promoted based on overstated efficacy or omission of important safety information. For example, we cannot promote the use of our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a manner that is inconsistent with the approved labels, but we are permitted to share truthful and non-misleading information that is otherwise consistent with the product’s FDA-approved labeling. However, physicians are able, in their independent medical judgment, to use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7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Physicians may also misuse our products or devices and administration kit components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In addition, while we have established product liability insurance relating to our commercialization</w:t>
      </w:r>
    </w:p>
    <w:p>
      <w:pPr>
        <w:spacing w:after="0" w:line="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there can be no assurance that we will be able to maintain this insurance on commercially reasonable terms or that this insurance will be sufficient. Furthermore, the use of our products for conditions other than those approved by the FDA may not effectively treat such conditions, which could harm our reputation in the marketplace among physicians and patients.</w:t>
      </w:r>
    </w:p>
    <w:p>
      <w:pPr>
        <w:sectPr>
          <w:pgSz w:w="11900" w:h="16838" w:orient="portrait"/>
          <w:cols w:equalWidth="0" w:num="1">
            <w:col w:w="11220"/>
          </w:cols>
          <w:pgMar w:left="320" w:top="121" w:right="359"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are dependent on the success of Jelmyto, Zusduri and our product candidates, including obtaining regulatory approval to market our product candidates in the United States.*</w:t>
      </w:r>
    </w:p>
    <w:p>
      <w:pPr>
        <w:spacing w:after="0" w:line="1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demonstrates the safety and efficacy of the product for the intended indication. Other than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all of our product candidates remain in clinical development and have not yet received regulatory approval from the FDA or any other regulatory agency in the United States or any other country. Our business depends upon obtaining these regulatory approvals and the success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Only a limited number of drugs have been approved by the FDA as adjuvant treatment for BCG-unresponsive NMIBC. The FDA can delay, limit or deny approval of our product candidates for many reasons.</w:t>
      </w:r>
    </w:p>
    <w:p>
      <w:pPr>
        <w:spacing w:after="0" w:line="16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success of our product candidates is subject to significant risks, including risks associated with successfully completing current and future clinical trials, such as:</w:t>
      </w:r>
    </w:p>
    <w:p>
      <w:pPr>
        <w:spacing w:after="0" w:line="140" w:lineRule="exact"/>
        <w:rPr>
          <w:sz w:val="20"/>
          <w:szCs w:val="20"/>
          <w:color w:val="auto"/>
        </w:rPr>
      </w:pPr>
    </w:p>
    <w:p>
      <w:pPr>
        <w:jc w:val="both"/>
        <w:ind w:left="380" w:right="160" w:hanging="318"/>
        <w:spacing w:after="0" w:line="24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acceptance of our parameters for regulatory approval relating to our product candidates, including our proposed indications, primary and secondary endpoint assessments and measurements, safety evaluations and regulatory pathways, and proposed labeling and packaging;</w:t>
      </w:r>
    </w:p>
    <w:p>
      <w:pPr>
        <w:spacing w:after="0" w:line="1" w:lineRule="exact"/>
        <w:rPr>
          <w:rFonts w:ascii="Arial" w:cs="Arial" w:eastAsia="Arial" w:hAnsi="Arial"/>
          <w:sz w:val="18"/>
          <w:szCs w:val="18"/>
          <w:color w:val="auto"/>
        </w:rPr>
      </w:pPr>
    </w:p>
    <w:p>
      <w:pPr>
        <w:ind w:left="380" w:right="10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complete the FDA requirements related to CMC for our product candidates, and if completed, their sufficiency to support an NDA;</w:t>
      </w:r>
    </w:p>
    <w:p>
      <w:pPr>
        <w:spacing w:after="0" w:line="1" w:lineRule="exact"/>
        <w:rPr>
          <w:rFonts w:ascii="Arial" w:cs="Arial" w:eastAsia="Arial" w:hAnsi="Arial"/>
          <w:sz w:val="18"/>
          <w:szCs w:val="18"/>
          <w:color w:val="auto"/>
        </w:rPr>
      </w:pPr>
    </w:p>
    <w:p>
      <w:pPr>
        <w:ind w:left="380" w:right="92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timely acceptance of our INDs, for our product candidates and our inability to commence clinical trials in the United States without such IND acceptances;</w:t>
      </w:r>
    </w:p>
    <w:p>
      <w:pPr>
        <w:spacing w:after="0" w:line="1" w:lineRule="exact"/>
        <w:rPr>
          <w:rFonts w:ascii="Arial" w:cs="Arial" w:eastAsia="Arial" w:hAnsi="Arial"/>
          <w:sz w:val="18"/>
          <w:szCs w:val="18"/>
          <w:color w:val="auto"/>
        </w:rPr>
      </w:pPr>
    </w:p>
    <w:p>
      <w:pPr>
        <w:ind w:left="380" w:right="30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acceptance of the design, size, conduct and implementation of our clinical trials, our trial protocols and the interpretation of data from nonclinical studies or clinical trials;</w:t>
      </w:r>
    </w:p>
    <w:p>
      <w:pPr>
        <w:spacing w:after="0" w:line="1" w:lineRule="exact"/>
        <w:rPr>
          <w:rFonts w:ascii="Arial" w:cs="Arial" w:eastAsia="Arial" w:hAnsi="Arial"/>
          <w:sz w:val="18"/>
          <w:szCs w:val="18"/>
          <w:color w:val="auto"/>
        </w:rPr>
      </w:pPr>
    </w:p>
    <w:p>
      <w:pPr>
        <w:ind w:left="380" w:right="1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acceptance of the population studied in our clinical trials being sufficiently large, broad and representative to assess efficacy and safety in the patient population for which we seek approval;</w:t>
      </w:r>
    </w:p>
    <w:p>
      <w:pPr>
        <w:spacing w:after="0" w:line="1" w:lineRule="exact"/>
        <w:rPr>
          <w:rFonts w:ascii="Arial" w:cs="Arial" w:eastAsia="Arial" w:hAnsi="Arial"/>
          <w:sz w:val="18"/>
          <w:szCs w:val="18"/>
          <w:color w:val="auto"/>
        </w:rPr>
      </w:pPr>
    </w:p>
    <w:p>
      <w:pPr>
        <w:ind w:left="380" w:right="6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1" w:lineRule="exact"/>
        <w:rPr>
          <w:rFonts w:ascii="Arial" w:cs="Arial" w:eastAsia="Arial" w:hAnsi="Arial"/>
          <w:sz w:val="18"/>
          <w:szCs w:val="18"/>
          <w:color w:val="auto"/>
        </w:rPr>
      </w:pPr>
    </w:p>
    <w:p>
      <w:pPr>
        <w:ind w:left="380" w:right="8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demonstrate meaningful clinical or other benefits which outweigh any safety or other perceived risks, through the completion of our clinical trials for our product candidates;</w:t>
      </w:r>
    </w:p>
    <w:p>
      <w:pPr>
        <w:spacing w:after="0" w:line="1" w:lineRule="exact"/>
        <w:rPr>
          <w:rFonts w:ascii="Arial" w:cs="Arial" w:eastAsia="Arial" w:hAnsi="Arial"/>
          <w:sz w:val="18"/>
          <w:szCs w:val="18"/>
          <w:color w:val="auto"/>
        </w:rPr>
      </w:pPr>
    </w:p>
    <w:p>
      <w:pPr>
        <w:ind w:left="380" w:right="160" w:hanging="318"/>
        <w:spacing w:after="0" w:line="248"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applicable, the recommendation of the FDA’s advisory committee to approve our applications to market our product candidates in the United States, without limiting the approved labeling, specifications, distribution or use of the products, or imposing other restrictions;</w:t>
      </w:r>
    </w:p>
    <w:p>
      <w:pPr>
        <w:spacing w:after="0" w:line="1" w:lineRule="exact"/>
        <w:rPr>
          <w:rFonts w:ascii="Arial" w:cs="Arial" w:eastAsia="Arial" w:hAnsi="Arial"/>
          <w:sz w:val="17"/>
          <w:szCs w:val="17"/>
          <w:color w:val="auto"/>
        </w:rPr>
      </w:pP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determination of safety and efficacy of our product candidates;</w:t>
      </w: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determination that the Section 505(b)(2) of the Federal Food, Drug and Cosmetic Act ("FDCA") regulatory pathway (“505(b)</w:t>
      </w:r>
    </w:p>
    <w:p>
      <w:pPr>
        <w:ind w:left="380"/>
        <w:spacing w:after="0" w:line="234" w:lineRule="auto"/>
        <w:rPr>
          <w:rFonts w:ascii="Arial" w:cs="Arial" w:eastAsia="Arial" w:hAnsi="Arial"/>
          <w:sz w:val="18"/>
          <w:szCs w:val="18"/>
          <w:color w:val="auto"/>
        </w:rPr>
      </w:pPr>
      <w:r>
        <w:rPr>
          <w:rFonts w:ascii="Arial" w:cs="Arial" w:eastAsia="Arial" w:hAnsi="Arial"/>
          <w:sz w:val="18"/>
          <w:szCs w:val="18"/>
          <w:color w:val="auto"/>
        </w:rPr>
        <w:t>(2)”) is available for our product candidates;</w:t>
      </w: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product candidates;</w:t>
      </w: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and satisfactory performance by third-party contractors of their obligations in relation to our clinical trials;</w:t>
      </w:r>
    </w:p>
    <w:p>
      <w:pPr>
        <w:ind w:left="380" w:right="82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risks, administration and use of our product candidates, if approved;</w:t>
      </w:r>
    </w:p>
    <w:p>
      <w:pPr>
        <w:spacing w:after="0" w:line="1" w:lineRule="exact"/>
        <w:rPr>
          <w:rFonts w:ascii="Arial" w:cs="Arial" w:eastAsia="Arial" w:hAnsi="Arial"/>
          <w:sz w:val="18"/>
          <w:szCs w:val="18"/>
          <w:color w:val="auto"/>
        </w:rPr>
      </w:pPr>
    </w:p>
    <w:p>
      <w:pPr>
        <w:ind w:left="380" w:right="56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safety and efficacy of alternative and competing treatments for the indications addressed by our product candidates;</w:t>
      </w:r>
    </w:p>
    <w:p>
      <w:pPr>
        <w:spacing w:after="0" w:line="1" w:lineRule="exact"/>
        <w:rPr>
          <w:rFonts w:ascii="Arial" w:cs="Arial" w:eastAsia="Arial" w:hAnsi="Arial"/>
          <w:sz w:val="18"/>
          <w:szCs w:val="18"/>
          <w:color w:val="auto"/>
        </w:rPr>
      </w:pP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as well as that of any current and future licensees;</w:t>
      </w:r>
    </w:p>
    <w:p>
      <w:pPr>
        <w:ind w:left="380" w:right="14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acceptance of the quality of our drug substance or drug product, formulation, labeling, packaging, or the specifications of our product candidates is sufficient for approval;</w:t>
      </w:r>
    </w:p>
    <w:p>
      <w:pPr>
        <w:spacing w:after="0" w:line="1" w:lineRule="exact"/>
        <w:rPr>
          <w:rFonts w:ascii="Arial" w:cs="Arial" w:eastAsia="Arial" w:hAnsi="Arial"/>
          <w:sz w:val="18"/>
          <w:szCs w:val="18"/>
          <w:color w:val="auto"/>
        </w:rPr>
      </w:pP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validate and maintain a commercially viable manufacturing process that is compliant with cGMP;</w:t>
      </w: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acceptance of the manufacturing processes or facilities of third-party manufacturers with which we contract;</w:t>
      </w: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secure supplies for our product candidates to support clinical trials and commercial use;</w:t>
      </w:r>
    </w:p>
    <w:p>
      <w:pPr>
        <w:ind w:left="380" w:right="64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ability to manufacture or secure active ingredient, </w:t>
      </w:r>
      <w:r>
        <w:rPr>
          <w:rFonts w:ascii="Arial" w:cs="Arial" w:eastAsia="Arial" w:hAnsi="Arial"/>
          <w:sz w:val="18"/>
          <w:szCs w:val="18"/>
          <w:i w:val="1"/>
          <w:iCs w:val="1"/>
          <w:color w:val="auto"/>
        </w:rPr>
        <w:t>RTGel</w:t>
      </w:r>
      <w:r>
        <w:rPr>
          <w:rFonts w:ascii="Arial" w:cs="Arial" w:eastAsia="Arial" w:hAnsi="Arial"/>
          <w:sz w:val="18"/>
          <w:szCs w:val="18"/>
          <w:color w:val="auto"/>
        </w:rPr>
        <w:t xml:space="preserve"> hydrogel, and finished product from third-party suppliers for product candidates, including UGN-103 and UGN-104, if approved;</w:t>
      </w:r>
    </w:p>
    <w:p>
      <w:pPr>
        <w:spacing w:after="0" w:line="1" w:lineRule="exact"/>
        <w:rPr>
          <w:rFonts w:ascii="Arial" w:cs="Arial" w:eastAsia="Arial" w:hAnsi="Arial"/>
          <w:sz w:val="18"/>
          <w:szCs w:val="18"/>
          <w:color w:val="auto"/>
        </w:rPr>
      </w:pP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with respect to our product candidates;</w:t>
      </w:r>
    </w:p>
    <w:p>
      <w:pPr>
        <w:ind w:left="380" w:hanging="318"/>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the costs of our products, once approved, are covered and reimbursed by third-party payors, including the availability of a physician reimbursement code for our treatments, and patients’ willingness to pay for our products; and</w:t>
      </w:r>
    </w:p>
    <w:p>
      <w:pPr>
        <w:spacing w:after="0" w:line="1" w:lineRule="exact"/>
        <w:rPr>
          <w:rFonts w:ascii="Arial" w:cs="Arial" w:eastAsia="Arial" w:hAnsi="Arial"/>
          <w:sz w:val="18"/>
          <w:szCs w:val="18"/>
          <w:color w:val="auto"/>
        </w:rPr>
      </w:pPr>
    </w:p>
    <w:p>
      <w:pPr>
        <w:ind w:left="380" w:right="240" w:hanging="318"/>
        <w:spacing w:after="0" w:line="242"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properly educate physicians or nurses for the skillful preparation and administration of any of our product candidates that receive approval and our ability to develop a broad experiential knowledge base of aggregated clinician feedback from which we can refine appropriate procedures for product administration, without which there could be a risk of adverse events.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Many of these clinical, regulatory and commercial risks are beyond our control. Further, these risks and uncertainties impact all of our clinical programs that we pursue and may be amplified by pandemics, epidemics or public health emergencies, as described below. Accordingly, we cannot assure you that we will be able to advance any more of our product candidates through clinical development, or to obtain additional regulatory approval of any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 Even if we receive approval of any of the product candidates in our pipeline or future product candidates, there is no assurance that we will be able to successfully commercialize any of them.</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becomes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preliminary data we previously published. As a result, topline or preliminary data should be viewed with caution until the final data are available. In addition, we may report interim analyses of only certain endpoints rather than all endpoints. Interim data from clinical trials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Publications based on interim data may differ from FDA approved product labeling.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“Risks Related to Ownership of our Ordinary Shares” for additional disclosures related to the risk of volatility in the price of our ordinary shares.</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continue to commercialize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to obtain approval for, and commercialize any product candidate may be harmed, which could harm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obtaining approval for product candidates and may be unable to do so successfully.</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a company, we have limited experience in conducting clinical trials and have progressed only two product candidates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173"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auto"/>
        </w:rPr>
        <w:t>We have not yet submitted NDAs for certain product candidates in our pipeline, and we may be delayed in obtaining, or fail to obtain, such regulatory approvals and to commercialize our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nonclinical and clinical data that demonstrates the safety and efficacy of the product for the intended indication.</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Before we can submit an NDA to the FDA or comparable similar applications to foreign regulatory authorities, we must conduct Phase 3 clinical trials, or a pivotal/registration trial equivalent, for each product candidate. After submission of an NDA, the FDA may raise additional questions on any data contained in the application. These questions may come in the form of information requests or in the NDA 74-day letter as review issues. We must address these questions during the review, but we do not know whether our responses will be acceptable to the FDA. We cannot assure you that the FDA will not decide to require us to perform additional clinical trials before approving, or as a condition of approving, NDAs for our product candidates.</w:t>
      </w:r>
    </w:p>
    <w:p>
      <w:pPr>
        <w:spacing w:after="0" w:line="16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nonclinical,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If any of these outcomes occur, we may not receive regulatory approval for the corresponding product candidates, and our business would not be able to generate revenue from the sale of any such product candidates.</w:t>
      </w:r>
    </w:p>
    <w:p>
      <w:pPr>
        <w:spacing w:after="0" w:line="14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Disruptions to the operations of the FDA, the SEC and other government agencies, including as a result of changes in funding or personnel,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5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Disruptions at the FDA, including substantial leadership departures, personnel cuts, and policy changes,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In addition, there were significant staff reductions at the FDA and other federal agencies in 2025, which may impact the ability of the FDA to review and approve new products on targeted timelines or otherwise. If another prolonged government shutdown occurs or if the FDA experiences resource constraints,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There is substantial uncertainty as to whether and how the current administration will seek to modify or revise the requirements and policies of the FDA and other regulatory agencies with jurisdiction over our products and product candidates.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We may become negatively impacted by future governmental orders, regulations, policies or guidance, which could have a material adverse effect on our business.</w:t>
      </w:r>
    </w:p>
    <w:p>
      <w:pPr>
        <w:spacing w:after="0" w:line="18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may not be able to advance our nonclinical product candidates into clinical development and through regulatory approval and commercialization.*</w:t>
      </w:r>
    </w:p>
    <w:p>
      <w:pPr>
        <w:spacing w:after="0" w:line="12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Certain of our product candidates are currently in nonclinical development and are therefore currently subject to the risks associated with nonclinical development, including the risks associated with:</w:t>
      </w:r>
    </w:p>
    <w:p>
      <w:pPr>
        <w:spacing w:after="0" w:line="140" w:lineRule="exact"/>
        <w:rPr>
          <w:sz w:val="20"/>
          <w:szCs w:val="20"/>
          <w:color w:val="auto"/>
        </w:rPr>
      </w:pPr>
    </w:p>
    <w:p>
      <w:pPr>
        <w:ind w:left="380" w:hanging="318"/>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generating adequate and sufficient nonclinical safety and efficacy data in a timely fashion to support the initiation of clinical trials;</w:t>
      </w:r>
    </w:p>
    <w:p>
      <w:pPr>
        <w:sectPr>
          <w:pgSz w:w="11900" w:h="16838" w:orient="portrait"/>
          <w:cols w:equalWidth="0" w:num="1">
            <w:col w:w="11240"/>
          </w:cols>
          <w:pgMar w:left="320" w:top="121" w:right="339" w:bottom="0" w:gutter="0" w:footer="0" w:header="0"/>
        </w:sectPr>
      </w:pPr>
    </w:p>
    <w:bookmarkStart w:id="57" w:name="page58"/>
    <w:bookmarkEnd w:id="57"/>
    <w:p>
      <w:pPr>
        <w:ind w:left="318" w:hanging="318"/>
        <w:spacing w:after="0"/>
        <w:tabs>
          <w:tab w:leader="none" w:pos="318"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regulatory approval to commence clinical trials in any jurisdiction, including the submission and acceptance of INDs;</w:t>
      </w:r>
    </w:p>
    <w:p>
      <w:pPr>
        <w:spacing w:after="0" w:line="209" w:lineRule="exact"/>
        <w:rPr>
          <w:rFonts w:ascii="Arial" w:cs="Arial" w:eastAsia="Arial" w:hAnsi="Arial"/>
          <w:sz w:val="17"/>
          <w:szCs w:val="17"/>
          <w:color w:val="auto"/>
        </w:rPr>
      </w:pPr>
    </w:p>
    <w:p>
      <w:pPr>
        <w:ind w:left="318" w:hanging="318"/>
        <w:spacing w:after="0"/>
        <w:tabs>
          <w:tab w:leader="none" w:pos="3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a clinical trial;</w:t>
      </w:r>
    </w:p>
    <w:p>
      <w:pPr>
        <w:spacing w:after="0" w:line="198" w:lineRule="exact"/>
        <w:rPr>
          <w:rFonts w:ascii="Arial" w:cs="Arial" w:eastAsia="Arial" w:hAnsi="Arial"/>
          <w:sz w:val="18"/>
          <w:szCs w:val="18"/>
          <w:color w:val="auto"/>
        </w:rPr>
      </w:pPr>
    </w:p>
    <w:p>
      <w:pPr>
        <w:ind w:left="318" w:hanging="318"/>
        <w:spacing w:after="0"/>
        <w:tabs>
          <w:tab w:leader="none" w:pos="3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 in a timely fashion, if at all; and</w:t>
      </w:r>
    </w:p>
    <w:p>
      <w:pPr>
        <w:spacing w:after="0" w:line="198" w:lineRule="exact"/>
        <w:rPr>
          <w:rFonts w:ascii="Arial" w:cs="Arial" w:eastAsia="Arial" w:hAnsi="Arial"/>
          <w:sz w:val="18"/>
          <w:szCs w:val="18"/>
          <w:color w:val="auto"/>
        </w:rPr>
      </w:pPr>
    </w:p>
    <w:p>
      <w:pPr>
        <w:ind w:left="318" w:hanging="318"/>
        <w:spacing w:after="0"/>
        <w:tabs>
          <w:tab w:leader="none" w:pos="3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manufacture of sufficient quantities of the product candidate for use in clinical trials.</w:t>
      </w:r>
    </w:p>
    <w:p>
      <w:pPr>
        <w:spacing w:after="0" w:line="212" w:lineRule="exact"/>
        <w:rPr>
          <w:sz w:val="20"/>
          <w:szCs w:val="20"/>
          <w:color w:val="auto"/>
        </w:rPr>
      </w:pPr>
    </w:p>
    <w:p>
      <w:pPr>
        <w:ind w:left="5458"/>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98"/>
          </w:cols>
          <w:pgMar w:left="382" w:top="323" w:right="1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These risks and uncertainties impact all of our nonclinical programs that we pursue. If we are unsuccessful in advancing our nonclinical product candidates into clinical trials in a timely fashion, our business may be harmed. Even if we are successful in advancing our nonclinical product candidates into clinical development, their success will be subject to all of the clinical, regulatory and commercial risks described elsewhere in this Quarterly Report and our other filings with the SEC. Accordingly, we cannot assure you that we will be able to develop, obtain regulatory approval for, commercialize or generate significant revenue from our product candidates.</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60" w:lineRule="exact"/>
        <w:rPr>
          <w:sz w:val="20"/>
          <w:szCs w:val="20"/>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to support the initiation or continuation of clinical trials;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in order to commence a trial;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98" w:lineRule="exact"/>
        <w:rPr>
          <w:rFonts w:ascii="Arial" w:cs="Arial" w:eastAsia="Arial" w:hAnsi="Arial"/>
          <w:sz w:val="18"/>
          <w:szCs w:val="18"/>
          <w:color w:val="auto"/>
        </w:rPr>
      </w:pPr>
    </w:p>
    <w:p>
      <w:pPr>
        <w:ind w:left="380" w:right="120" w:hanging="318"/>
        <w:spacing w:after="0" w:line="271"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("CROs") and clinical trial sites, and have such CROs and sites effect the proper and timely conduct of our clinical trials;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institutional review board ("IRB") approval at each clinical trial site;</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recruit, enroll and retain suitable patients to participate in a trial;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a sufficient number of patients enrolled, complete a trial or return for post-treatment follow-up;</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clinical investigators and clinical trial sites observe trial protocol or continue to participate in a trial;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a sufficient number of clinical trial sites;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manufacture sufficient quantities at the required quality of product candidate for use in clinical trials; or</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1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162"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b w:val="1"/>
          <w:bCs w:val="1"/>
          <w:i w:val="1"/>
          <w:iCs w:val="1"/>
          <w:color w:val="auto"/>
        </w:rPr>
        <w:t>Jelmyto, Zusduri or any of our product candidates may produce undesirable side effects that we may not have detected in our previous nonclinical studies and clinical trials or that are not expected with mitomycin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15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As with most pharmaceutical products,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our product candidates may be associated with side effects or adverse events that can vary in severity and frequency. Side effects or adverse events associated with the use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or any of our product candidates may be observed at any time, including in clinical trials or once a product is commercialized, and any such side effects or adverse events may negatively affect our ability to obtain regulatory approval or market our product candidates. To date, in our nonclinical</w:t>
      </w:r>
    </w:p>
    <w:p>
      <w:pPr>
        <w:ind w:right="200"/>
        <w:spacing w:after="0" w:line="237" w:lineRule="auto"/>
        <w:rPr>
          <w:sz w:val="20"/>
          <w:szCs w:val="20"/>
          <w:color w:val="auto"/>
        </w:rPr>
      </w:pPr>
      <w:r>
        <w:rPr>
          <w:rFonts w:ascii="Arial" w:cs="Arial" w:eastAsia="Arial" w:hAnsi="Arial"/>
          <w:sz w:val="18"/>
          <w:szCs w:val="18"/>
          <w:color w:val="auto"/>
        </w:rPr>
        <w:t xml:space="preserve">testing, Compassionate Use Program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clinical trials and post-marketing experience, we have observed several adverse events and SAEs, including ureteric obstruction, ureteral stenosis, inhibition of urine flow, rash, flank pain, kidney swelling, kidney infection, renal dysfunction, hematuria, fatigue, nausea, abdominal pain, dysuria, vomiting, urinary tract infection, urgency in urination and pain during urination. In addition, we have observed transient perturbation of laboratory measures of renal and hematopoietic function. In our clinical trials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the most common (≥ 10%) adverse reactions, including laboratory abnormalities, that occurred in patients were increased creatinine, increased potassium, dysuria, decreased hemoglobin, increased aspartate aminotransferase, increased alanine aminotransferase, increased eosinophils, decreased lymphocytes, urinary tract infection, decreased neutrophils, and hematuria. Serious adverse reactions occurred in 12% of patients who received </w:t>
      </w:r>
      <w:r>
        <w:rPr>
          <w:rFonts w:ascii="Arial" w:cs="Arial" w:eastAsia="Arial" w:hAnsi="Arial"/>
          <w:sz w:val="18"/>
          <w:szCs w:val="18"/>
          <w:i w:val="1"/>
          <w:iCs w:val="1"/>
          <w:color w:val="auto"/>
        </w:rPr>
        <w:t>Zusduri</w:t>
      </w:r>
      <w:r>
        <w:rPr>
          <w:rFonts w:ascii="Arial" w:cs="Arial" w:eastAsia="Arial" w:hAnsi="Arial"/>
          <w:sz w:val="18"/>
          <w:szCs w:val="18"/>
          <w:color w:val="auto"/>
        </w:rPr>
        <w:t>, including, urinary retention (0.8%) and urethral stenosis (0.4%).</w:t>
      </w:r>
    </w:p>
    <w:p>
      <w:pPr>
        <w:spacing w:after="0" w:line="16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 xml:space="preserve">These adverse events are known mitomycin or procedure-related adverse events and many are indicated as potential side effects of mitomycin usage on the mitomycin label. However, we cannot assure you that we will not observe additional drug or procedure-related adverse events or SAEs in the future or that the FDA will not determine them as such. Side effects such as toxicity or other safety issues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our product candidates could require us to perform additional studies or halt development or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our product candidates or expose us to product liability lawsuits, which will harm our business.</w:t>
      </w:r>
    </w:p>
    <w:p>
      <w:pPr>
        <w:spacing w:after="0" w:line="16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Furthermore, the commercial marketing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has, and will continue to,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Additionally, in the event we discover the existence of adverse medical events or side effects caused by one of our products or product candidates, a number of other potentially significant negative consequences could result, including:</w:t>
      </w:r>
    </w:p>
    <w:p>
      <w:pPr>
        <w:spacing w:after="0" w:line="140" w:lineRule="exact"/>
        <w:rPr>
          <w:sz w:val="20"/>
          <w:szCs w:val="20"/>
          <w:color w:val="auto"/>
        </w:rPr>
      </w:pPr>
    </w:p>
    <w:p>
      <w:pPr>
        <w:ind w:left="380" w:right="180" w:hanging="318"/>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submit an NDA or similar application for our product candidates because of insufficient risk-reward, or the denial of such application by the FDA or foreign regulatory authorities;</w:t>
      </w:r>
    </w:p>
    <w:p>
      <w:pPr>
        <w:spacing w:after="0" w:line="140" w:lineRule="exact"/>
        <w:rPr>
          <w:rFonts w:ascii="Arial" w:cs="Arial" w:eastAsia="Arial" w:hAnsi="Arial"/>
          <w:sz w:val="18"/>
          <w:szCs w:val="18"/>
          <w:color w:val="auto"/>
        </w:rPr>
      </w:pPr>
    </w:p>
    <w:p>
      <w:pPr>
        <w:ind w:left="380" w:right="180" w:hanging="318"/>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foreign regulatory authorities suspending or terminating our clinical trials or suspending or withdrawing their approval of the product;</w:t>
      </w:r>
    </w:p>
    <w:p>
      <w:pPr>
        <w:spacing w:after="0" w:line="140" w:lineRule="exact"/>
        <w:rPr>
          <w:rFonts w:ascii="Arial" w:cs="Arial" w:eastAsia="Arial" w:hAnsi="Arial"/>
          <w:sz w:val="18"/>
          <w:szCs w:val="18"/>
          <w:color w:val="auto"/>
        </w:rPr>
      </w:pPr>
    </w:p>
    <w:p>
      <w:pPr>
        <w:ind w:left="380" w:right="1220" w:hanging="318"/>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the addition of labeling statements, such as boxed or other warnings or contraindications or distribution and use restrictions;</w:t>
      </w:r>
    </w:p>
    <w:p>
      <w:pPr>
        <w:spacing w:after="0" w:line="140" w:lineRule="exact"/>
        <w:rPr>
          <w:rFonts w:ascii="Arial" w:cs="Arial" w:eastAsia="Arial" w:hAnsi="Arial"/>
          <w:sz w:val="18"/>
          <w:szCs w:val="18"/>
          <w:color w:val="auto"/>
        </w:rPr>
      </w:pPr>
    </w:p>
    <w:p>
      <w:pPr>
        <w:ind w:left="380" w:right="540" w:hanging="318"/>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foreign regulatory authorities issuing negative publicity regarding the affected product, including safety communications;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being limited with respect to the safety-related claims that we can make in our marketing or promotional materials;</w:t>
      </w:r>
    </w:p>
    <w:p>
      <w:pPr>
        <w:spacing w:after="0" w:line="198" w:lineRule="exact"/>
        <w:rPr>
          <w:rFonts w:ascii="Arial" w:cs="Arial" w:eastAsia="Arial" w:hAnsi="Arial"/>
          <w:sz w:val="18"/>
          <w:szCs w:val="18"/>
          <w:color w:val="auto"/>
        </w:rPr>
      </w:pPr>
    </w:p>
    <w:p>
      <w:pPr>
        <w:ind w:left="380" w:right="380" w:hanging="318"/>
        <w:spacing w:after="0" w:line="27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being required to change the way the product is administered, conduct additional nonclinical studies or clinical trials or restrict or cease the distribution or use of the product; and</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being sued and held liable for harm caused to patients.</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Any of these events could prevent us from achieving market acceptance or approval of the affected product or product candidate and could substantially increase development or commercialization costs, force us to withdraw from the market any approved product,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We may face future developmental and regulatory difficulties related to Jelmyto, Zusduri and any of our product candidates that receive marketing approval. In addition, we are subject to government regulations and we may experience delays in obtaining required regulatory approvals to market our proposed product candidates.</w:t>
      </w:r>
    </w:p>
    <w:p>
      <w:pPr>
        <w:spacing w:after="0" w:line="14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With respect to our current and future product candidates, 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to not be commercially viable. Absence of long-term safety data may further limit the approved uses of our products, if any.</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63"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55" w:lineRule="exact"/>
        <w:rPr>
          <w:sz w:val="20"/>
          <w:szCs w:val="20"/>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agency refusal to approve pending applications or supplements to applications;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injunction or imposition of civil or criminal penalties or monetary fines;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seizure or detention of products;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bans or restrictions on imports and exports;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of regulatory authorities to approve pending applications or supplements to applications.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157"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If we are not successful in developing, receiving regulatory approval for and commercializing our nonclinical and clinical product candidates, our ability to expand our business and achieve our strategic objectives could be impaired.</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We plan to devote a substantial portion of our resources to the ongoing commercial launch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the treatment of adult patients with recurrent low-grade intermediate risk NMIBC. Another key element of our strategy is to discover, develop and commercialize a portfolio of products to serve additional therapeutic markets. We are seeking to do so through our internal research programs, but our resources are limited, and those that we have are geared towards clinical testing and seeking regulatory approval of our existing product candidates. We may also explore strategic collaborations for the development or acquisition of new products, but we may not be successful in entering into such relationships.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80" w:lineRule="exact"/>
        <w:rPr>
          <w:sz w:val="20"/>
          <w:szCs w:val="20"/>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98" w:lineRule="exact"/>
        <w:rPr>
          <w:rFonts w:ascii="Arial" w:cs="Arial" w:eastAsia="Arial" w:hAnsi="Arial"/>
          <w:sz w:val="18"/>
          <w:szCs w:val="18"/>
          <w:color w:val="auto"/>
        </w:rPr>
      </w:pPr>
    </w:p>
    <w:p>
      <w:pPr>
        <w:ind w:left="380" w:right="100" w:hanging="318"/>
        <w:spacing w:after="0" w:line="271"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in a subsequent trial be shown to have harmful side effects or other characteristics that indicate it is unlikely to be effective or otherwise does not meet applicable regulatory criteria;</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98" w:lineRule="exact"/>
        <w:rPr>
          <w:rFonts w:ascii="Arial" w:cs="Arial" w:eastAsia="Arial" w:hAnsi="Arial"/>
          <w:sz w:val="18"/>
          <w:szCs w:val="18"/>
          <w:color w:val="auto"/>
        </w:rPr>
      </w:pPr>
    </w:p>
    <w:p>
      <w:pPr>
        <w:ind w:left="380" w:right="240" w:hanging="318"/>
        <w:spacing w:after="0" w:line="271"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 and</w:t>
      </w:r>
    </w:p>
    <w:p>
      <w:pPr>
        <w:spacing w:after="0" w:line="140" w:lineRule="exact"/>
        <w:rPr>
          <w:rFonts w:ascii="Arial" w:cs="Arial" w:eastAsia="Arial" w:hAnsi="Arial"/>
          <w:sz w:val="18"/>
          <w:szCs w:val="18"/>
          <w:color w:val="auto"/>
        </w:rPr>
      </w:pPr>
    </w:p>
    <w:p>
      <w:pPr>
        <w:ind w:left="380" w:right="440" w:hanging="318"/>
        <w:spacing w:after="0" w:line="271"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we develop may potentially block our entry into certain markets or make such entry economically impracticable.</w:t>
      </w:r>
    </w:p>
    <w:p>
      <w:pPr>
        <w:spacing w:after="0" w:line="15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spacing w:after="0" w:line="142"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i w:val="1"/>
          <w:iCs w:val="1"/>
          <w:color w:val="auto"/>
        </w:rPr>
        <w:t>We have entered into collaboration and licensing agreements and in the future may enter into collaboration and licensing arrangements with other third parties for the development and commercialization of our products and product candidates. If our collaboration and licensing arrangements are not successful, we may not be able to capitalize on the market potential of these products and product candidates.*</w:t>
      </w:r>
    </w:p>
    <w:p>
      <w:pPr>
        <w:spacing w:after="0" w:line="15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may utilize a variety of types of licensing, collaboration, distribution and other marketing arrangements with third parties to develop our product candidates and commercialize our approved products. We are not currently party to any such arrangement that we consider material. Our ability to generate revenues from these arrangements will depend on our collaborators’ abilities and efforts to successfully perform the functions assigned to them in these arrangements.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collaborations that we enter into may pose a number of risks, including the following:</w:t>
      </w:r>
    </w:p>
    <w:p>
      <w:pPr>
        <w:spacing w:after="0" w:line="198" w:lineRule="exact"/>
        <w:rPr>
          <w:sz w:val="20"/>
          <w:szCs w:val="20"/>
          <w:color w:val="auto"/>
        </w:rPr>
      </w:pPr>
    </w:p>
    <w:p>
      <w:pPr>
        <w:ind w:left="380" w:right="560" w:hanging="318"/>
        <w:spacing w:after="0" w:line="271"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380" w:right="80" w:hanging="318"/>
        <w:spacing w:after="0" w:line="253"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155" w:lineRule="exact"/>
        <w:rPr>
          <w:rFonts w:ascii="Arial" w:cs="Arial" w:eastAsia="Arial" w:hAnsi="Arial"/>
          <w:sz w:val="18"/>
          <w:szCs w:val="18"/>
          <w:color w:val="auto"/>
        </w:rPr>
      </w:pPr>
    </w:p>
    <w:p>
      <w:pPr>
        <w:ind w:left="380" w:hanging="318"/>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conducted by collaborators could give rise to new safety concerns;</w:t>
      </w:r>
    </w:p>
    <w:p>
      <w:pPr>
        <w:spacing w:after="0" w:line="198" w:lineRule="exact"/>
        <w:rPr>
          <w:rFonts w:ascii="Arial" w:cs="Arial" w:eastAsia="Arial" w:hAnsi="Arial"/>
          <w:sz w:val="18"/>
          <w:szCs w:val="18"/>
          <w:color w:val="auto"/>
        </w:rPr>
      </w:pPr>
    </w:p>
    <w:p>
      <w:pPr>
        <w:ind w:left="380" w:right="200" w:hanging="318"/>
        <w:spacing w:after="0" w:line="248"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370" w:lineRule="exact"/>
        <w:rPr>
          <w:rFonts w:ascii="Arial" w:cs="Arial" w:eastAsia="Arial" w:hAnsi="Arial"/>
          <w:sz w:val="18"/>
          <w:szCs w:val="18"/>
          <w:color w:val="auto"/>
        </w:rPr>
      </w:pPr>
    </w:p>
    <w:p>
      <w:pPr>
        <w:ind w:left="380" w:right="380" w:hanging="318"/>
        <w:spacing w:after="0" w:line="271"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0" w:lineRule="exact"/>
        <w:rPr>
          <w:rFonts w:ascii="Arial" w:cs="Arial" w:eastAsia="Arial" w:hAnsi="Arial"/>
          <w:sz w:val="18"/>
          <w:szCs w:val="18"/>
          <w:color w:val="auto"/>
        </w:rPr>
      </w:pPr>
    </w:p>
    <w:p>
      <w:pPr>
        <w:ind w:left="380" w:right="100" w:hanging="318"/>
        <w:spacing w:after="0" w:line="253"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5" w:lineRule="exact"/>
        <w:rPr>
          <w:rFonts w:ascii="Arial" w:cs="Arial" w:eastAsia="Arial" w:hAnsi="Arial"/>
          <w:sz w:val="18"/>
          <w:szCs w:val="18"/>
          <w:color w:val="auto"/>
        </w:rPr>
      </w:pPr>
    </w:p>
    <w:p>
      <w:pPr>
        <w:ind w:left="380" w:hanging="318"/>
        <w:spacing w:after="0" w:line="301"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17" w:lineRule="exact"/>
        <w:rPr>
          <w:rFonts w:ascii="Arial" w:cs="Arial" w:eastAsia="Arial" w:hAnsi="Arial"/>
          <w:sz w:val="17"/>
          <w:szCs w:val="17"/>
          <w:color w:val="auto"/>
        </w:rPr>
      </w:pPr>
    </w:p>
    <w:p>
      <w:pPr>
        <w:ind w:left="380" w:right="200" w:hanging="318"/>
        <w:spacing w:after="0" w:line="271"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40" w:lineRule="exact"/>
        <w:rPr>
          <w:rFonts w:ascii="Arial" w:cs="Arial" w:eastAsia="Arial" w:hAnsi="Arial"/>
          <w:sz w:val="18"/>
          <w:szCs w:val="18"/>
          <w:color w:val="auto"/>
        </w:rPr>
      </w:pPr>
    </w:p>
    <w:p>
      <w:pPr>
        <w:ind w:left="380" w:right="60" w:hanging="318"/>
        <w:spacing w:after="0" w:line="24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160" w:lineRule="exact"/>
        <w:rPr>
          <w:rFonts w:ascii="Arial" w:cs="Arial" w:eastAsia="Arial" w:hAnsi="Arial"/>
          <w:sz w:val="18"/>
          <w:szCs w:val="18"/>
          <w:color w:val="auto"/>
        </w:rPr>
      </w:pPr>
    </w:p>
    <w:p>
      <w:pPr>
        <w:jc w:val="both"/>
        <w:ind w:left="380" w:right="20" w:hanging="318"/>
        <w:spacing w:after="0" w:line="301"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17" w:lineRule="exact"/>
        <w:rPr>
          <w:rFonts w:ascii="Arial" w:cs="Arial" w:eastAsia="Arial" w:hAnsi="Arial"/>
          <w:sz w:val="17"/>
          <w:szCs w:val="17"/>
          <w:color w:val="auto"/>
        </w:rPr>
      </w:pPr>
    </w:p>
    <w:p>
      <w:pPr>
        <w:ind w:left="380" w:hanging="318"/>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98" w:lineRule="exact"/>
        <w:rPr>
          <w:rFonts w:ascii="Arial" w:cs="Arial" w:eastAsia="Arial" w:hAnsi="Arial"/>
          <w:sz w:val="18"/>
          <w:szCs w:val="18"/>
          <w:color w:val="auto"/>
        </w:rPr>
      </w:pPr>
    </w:p>
    <w:p>
      <w:pPr>
        <w:ind w:left="380" w:right="440" w:hanging="318"/>
        <w:spacing w:after="0" w:line="271"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Collaborations may not lead to development or commercialization of product candidates in the most efficient manner, or at all, and may otherwise experience challenges. For example, in August 2020, we announced that the Phase 2 APOLLO trial of BOTOX/</w:t>
      </w:r>
      <w:r>
        <w:rPr>
          <w:rFonts w:ascii="Arial" w:cs="Arial" w:eastAsia="Arial" w:hAnsi="Arial"/>
          <w:sz w:val="18"/>
          <w:szCs w:val="18"/>
          <w:i w:val="1"/>
          <w:iCs w:val="1"/>
          <w:color w:val="auto"/>
        </w:rPr>
        <w:t>RTGel</w:t>
      </w:r>
      <w:r>
        <w:rPr>
          <w:rFonts w:ascii="Arial" w:cs="Arial" w:eastAsia="Arial" w:hAnsi="Arial"/>
          <w:sz w:val="18"/>
          <w:szCs w:val="18"/>
          <w:color w:val="auto"/>
        </w:rPr>
        <w:t xml:space="preserve"> for the treatment of overactive bladder, which was conducted by Allergan Pharmaceuticals Limited (“Allergan”), did not meet the primary endpoint. The data suggested that this result may have been due to BOTOX not effectively permeating the urothelium. In November 2021 our arrangement with Allergan was terminated. In addition, in November 2019, we entered into a license agreement with Agenus to license the rights to develop UGN-301. In November 2025, we provided notice to terminate the license agreement with Agenus in connection with our decision to discontinue development of UGN-301.</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any future material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report also apply to the activities of our collaborators.</w:t>
      </w:r>
    </w:p>
    <w:p>
      <w:pPr>
        <w:spacing w:after="0" w:line="16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perception of us in the business and financial communities could be harmed.</w:t>
      </w:r>
    </w:p>
    <w:p>
      <w:pPr>
        <w:sectPr>
          <w:pgSz w:w="11900" w:h="16838" w:orient="portrait"/>
          <w:cols w:equalWidth="0" w:num="1">
            <w:col w:w="11240"/>
          </w:cols>
          <w:pgMar w:left="320" w:top="121" w:right="3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rely on third-party subcontractors and single-source suppliers for certain raw materials, compounds and components necessary to produce Jelmyto and Zusduri for commercial use, and to produce UGN-103, UGN-104 and UGN-501 for nonclinical studies and clinical trials, and expect to continue to do so to support commercial scale production of UGN-103, UGN-104 and UGN-501 if approved, or for any approved products that include UGN-501.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Jelmyto, Zusduri, UGN-103, UGN-104 or UGN-501, or be able to obtain such quantities at an acceptable cost, which could delay, prevent or impair our development or commercialization efforts.*</w:t>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We currently rely on third-party subcontractors and suppliers for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commercial use and UGN-103, UGN-104 and UGN-501 for our nonclinical studies and clinical trials, and expect to rely on third-party subcontractors and suppliers for commercial use for any of our drug candidates that receive regulatory approval. We currently depend on one or two third-party suppliers for (i) the mitomycin API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UGN-103 and UGN-104; (ii) the bulk mitomycin contained</w:t>
      </w:r>
    </w:p>
    <w:p>
      <w:pPr>
        <w:spacing w:after="0" w:line="23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 (</w:t>
      </w:r>
      <w:r>
        <w:rPr>
          <w:rFonts w:ascii="Arial" w:cs="Arial" w:eastAsia="Arial" w:hAnsi="Arial"/>
          <w:sz w:val="18"/>
          <w:szCs w:val="18"/>
          <w:color w:val="auto"/>
        </w:rPr>
        <w:t xml:space="preserve">iii) the hydrogel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(iv) the lyophilized mitomycin contained in UGN-103 and UGN-104. Because there are a limited number of suppliers for the raw materials that we use to manufacture our products and product candidates, we may need to engage alternate suppliers to prevent a possible disruption of the manufacture of the materials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commercial sale and our product candidates for our clinical trials and their subsequent commercial sale, if approved. Even if we are able to engage alternate suppliers on reasonable terms, we may face delays or increased costs in our supply chain that could jeopardize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do not have any control over the availability of these compounds and components beyond our existing contractual arrangements. If we or our suppliers and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any other approved products.</w:t>
      </w:r>
    </w:p>
    <w:p>
      <w:pPr>
        <w:spacing w:after="0" w:line="17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We expect to continue to rely on these or other subcontractors and suppliers to support our commercial requirements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of our product candidates if approved for marketing by the FDA or foreign regulatory authorities. We plan to continue to rely on third parties for the manufacture of mitomycin API, mitomycin for solution, the hydrogel contained in </w:t>
      </w:r>
      <w:r>
        <w:rPr>
          <w:rFonts w:ascii="Arial" w:cs="Arial" w:eastAsia="Arial" w:hAnsi="Arial"/>
          <w:sz w:val="18"/>
          <w:szCs w:val="18"/>
          <w:i w:val="1"/>
          <w:iCs w:val="1"/>
          <w:color w:val="auto"/>
        </w:rPr>
        <w:t>Jelmyto, Zusduri</w:t>
      </w:r>
      <w:r>
        <w:rPr>
          <w:rFonts w:ascii="Arial" w:cs="Arial" w:eastAsia="Arial" w:hAnsi="Arial"/>
          <w:sz w:val="18"/>
          <w:szCs w:val="18"/>
          <w:color w:val="auto"/>
        </w:rPr>
        <w:t>, UGN-103 and UGN-104, as well as for the raw materials, compounds and components necessary to produce our products and product candidates and for nonclinical studies and clinical trials.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Even though we are approved as a commercial supplier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have limited experience as a company in the commercial supply of drugs and may never be successful as a commercial supplier of drug products containing mitomycin. In addition, cost-overruns, unexpected delays, equipment failures, logistics breakdowns, labor shortages, natural disasters, power failures, production failures or product recalls, and numerous other factors could prevent us from realizing the intended benefits of our sales strategy and have a material adverse effect on our business. Further, although we commercially supply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further continued build-out is required for the production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establishing such commercial-scale supply capabilities requires additional investment, is time-consuming and may be subject to delays, including because of shortage of labor, compliance with regulatory requirements or receipt of necessary regulatory approvals. In addition, building out our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commercial supply capabilities may cost more than we currently anticipate, and delays or problems may adversely impact our ability to provide sufficient quantities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to support our commercialization of </w:t>
      </w:r>
      <w:r>
        <w:rPr>
          <w:rFonts w:ascii="Arial" w:cs="Arial" w:eastAsia="Arial" w:hAnsi="Arial"/>
          <w:sz w:val="18"/>
          <w:szCs w:val="18"/>
          <w:i w:val="1"/>
          <w:iCs w:val="1"/>
          <w:color w:val="auto"/>
        </w:rPr>
        <w:t>Zusduri</w:t>
      </w:r>
      <w:r>
        <w:rPr>
          <w:rFonts w:ascii="Arial" w:cs="Arial" w:eastAsia="Arial" w:hAnsi="Arial"/>
          <w:sz w:val="18"/>
          <w:szCs w:val="18"/>
          <w:color w:val="auto"/>
        </w:rPr>
        <w:t>, as well as our financial condition.</w:t>
      </w:r>
    </w:p>
    <w:p>
      <w:pPr>
        <w:spacing w:after="0" w:line="16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While we currently have over 12 months of bulk mitomycin API and/or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Zusduri finished product on hand to continue our commercial and clinical operations as planned, we may face such delays or costs in future years. Although we believe we have sufficient quantities of bulk mitomycin API for planned manufacturing operations through 2026, a prolonged supply interruption of certain components could adversely affect our ability to conduct commercialization activities and planned clinical trials. If any third party in our supply or distribution chain for materials or finished product is adversely impacted by restrictions resulting from pandemics, epidemics or public health emergencies or other disruptions caused by the outbreak of war, terrorist attacks or other acts of hostility, including staffing shortages, production slowdowns and disruptions in delivery systems, our supply chain may be disrupted, limiting our ability to manufacture and distribute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for commercial sales and our product candidates for our clinical trials and research and development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before we can begin to commercially manufacture any product candidates that receive regulatory approval in the future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to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are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continuing reliance on third-party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third-party subcontractors and suppliers may not be able to comply with cGMP or quality management system regulation ("QMSR")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products or product candidates, if approved.</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 xml:space="preserve">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Zusduri </w:t>
      </w:r>
      <w:r>
        <w:rPr>
          <w:rFonts w:ascii="Arial" w:cs="Arial" w:eastAsia="Arial" w:hAnsi="Arial"/>
          <w:sz w:val="18"/>
          <w:szCs w:val="18"/>
          <w:color w:val="auto"/>
        </w:rPr>
        <w:t>or any of our product candidates. Any failure or refusal to supply or any interruption in supply of the components for</w:t>
      </w:r>
      <w:r>
        <w:rPr>
          <w:rFonts w:ascii="Arial" w:cs="Arial" w:eastAsia="Arial" w:hAnsi="Arial"/>
          <w:sz w:val="18"/>
          <w:szCs w:val="18"/>
          <w:i w:val="1"/>
          <w:iCs w:val="1"/>
          <w:color w:val="auto"/>
        </w:rPr>
        <w:t xml:space="preserve"> Jelmyto</w:t>
      </w:r>
      <w:r>
        <w:rPr>
          <w:rFonts w:ascii="Arial" w:cs="Arial" w:eastAsia="Arial" w:hAnsi="Arial"/>
          <w:sz w:val="18"/>
          <w:szCs w:val="18"/>
          <w:color w:val="auto"/>
        </w:rPr>
        <w:t>,</w:t>
      </w:r>
      <w:r>
        <w:rPr>
          <w:rFonts w:ascii="Arial" w:cs="Arial" w:eastAsia="Arial" w:hAnsi="Arial"/>
          <w:sz w:val="18"/>
          <w:szCs w:val="18"/>
          <w:i w:val="1"/>
          <w:iCs w:val="1"/>
          <w:color w:val="auto"/>
        </w:rPr>
        <w:t xml:space="preserve"> Zusduri </w:t>
      </w:r>
      <w:r>
        <w:rPr>
          <w:rFonts w:ascii="Arial" w:cs="Arial" w:eastAsia="Arial" w:hAnsi="Arial"/>
          <w:sz w:val="18"/>
          <w:szCs w:val="18"/>
          <w:color w:val="auto"/>
        </w:rPr>
        <w:t>or any of our product candidates could delay, prevent or impair our clinical development or commercialization efforts.</w:t>
      </w:r>
    </w:p>
    <w:p>
      <w:pPr>
        <w:spacing w:after="0" w:line="1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 xml:space="preserve">We currently use single source suppliers relative to production of components of our products and product candidates, the ureteral catheter and injector which are required to be used in the delivery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ureteral catheter used in the delivery of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are assessing additional suppliers regarding certain components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are advancing these conversations as a means to ensure both additional suppliers and potential future reductions in cost of revenues. However, there can be no assurance that we will be able to secure any additional suppliers for these key components on a timely basis, on favorable terms, or at all.</w:t>
      </w:r>
    </w:p>
    <w:p>
      <w:pPr>
        <w:spacing w:after="0" w:line="16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rely on third-party transportation to deliver materials to our facilities and ship products to our customers. Transport operators are exposed to various risks, such as extreme weather conditions, natural disasters, outbreaks of war, terrorist attacks or other acts of hostility, work stoppages, personnel shortages, and operating hazards, as well as interstate and international transportation requirements. In addition, transport operators were affected by the impact of COVID-19 and the related shipping crisis and backlog, which led to increased shipping costs and supply chain disruptions, and any future pandemics, epidemics or public health emergencies may cause similar disruptions that may impact our operations in the future.</w:t>
      </w:r>
    </w:p>
    <w:p>
      <w:pPr>
        <w:spacing w:after="0" w:line="16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If we experience transportation problems, or if there are other significant changes in the cost of these services, we may not be able to arrange efficient alternatives and timely means to obtain materials or ship products to our customers. Our failure to obtain such materials, ship products or maintain sufficient buffer inventory could materially and adversely impact our business, financial condition and results of operations.</w:t>
      </w:r>
    </w:p>
    <w:p>
      <w:pPr>
        <w:spacing w:after="0" w:line="16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may need to enter into agreements with additional distributors or suppliers, and there is no guarantee that we will be able to do so on commercially reasonable terms or at all. If we are unable to maintain and, if needed, expand, our network of specialty distributors or suppliers, this would expose us to substantial risk in our clinical development or commercialization efforts.</w:t>
      </w:r>
    </w:p>
    <w:p>
      <w:pPr>
        <w:spacing w:after="0" w:line="157" w:lineRule="exact"/>
        <w:rPr>
          <w:sz w:val="20"/>
          <w:szCs w:val="20"/>
          <w:color w:val="auto"/>
        </w:rPr>
      </w:pPr>
    </w:p>
    <w:p>
      <w:pPr>
        <w:ind w:right="1160"/>
        <w:spacing w:after="0" w:line="278" w:lineRule="auto"/>
        <w:rPr>
          <w:sz w:val="20"/>
          <w:szCs w:val="20"/>
          <w:color w:val="auto"/>
        </w:rPr>
      </w:pPr>
      <w:r>
        <w:rPr>
          <w:rFonts w:ascii="Arial" w:cs="Arial" w:eastAsia="Arial" w:hAnsi="Arial"/>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operate in a global economy, and our business depends on a global supply chain for the development, manufacture, and shipment</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and for the advancement of the development of our preclinical and clinical product candidates. There is inherent risk, based on the complex relationships among the United States and the foreign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spacing w:after="0" w:line="16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 xml:space="preserve">We do not own or operate manufacturing facilities for the production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or our product candidates, nor do we have plans to develop our own manufacturing operations in the foreseeable future. We currently rely on third-party contract manufacturers for all of our required raw materials, active pharmaceutical ingredients and finished product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our nonclinical research and clinical trials, including manufacturers located in Israel, Czech Republic and Belgium. Tariff policies, particularly those affecting the raw materials we use and pharmaceutical products, could materially increase our costs. Recent and potential future changes in international trade policies, particularly regarding pharmaceutical-specific tariffs, present significant risks to our operations and financial performance.</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ongoing trade tensions between the United States and other jurisdictions have resulted in multiple rounds of tariffs and anticipated tariffs affecting pharmaceuticals and pharmaceutical ingredients, including finished drug products, manufacturing equipment, and related supplies. Such tariffs may significantly increase our costs. The Bureau of Industry and Security, U.S. Department of Commerce, has initiated an investigation to determine whether pharmaceutical ingredients, including finished drug products, manufactured outside the United States pose a national security risk and should be subject to additional tariffs. Unlike consumer goods, pharmaceuticals face unique regulatory constraints that make rapid supply chain adjustments particularly difficult and costly. Should our costs rise significantly due to tariffs, it would be difficult and costly to qualify alternative sources within another country with a lower tariff rate or within the United States, as developing and qualifying alternative sources may require several months to years and substantial investment and regulatory approvals, and in some cases, alternate suppliers may not be available due to the proprietary technology of the supplier (as in the case of UGN-103 and UGN-104). Moreover,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research and development locations.</w:t>
      </w:r>
    </w:p>
    <w:p>
      <w:pPr>
        <w:spacing w:after="0" w:line="16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 xml:space="preserve">Unlike many industries, our ability to pass increased costs to customers is limited by the structure of pharmaceutical pricing and reimbursement systems. Pricing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is established through reimbursement methodologies established by government programs, such as Medicare Part B. These arrangements typically include fixed pricing terms that were negotiated prior to the implementation of the recently announced or proposed tariffs. As a result, cost increases due to tariffs may be difficult or impossible to pass through to customers.</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entities headquartered in the United States, which may limit our ability to compete internationally. Foreign governments may also take other retaliatory actions against U.S.-headquartered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7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or escalation in trade tensions could materially and adversely affect our business, ability to access the capital markets or other financing sources, results of operations, financial condition and prospects.</w:t>
      </w:r>
    </w:p>
    <w:p>
      <w:pPr>
        <w:spacing w:after="0" w:line="16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In addition, tariffs and other trade developments have and may continue to heighten the risks related to the other risk factors described elsewhere in this Quarterly Report.</w:t>
      </w:r>
    </w:p>
    <w:p>
      <w:pPr>
        <w:spacing w:after="0" w:line="142"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approved products, Jelmyto and Zusduri, and our product candidates from being marketed abroad.</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commercialized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 Even though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approved for marketing in Israel, there can be no assurance that it will achieve the broad degree of physician adoption and use, reimbursement and market acceptance necessary for commercial success.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b w:val="1"/>
          <w:bCs w:val="1"/>
          <w:i w:val="1"/>
          <w:iCs w:val="1"/>
          <w:color w:val="auto"/>
        </w:rPr>
        <w:t>We rely on third parties and consultants to assist us in conducting our clinical trials for our product candidates. If these third parties or consultants do not successfully carry out their contractual duties or meet expected deadlines, we may be unable to obtain regulatory approval for or commercialize our product candidates.</w:t>
      </w:r>
    </w:p>
    <w:p>
      <w:pPr>
        <w:spacing w:after="0" w:line="15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do not have the ability to independently conduct many of our nonclinical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any of our product candidates.</w:t>
      </w:r>
    </w:p>
    <w:p>
      <w:pPr>
        <w:spacing w:after="0" w:line="16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and the third parties upon whom we rely are required to comply with Good Clinical Practice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healthcare privacy and security laws; and bribery and anti-corruption laws.</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clinical investigators or other third parties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17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future, we may acquire or in-license additional product candidates and technologies. Any product candidate or technologies we in-license or acquire will likely require additional development efforts prior to commercial sale, including extensive nonclinical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economically manufacture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will need to continue to increase the size of our organization. If we fail to manage our growth effectively, our business could be disrupted.*</w:t>
      </w:r>
    </w:p>
    <w:p>
      <w:pPr>
        <w:spacing w:after="0" w:line="12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As of March 31, 2026, we had 298 employees, of whom 40 are based in Israel and 258 are based in the United States. We will need to continue to expand our development, quality, managerial, operational, finance, marketing, sales and other resources to manage our operations and clinical trials, continue our development activities and commercialize our products and product candidates, if approved. Our management, personnel, systems and facilities currently in place may not be adequate to support this future growth. Our need to effectively execute our expansion strategy requires that we:</w:t>
      </w:r>
    </w:p>
    <w:p>
      <w:pPr>
        <w:spacing w:after="0" w:line="163" w:lineRule="exact"/>
        <w:rPr>
          <w:sz w:val="20"/>
          <w:szCs w:val="20"/>
          <w:color w:val="auto"/>
        </w:rPr>
      </w:pPr>
    </w:p>
    <w:p>
      <w:pPr>
        <w:ind w:left="380" w:hanging="318"/>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 and</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As we continue to grow as an organization, including by expanding our development efforts and building out and developing our commercial capabilities to support our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we will evaluate, and may implement, changes to our organization that may be appropriate in order to properly manage and direct our growth and transformation into a commercial-stage company. For example, in connection with the commercial launch of </w:t>
      </w:r>
      <w:r>
        <w:rPr>
          <w:rFonts w:ascii="Arial" w:cs="Arial" w:eastAsia="Arial" w:hAnsi="Arial"/>
          <w:sz w:val="18"/>
          <w:szCs w:val="18"/>
          <w:i w:val="1"/>
          <w:iCs w:val="1"/>
          <w:color w:val="auto"/>
        </w:rPr>
        <w:t>Zusduri</w:t>
      </w:r>
      <w:r>
        <w:rPr>
          <w:rFonts w:ascii="Arial" w:cs="Arial" w:eastAsia="Arial" w:hAnsi="Arial"/>
          <w:sz w:val="18"/>
          <w:szCs w:val="18"/>
          <w:color w:val="auto"/>
        </w:rPr>
        <w:t>, we expanded our sales team. 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or other significant changes to our organization could delay the execution of our development, commercialization and strategic objectives or disrupt our operations; and if we are not successful in commercializing our approved products or any of our product candidates that may receive regulatory approval, either on our own or through collaborations with one or more third parties, our revenues will suffer, and we would incur significant additional losses.</w:t>
      </w:r>
    </w:p>
    <w:p>
      <w:pPr>
        <w:spacing w:after="0" w:line="168" w:lineRule="exact"/>
        <w:rPr>
          <w:sz w:val="20"/>
          <w:szCs w:val="20"/>
          <w:color w:val="auto"/>
        </w:rPr>
      </w:pPr>
    </w:p>
    <w:p>
      <w:pPr>
        <w:ind w:right="146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products and product candidates, if approved.*</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We face an inherent risk of product liability as a result of the clinical testing of our product candidates and face or will face an even greater risk with the commercialization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and any product candidates that receive marketing approval. For example, we may be sued if any of our products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80" w:lineRule="exact"/>
        <w:rPr>
          <w:sz w:val="20"/>
          <w:szCs w:val="20"/>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decreased demand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our product candidates;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 or cancellation of clinical trials;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 which may be only partially recoverable even in the event of successful defenses;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we develop.</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We have expanded our insurance coverage to include, in addition to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commercialization of </w:t>
      </w:r>
      <w:r>
        <w:rPr>
          <w:rFonts w:ascii="Arial" w:cs="Arial" w:eastAsia="Arial" w:hAnsi="Arial"/>
          <w:sz w:val="18"/>
          <w:szCs w:val="18"/>
          <w:i w:val="1"/>
          <w:iCs w:val="1"/>
          <w:color w:val="auto"/>
        </w:rPr>
        <w:t>Zusduri</w:t>
      </w:r>
      <w:r>
        <w:rPr>
          <w:rFonts w:ascii="Arial" w:cs="Arial" w:eastAsia="Arial" w:hAnsi="Arial"/>
          <w:sz w:val="18"/>
          <w:szCs w:val="18"/>
          <w:color w:val="auto"/>
        </w:rPr>
        <w:t>, and, if and when we obtain approval for marketing any product candidate, we intend to further expand our insurance coverage to include the commercialization of such approved product; however, in the future we may be unable to obtain this additional liability insurance on commercially reasonable terms, and/or such insurance may be insufficient to cover our exposure.</w:t>
      </w:r>
    </w:p>
    <w:p>
      <w:pPr>
        <w:sectPr>
          <w:pgSz w:w="11900" w:h="16838" w:orient="portrait"/>
          <w:cols w:equalWidth="0" w:num="1">
            <w:col w:w="11220"/>
          </w:cols>
          <w:pgMar w:left="320" w:top="121" w:right="359" w:bottom="50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50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we may be unable to successfully develop our product candidates, conduct our clinical trials and commercialize any of the products we develop.</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scientific and other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6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Similarly, our ability to hire and retain field representatives may be impacted by non-competition and non-solicitation obligations owed to former employers.</w:t>
      </w:r>
    </w:p>
    <w:p>
      <w:pPr>
        <w:spacing w:after="0" w:line="15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a material disruption of our drug development program; compromise of sensitive information related to our business; harm to our reputation; triggering of breach notification obligations; inability to access critical information; disruptions of our business operations; loss of revenue or profits; loss of customers or sales and legal liability or other adverse effects to our business.</w:t>
      </w:r>
    </w:p>
    <w:p>
      <w:pPr>
        <w:spacing w:after="0" w:line="15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the ordinary course of our business, we, and the third parties with whom we work, process proprietary, confidential and sensitive information, including personal data (such as health information), intellectual property, trade secrets, and proprietary business information owned or controlled by ourselves or other parties (collectively, "Sensitive Information").</w:t>
      </w:r>
    </w:p>
    <w:p>
      <w:pPr>
        <w:spacing w:after="0" w:line="15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our CROs and other contractors, consultants, third-party vendors, and third parties with whom we work depend on information technology, telecommunication systems and data processing for significant elements of our operations, including, for example, systems handling human resources, financial reporting and controls, regulatory compliance and other infrastructure operations.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For example, we have operations and third parties with whom we work to support our business located in regions experiencing (or expected to experience) geopolitical or other conflicts, including in the Middle East, where businesses have experienced an increase in cyberattacks since the start of the Israel-Hamas conflict.</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and the third parties with whom we work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generative artificial intelligence (“AI”), and other similar threats.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6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particular,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extortion payments,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w:t>
      </w:r>
    </w:p>
    <w:p>
      <w:pPr>
        <w:spacing w:after="0" w:line="16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ectPr>
          <w:pgSz w:w="11900" w:h="16838" w:orient="portrait"/>
          <w:cols w:equalWidth="0" w:num="1">
            <w:col w:w="11220"/>
          </w:cols>
          <w:pgMar w:left="320" w:top="121" w:right="359" w:bottom="729"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729"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utilize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these measures will be effective. We take steps designed to detect and remediate vulnerabilities in our information systems (such as our hardware and/or software, including that of certain third parties with whom we work). However, we have not and may in the future not be able to detect and remediate all vulnerabilities (including on a timely basis) in our information technology systems, for instance because such threats and techniques used to exploit the vulnerability change frequently and are often sophisticated in nature. Despite our efforts to identify and address vulnerabilities, if any, in our information technology systems, our efforts may not be successful. Further, we may experience delays in developing and deploying remedial measures designed to address any such identified vulnerabilities. Therefore, such vulnerabilities could be exploited and result in a security incident, which may not be detected until after the incident has occurred.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Any of the previously identified or similar threats have in the past and may in the future cause a security incident or other interruption that has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in the normal course of business we have been the target of unsuccessful phishing attempts, and expect similar such attempts will continue in the future. A security incident or other interruption could disrupt our ability (and that of third parties with whom we work) to operate our business. Additionally, our Sensitive Information could be leaked, disclosed, or revealed as a result of or in connection with our employees', personnel’s, or vendors' use of generative AI technologies.</w:t>
      </w:r>
    </w:p>
    <w:p>
      <w:pPr>
        <w:spacing w:after="0" w:line="171"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Additionally, applicable data privacy and security obligations and public company disclosure obligations may require us, or we may voluntarily choose, to notify relevant stakeholders, including affected individuals, regulators and investors, of certain security incidents, or to take other actions, such as providing credit monitoring and identity theft protection services. Most jurisdictions have enacted laws requiring companies to notify individuals, regulatory authorities, and others of security incidents involving certain types of data. In addition, our agreements with collaborators may require us to notify them in the event of a security incident. Such disclosures and related actions can be costly, and the disclosure or the failure to comply with such applicable requirements could lead to adverse consequences.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we (or a third party with whom we work) experience a security incident or are perceived to have experienced a security incident, we may experience material adverse consequences including: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Information, including preventing us from conducting clinical trials, tests or research and development activities and preventing us from managing the administrative aspects of our business. In addition, the loss of clinical trial data from completed, ongoing or planned clinical trials could result in delays in our regulatory approval efforts and significantly increase our costs to recover or reproduce the data. To the extent that any disruption or security incident results in a loss of or damage to our data or applications, or inappropriate disclosure of confidential or proprietary information, we could incur liability and the further development of our product candidates could be delayed. If the information technology systems of our third-party vendors and other contractors become subject to disruptions or security incidents, we may have insufficient recourse against such third parties and may have to expend significant resources to mitigate the impact of such an event, and to develop and implement protections to prevent future events of this nature from occurring. In addition, whether a security incident is reportable to our investors may not be straightforward, may take considerable time to determine, and may be subject to change as the investigation of the incident progresses, including changes that may significantly alter any initial disclosure we provide. Moreover, experiencing a material security incident and any mandatory disclosures could lead to negative publicity, loss of investor, customer or partner confidence in the effectiveness of our cybersecurity measures, diversion of management’s attention, governmental investigations, lawsuits, and the expenditure of significant capital and other resources.</w:t>
      </w:r>
    </w:p>
    <w:p>
      <w:pPr>
        <w:spacing w:after="0" w:line="18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3"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Furthermore, third parties may gather, collect, or infer sensitive data about us from public sources, data brokers, or other means that reveal competitively sensitive details about our organization and could be used to undermine our competitive advantage or market position.</w:t>
      </w:r>
    </w:p>
    <w:p>
      <w:pPr>
        <w:sectPr>
          <w:pgSz w:w="11900" w:h="16838" w:orient="portrait"/>
          <w:cols w:equalWidth="0" w:num="1">
            <w:col w:w="11220"/>
          </w:cols>
          <w:pgMar w:left="320" w:top="121" w:right="35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or customers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63"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Similarly, the law governing non-compete agreements and other forms of restrictive covenants varies from state to state within the United States and some states are reluctant to strictly enforce non-compete agreements. The Federal Trade Commission (“FTC”) has also recently pursued enforcement actions and initiatives that suggest the agency will continue targeting non-compete provisions it believes are anticompetitive or unfair or deceptive acts or practices.</w:t>
      </w:r>
    </w:p>
    <w:p>
      <w:pPr>
        <w:spacing w:after="0" w:line="176"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buying or selling of our ordinary shares while in possession of material non-public information; or laws that require the reporting of financial information or data accurately.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and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could subject us to numerous penalties, including, but not limited to, the imposition of significant civil, criminal and administrative penalties, damages, monetary fines, disgorgement,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which could have a significant impact on the conduct of our business.</w:t>
      </w:r>
    </w:p>
    <w:p>
      <w:pPr>
        <w:spacing w:after="0" w:line="168"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research and development activities and our third-party subcontractors’ and suppliers’ activities involve the controlled storage, use, transportation and disposal of hazardous materials owned by us, including mitomycin,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may negatively affect our earnings.</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For example, the dollar depreciated against the NIS during 2025 by approximately 12.5%. We cannot predict any future trends in the rate of inflation in Israel or the rate of devaluation (if any) of the NIS against the dollar. If the dollar cost of our operations in Israel increases, our dollar-measured results of operations will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the effects of health pandemics, epidemics or other public health emergencies.</w:t>
      </w:r>
    </w:p>
    <w:p>
      <w:pPr>
        <w:spacing w:after="0" w:line="1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A pandemic, epidemic or other public health emergencies pose the risk that we or our employees, contractors, suppliers, customers, and other partners may be prevented from conducting certain business activities for an indefinite period of time, including due to spread of the disease within these groups or due to shutdowns that may be requested or mandated by governmental authorities. For example, COVID-19 and mitigation measures to slow its spread had an adverse impact on global economic conditions. While it is not possible at this time to estimate the impact that any such pandemic, epidemic or other public health emergency could have on our business, if such an event were to occur, it could have an adverse impact on global economic conditions which could have an adverse effect on our business and financial condition, including impairing our ability to raise capital when needed. The measures that may be taken by various governments, in response to a pandemic, epidemic or other public health emergency could disrupt the supply chain of material needed for our product candidates and our approved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interrupt healthcare services, delay coverage decisions from Medicare and third-party payors, delay ongoing and planned clinical trials involving our product candidates, curtail access to hospitals, surgery centers, clinics, healthcare providers and pharmacies by our sales force and have a material adverse effect on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To the extent any future pandemics, epidemics or public health emergencies adversely affect our business and financial results, it may also have the effect of heightening many of the other risks described in the “Risk Factors” section of this report.</w:t>
      </w:r>
    </w:p>
    <w:p>
      <w:pPr>
        <w:spacing w:after="0" w:line="14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Certain of our clinical trials and other significant operations (including our Israeli corporate offices and contract manufacturers) are located outside of the United States and, therefore, our results may be adversely affected by geopolitical, economic and military conditions.*</w:t>
      </w:r>
    </w:p>
    <w:p>
      <w:pPr>
        <w:spacing w:after="0" w:line="14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Certain of our clinical trials operate outside the United States and certain of our research and development facilities and key vendors and suppliers are located in Israel. If any of these current or future trials or the related facilities or our vendors' and suppliers' facilities in Israel were to be damaged, destroyed or otherwise unable to operate, whether due to war, acts of hostility, earthquakes, fire, floods, hurricanes, storms, tornadoes, other natural disasters, employee malfeasance, terrorist acts, pandemics, power outages or otherwise, or if performance of our clinical trials are disrupted for any other reason, such an event could cause significant development and product delays. If we experience delays in achieving our development objectives within a timeframe that meets our prospective customers’ expectations, our business, prospects, financial results and reputation could be harmed.</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Geopolitical, economic and military conditions around the world may directly affect our business. Any hostilities involving any of the countries in which we operate, including terrorist activities, political instability or violence in the region or the interruption or curtailment of trade or transport between such country and its trading partners could adversely affect our operations and results of operations and adversely affect the market price of our ordinary shares.</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business activities may be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currently dedicate certain resources to comply with numerous laws and regulations in each jurisdiction in which we operate outside of the United States. Our business activities in these foreign countries may be subject to the FCPA and similar anti-bribery or anti-corruption laws, regulations or rules of other countries in which we operate.</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and our ability to attract and retain employees and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our products and activities may be subject to U.S. and foreign export controls, trade sanctions and import laws and regulations. Governmental regulation of the import or export of our product,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products by, or in our decreased ability to export our products to existing or potential customers with international operations. Any decreased use of our products or limitation on our ability to export or sell access to our products would likely significantly harm our business, financial condition, results of operations and prospects.</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If our efforts to obtain, protect or enforce our patents and other intellectual property rights related to Jelmyto, Zusduri, and our product candidates and technologies are not adequate, we may not be able to compete effectively, and we otherwise may be harmed.*</w:t>
      </w:r>
    </w:p>
    <w:p>
      <w:pPr>
        <w:spacing w:after="0" w:line="14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commercial success depends in part upon our ability to obtain and maintain patent protection and utilize trade secret protection for our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among other things, hydrogel-based pharmaceutical compositions for optimal delivery of a drug in internal cavities such as the bladder, the method for treating cancer, in particular urothelial and bladder cancer using hydrogel-based compositions, the method for treating overactive bladder topically without the need for injections, including an in-dwelling ureter catheter system for optimal delivery of a drug into the renal cavity.</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We seek patent protection for our product candidates, and we hold a broad collection of intellectual property comprised of issued patents, in-licensed patents, pending patent applications, trade secrets and trademarks covering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the pharmaceutical compositions, methods of use and manufacturing aspects of our product candidates. In the United States, we currently own, co-own or exclusively license 32 patents that are directed to protect our approved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as well as UGN-103 and UGN-104,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local compositions comprising different active ingredients, including, among others, compositions comprising UGN-501 and our potential product candidates that are under company research. These IP rights relate to certain aspects of cancer treatment. These issued patents are set to expire between 2030 and 2044. In total, our owned IP portfolio includes 61 granted patents worldwide and 19 pending patent applications filed in the United States, Europe, Israel, Japan, Canada, China, Australia, and Korea. When combined with exclusively licensed assets, the total includes approximately 115 granted patents and 54 pending applications worldwide. These patents and applications are directed to methods, systems, and compositions for the localized treatment of cancer via intravesical administration, including various active ingredients and combinations thereof. These patent applications, if issued, are set to expire between 2031 and 2046.</w:t>
      </w:r>
    </w:p>
    <w:p>
      <w:pPr>
        <w:spacing w:after="0" w:line="16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Limitations on the scope of our intellectual property rights may limit our ability to prevent third parties from designing around such rights and competing against us. For example, many of our patents do not claim a new compound. Rather, the active pharmaceutical ingredients of our products are known compounds and our patents and pending patent applications are directed among other things, to novel formulations of these known compounds with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Accordingly, other parties may compete with us, for example, by independently developing or obtaining competing topical formulations that are designed around our patent claims, but which may contain the same active ingredients, or by seeking to invalidate our patents. Any disclosure of or misappropriation by third parties of our confidential proprietary information could enable competitors to quickly duplicate or surpass our technological achievements, eroding our competitive position in the market.</w:t>
      </w:r>
    </w:p>
    <w:p>
      <w:pPr>
        <w:spacing w:after="0" w:line="1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will not necessarily seek to protect our intellectual property rights in all jurisdictions throughout the world and we may not be able to adequately enforce our intellectual property rights even in the jurisdictions where we seek protection.</w:t>
      </w:r>
    </w:p>
    <w:p>
      <w:pPr>
        <w:spacing w:after="0" w:line="14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One or more of the patent applications that we filed,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granted patents are complex, lengthy and highly technical documents that are often prepared under limited time constraints and may not be free from errors that make their interpretation uncertain. The existence of errors in a patent application may have an adverse effect on the patent, its scope and its enforceability. Our pending patent applications may not be issued, and the scope of the claims of patent applications that do issue may be too narrow to adequately protect our competitive advantage. Also, our granted patents may be subject to challenges or narrowly construed and may not provide adequate protection.</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we infringe, misappropriate or otherwise violate the intellectual property rights of third parties.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USPTO may be subject to reexamination and other challenges.</w:t>
      </w:r>
    </w:p>
    <w:p>
      <w:pPr>
        <w:spacing w:after="0" w:line="1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Pharmaceutical patents and patent applications involve highly complex legal and factual questions, which, if determined adversely to us, could negatively impact our patent position. There is significant litigation activity in the pharmaceutical industry regarding patent and other intellectual property rights. Such litigation could result in substantial costs and be a distraction to management and other employees.</w:t>
      </w:r>
    </w:p>
    <w:p>
      <w:pPr>
        <w:spacing w:after="0" w:line="13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The patent positions of biotechnology and pharmaceutical companies can be highly uncertain and involve complex legal and factual questions. The interpretation and breadth of claims allowed in some patents covering pharmaceutical compositions may be uncertain and difficult to determine and are often affected materially by the facts and circumstances that pertain to the patented compositions and the related patent claims. 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third-party intellectual property rights and, if appropriate, to seek licenses for such third-party intellectual property or to challenge such third-party intellectual property, which may be costly and may or may not be successful, which could also have an adverse effect on the commercial potential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any of our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only limited protection, or no protection, from our issued patents and patent applications.*</w:t>
      </w:r>
    </w:p>
    <w:p>
      <w:pPr>
        <w:spacing w:after="0" w:line="19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 can be no assurance that our patent applications will be granted. The term of individual patents depends upon the legal term of the patents in the countries in which they are obtained.</w:t>
      </w:r>
    </w:p>
    <w:p>
      <w:pPr>
        <w:spacing w:after="0" w:line="14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strength of patents in the pharmaceutical field involves complex legal and scientific questions and can be uncertain. This uncertainty includes changes to patent laws through either legislative action to change statutory patent law or court action that may reinterpret existing laws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Patents have a limited lifespan. In the United States, the natural expiration of a patent is generally 20 years after it is filed. Various extensions may be available; however, the life of a patent, and the protection it affords, is limited. Without patent protection for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or our product candidates, we may be open to competition from generic versions thereof. We received a Paragraph IV Certification Notice Letter from Teva in February 2024, providing notification that Teva has submitted an ANDA to the FDA seeking approval to manufacture, use or sell a generic version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See Part II, Item 1. “Legal Proceedings” for additional discussion. If we are unable to maintain patent protection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they will be subject to immediate competition from generic entrants after regulatory exclusivity expires in April 2027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in June 2028. Further, if we encounter delays in our development efforts, including our clinical trials, the period of time during which we could market our product candidates under patent protection would be reduced.</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ectPr>
          <w:pgSz w:w="11900" w:h="16838" w:orient="portrait"/>
          <w:cols w:equalWidth="0" w:num="1">
            <w:col w:w="11220"/>
          </w:cols>
          <w:pgMar w:left="320" w:top="121" w:right="35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 secrets may not have sufficient intellectual property protection.</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9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7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prosecution process.</w:t>
      </w:r>
    </w:p>
    <w:p>
      <w:pPr>
        <w:spacing w:after="0" w:line="14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Filing, prosecuting and defending patents on our approved products or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19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filed applications for trademarks (</w:t>
      </w:r>
      <w:r>
        <w:rPr>
          <w:rFonts w:ascii="Arial" w:cs="Arial" w:eastAsia="Arial" w:hAnsi="Arial"/>
          <w:sz w:val="18"/>
          <w:szCs w:val="18"/>
          <w:i w:val="1"/>
          <w:iCs w:val="1"/>
          <w:color w:val="auto"/>
        </w:rPr>
        <w:t>Jelmyto</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RTGel</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4"/>
          <w:szCs w:val="14"/>
          <w:i w:val="1"/>
          <w:iCs w:val="1"/>
          <w:color w:val="auto"/>
        </w:rPr>
        <w:t>TM</w:t>
      </w:r>
      <w:r>
        <w:rPr>
          <w:rFonts w:ascii="Arial" w:cs="Arial" w:eastAsia="Arial" w:hAnsi="Arial"/>
          <w:sz w:val="18"/>
          <w:szCs w:val="18"/>
          <w:color w:val="auto"/>
        </w:rPr>
        <w:t xml:space="preserve"> and UroGen</w:t>
      </w:r>
      <w:r>
        <w:rPr>
          <w:rFonts w:ascii="Arial" w:cs="Arial" w:eastAsia="Arial" w:hAnsi="Arial"/>
          <w:sz w:val="14"/>
          <w:szCs w:val="14"/>
          <w:color w:val="auto"/>
        </w:rPr>
        <w:t>®</w:t>
      </w:r>
      <w:r>
        <w:rPr>
          <w:rFonts w:ascii="Arial" w:cs="Arial" w:eastAsia="Arial" w:hAnsi="Arial"/>
          <w:sz w:val="18"/>
          <w:szCs w:val="18"/>
          <w:color w:val="auto"/>
        </w:rPr>
        <w:t xml:space="preserve">) that identify our branding elements, such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Zusduri </w:t>
      </w:r>
      <w:r>
        <w:rPr>
          <w:rFonts w:ascii="Arial" w:cs="Arial" w:eastAsia="Arial" w:hAnsi="Arial"/>
          <w:sz w:val="18"/>
          <w:szCs w:val="18"/>
          <w:color w:val="auto"/>
        </w:rPr>
        <w:t>and our unique technology in the United States, Europe, Israel, Japan and China. Although we take steps to monitor the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165"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or the patents of our licensors, which could be expensive and time consuming.*</w:t>
      </w:r>
    </w:p>
    <w:p>
      <w:pPr>
        <w:spacing w:after="0" w:line="12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Drug manufacturers may develop, seek approval for, and launch generic versions of our products. For example, we received a Paragraph IV Certification Notice Letter from Teva in February 2024, providing notification to us that Teva has submitted an ANDA to the FDA seeking approval to manufacture, use, or sell a generic version of </w:t>
      </w:r>
      <w:r>
        <w:rPr>
          <w:rFonts w:ascii="Arial" w:cs="Arial" w:eastAsia="Arial" w:hAnsi="Arial"/>
          <w:sz w:val="18"/>
          <w:szCs w:val="18"/>
          <w:i w:val="1"/>
          <w:iCs w:val="1"/>
          <w:color w:val="auto"/>
        </w:rPr>
        <w:t>Jelmyto</w:t>
      </w:r>
      <w:r>
        <w:rPr>
          <w:rFonts w:ascii="Arial" w:cs="Arial" w:eastAsia="Arial" w:hAnsi="Arial"/>
          <w:sz w:val="18"/>
          <w:szCs w:val="18"/>
          <w:color w:val="auto"/>
        </w:rPr>
        <w:t>. See Part II, Item 1. “Legal Proceedings” for additional discussion.</w:t>
      </w:r>
    </w:p>
    <w:p>
      <w:pPr>
        <w:spacing w:after="0" w:line="155" w:lineRule="exact"/>
        <w:rPr>
          <w:sz w:val="20"/>
          <w:szCs w:val="20"/>
          <w:color w:val="auto"/>
        </w:rPr>
      </w:pPr>
    </w:p>
    <w:p>
      <w:pPr>
        <w:ind w:right="620"/>
        <w:spacing w:after="0" w:line="212" w:lineRule="exact"/>
        <w:rPr>
          <w:sz w:val="20"/>
          <w:szCs w:val="20"/>
          <w:color w:val="auto"/>
        </w:rPr>
      </w:pPr>
      <w:r>
        <w:rPr>
          <w:rFonts w:ascii="Arial" w:cs="Arial" w:eastAsia="Arial" w:hAnsi="Arial"/>
          <w:sz w:val="18"/>
          <w:szCs w:val="18"/>
          <w:color w:val="auto"/>
        </w:rPr>
        <w:t>If we do not file a patent infringement lawsuit against a generic manufacturer within 45 days of receiving notice of its Paragraph IV certification, the ANDA applicant may not be subject to a 30</w:t>
      </w:r>
      <w:r>
        <w:rPr>
          <w:rFonts w:ascii="MS PGothic" w:cs="MS PGothic" w:eastAsia="MS PGothic" w:hAnsi="MS PGothic"/>
          <w:sz w:val="18"/>
          <w:szCs w:val="18"/>
          <w:color w:val="auto"/>
        </w:rPr>
        <w:t>‑</w:t>
      </w:r>
      <w:r>
        <w:rPr>
          <w:rFonts w:ascii="Arial" w:cs="Arial" w:eastAsia="Arial" w:hAnsi="Arial"/>
          <w:sz w:val="18"/>
          <w:szCs w:val="18"/>
          <w:color w:val="auto"/>
        </w:rPr>
        <w:t>month stay. If we file an infringement action against a generic drug manufacturer, that company may challenge the scope, validity or enforceability of our or our licensors’ patents, requiring us and/or our licensors to engage in complex, lengthy and costly litigation or other proceedings.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if we or one of our licensors were to initiate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Furthermore,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For example, the USPTO has proposed significant changes to how it handles inter partes review. While no rules have been finalized, the shifting standards—combined with Director-level control over institution decisions and ongoing Congressional and Federal Circuit scrutiny—have created uncertainty about when and how patents can be challenged in the United States, which in turn brings uncertainty to the outcomes of challenges to our patents in the future.</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Such litigation and administrative proceedings could result in revocation of our patents or amendment of our patents such that they do not cover our products or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products or product candidates. Such a loss of patent protection could have a negative impact on our business.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165"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significant portion of our intellectual property has been developed by our employees during their employment. Our employees execute agreements that assign to us any ownership interest in a patent or patent application created in the scope of the employee’s employment. Under the Israeli Patents Law, 5727-1967 (the “Patent Law”), inventions conceived by an employee during the scope of his or her employment with a company are regarded as “service inventions,” which belong to the employer, absent an agreement between the employee and employer giving the employee service invention rights. The Patents Law also provides that if there is no agreement between an employer and an employee determining whether the employee is entitled to receive remuneration for service inventions and on what terms, the Israeli Compensation and Royalties Committee (the “Committee”), a body constituted under the Patents Law, has the authority to determine whether the employee is entitled to remuneration for his or her inventions and the scope of such remuneration. Case law clarifies that the right to receive consideration for “service inventions” can be waived by the employee. The Committee will examine, on a case-by-case basis, the general contractual framework between the parties, using interpretation rules of general Israeli contract law. Further, the Committee has not yet determined one specific formula for calculating this remuneration, but rather uses the criteria specified in the Patents Law. Although we enter into agreements with our Israeli employees pursuant to which such individuals assign to us all rights to any inventions created during and as a result of their employment with us and waive their right to remuneration for service inventions, we may nonetheless face claims by employees demanding remuneration beyond their regular salary and benefits. As a consequence of such claims, we could be required to pay additional remuneration or royalties to our current and/or former employees, or be forced to litigate such claims, which could negatively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adversely affect our business.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for example, the intellectual property rights of competitors. Our commercialization activities may be subject to claims that we infringe or otherwise violate patents owned or controlled by third parties. Numerous U.S. and foreign issued patents and pending patent applications, which are owned by third parties, exist in the fields in which we are commercializing or developing our products and product candidates. As the biotechnology and pharmaceutical industries expand and more patents are issued, the risk increases that our activities related to our products and product candidates may give rise to claims of infringement of the patent rights of others. We cannot assure you that our products and product candidates will not infringe existing or future patents. We may unknowingly infringe existing patents by commercialization of our products and product candidates. It is also possible that patents of which we are aware, but which we do not believe are relevant to our products and product candidates, could nevertheless be found to be infringed by our products and product candidates. Nevertheless, we are not aware of any issued patents that we believe would prevent us from marketing our products and product candidates, if approved. There may also be patent applications that have been filed but not published that, when issued as patents, could be asserted against us.</w:t>
      </w:r>
    </w:p>
    <w:p>
      <w:pPr>
        <w:sectPr>
          <w:pgSz w:w="11900" w:h="16838" w:orient="portrait"/>
          <w:cols w:equalWidth="0" w:num="1">
            <w:col w:w="11220"/>
          </w:cols>
          <w:pgMar w:left="320" w:top="121" w:right="3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Third parties making claims against us for infringement or misappropriation of their intellectual property rights may seek and obtain injunctive or other equitable relief, which could effectively block our ability to further commercialize or develop our products and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w:t>
      </w:r>
    </w:p>
    <w:p>
      <w:pPr>
        <w:spacing w:after="0" w:line="4" w:lineRule="exact"/>
        <w:rPr>
          <w:sz w:val="20"/>
          <w:szCs w:val="20"/>
          <w:color w:val="auto"/>
        </w:rPr>
      </w:pPr>
    </w:p>
    <w:p>
      <w:pPr>
        <w:ind w:right="20" w:firstLine="8"/>
        <w:spacing w:after="0" w:line="237" w:lineRule="auto"/>
        <w:tabs>
          <w:tab w:leader="none" w:pos="2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 reasonable terms. In the event that we could not obtain a license, we may be unable to further commercialize or develop our products and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6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65"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the FDA concludes that the requirements for our relevant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Drug Price Competition and Patent Term Restoration Act of 1984 (the "Hatch-Waxman Act"), added 505(b)(2) to the FDCA. 505(b)(2) permits the filing of an NDA where at least some of the information required for approval comes from studies that were not conducted by or for the applicant, and for which the applicant has not received a right of reference, which could expedite the development program for certain of our product candidates by potentially decreasing the amount of nonclinical and clinical data that we would need to generate in order to obtain FDA approval. However, while we believe that our product candidates are reformulations of existing drugs and, therefore, will not be treated as NCEs, the submission of an NDA under the 505(b)(2) pathway does not preclude the FDA from determining that the product candidate that is the subject of such submission is an NCE and therefore not eligible for review under such regulatory pathway.</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product candidates may not receive the requisite approvals for commercialization, or we may need to conduct additional nonclinical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addition, notwithstanding the approval of a number of products by the FDA under 505(b)(2) certain competitors and others have objected to the FDA’s interpretation of 505(b)(2). If the FDA’s interpretation of 505(b)(2) is successfully challenged, the FDA may be required to change its 505(b)(2) policies and practices, which could delay or even prevent the FDA from approving any NDA that we submit under 505(b)</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 In addition, the pharmaceutical industry is highly competitive, and 505(b)(2) NDAs are subject to special requirements designed to protect the patent rights of sponsors of previously approved drugs that are referenced in a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505(b)(2) regulatory pathway for our product candidates, there is no guarantee this would ultimately lead to faster product development or earlier approval.</w:t>
      </w:r>
    </w:p>
    <w:p>
      <w:pPr>
        <w:spacing w:after="0" w:line="169"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Moreover, even if these product candidates are approved under the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5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addition, 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the FDA and the FTC have been focused on brand companies’ denial of drug supply to potential generic competitors for testing. In December 2019, the CREATES Act was enacted, which provides a legislatively defined private right of action under which generic companies can bring suit against companies who refuse access to product for the bioequivalence testing needed to support approval of a generic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cannot currently predict the specific outcome or impact on our business of such regulatory and legislative initiatives, litigation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investigation. However, it is our policy, which is in compliance with the CREATES Act, to evaluate requests for samples of our</w:t>
      </w:r>
    </w:p>
    <w:p>
      <w:pPr>
        <w:spacing w:after="0" w:line="234" w:lineRule="auto"/>
        <w:rPr>
          <w:sz w:val="20"/>
          <w:szCs w:val="20"/>
          <w:color w:val="auto"/>
        </w:rPr>
      </w:pPr>
      <w:r>
        <w:rPr>
          <w:rFonts w:ascii="Arial" w:cs="Arial" w:eastAsia="Arial" w:hAnsi="Arial"/>
          <w:sz w:val="18"/>
          <w:szCs w:val="18"/>
          <w:color w:val="auto"/>
        </w:rPr>
        <w:t>approved product, and to provide samples in response to bona fide requests from qualified third parties, including generic manufacturers,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specified conditions. We have provided samples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certain generic manufacturers.</w:t>
      </w:r>
    </w:p>
    <w:p>
      <w:pPr>
        <w:spacing w:after="0" w:line="182"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For example, in March 2010, the ACA was signed into law. There have been judicial and Congressional challenges, as well as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on November 15, 2021, the Infrastructure Investment and Jobs Act was signed into law. On January 1, 2023, manufacturers began to be required to pay quarterly refunds to the CMS for discarded amounts of certain single-dose container and single-use package drugs payable under part B of the Medicare program. Refunds are generally based on the discarded volume above 10% of the total allowed amount. However, in unique circumstances, CMS will increase the applicable threshold to 35%. At this time, CMS has determined that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fit within this unique circumstance classification. We do not expect </w:t>
      </w:r>
      <w:r>
        <w:rPr>
          <w:rFonts w:ascii="Arial" w:cs="Arial" w:eastAsia="Arial" w:hAnsi="Arial"/>
          <w:sz w:val="18"/>
          <w:szCs w:val="18"/>
          <w:i w:val="1"/>
          <w:iCs w:val="1"/>
          <w:color w:val="auto"/>
        </w:rPr>
        <w:t xml:space="preserve">Zusduri </w:t>
      </w:r>
      <w:r>
        <w:rPr>
          <w:rFonts w:ascii="Arial" w:cs="Arial" w:eastAsia="Arial" w:hAnsi="Arial"/>
          <w:sz w:val="18"/>
          <w:szCs w:val="18"/>
          <w:color w:val="auto"/>
        </w:rPr>
        <w:t>to exceed the applicable 35% threshold.</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establishing Most-Favored-Nation pricing for pharmaceutical products and launching an online clearinghouse (“TrumpRx”) for patients to purchase certain products from manufacturers on a cash pay basis;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6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167" w:lineRule="exact"/>
        <w:rPr>
          <w:sz w:val="20"/>
          <w:szCs w:val="20"/>
          <w:color w:val="auto"/>
        </w:rPr>
      </w:pPr>
    </w:p>
    <w:p>
      <w:pPr>
        <w:ind w:right="580"/>
        <w:spacing w:after="0" w:line="249" w:lineRule="auto"/>
        <w:rPr>
          <w:sz w:val="20"/>
          <w:szCs w:val="20"/>
          <w:color w:val="auto"/>
        </w:rPr>
      </w:pPr>
      <w:r>
        <w:rPr>
          <w:rFonts w:ascii="Arial" w:cs="Arial" w:eastAsia="Arial" w:hAnsi="Arial"/>
          <w:sz w:val="18"/>
          <w:szCs w:val="18"/>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15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Under the Orphan Drug Act of 1983 (the "Orphan Drug Act"), the FDA may designate a product as an orphan drug (“Orphan Drug Designation”)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Although the FDA has granted Orphan Drug Designation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UGN-201 for treatment of UTUC and CIS, respectively, we may not receive Orphan Drug Designation for any of our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16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spacing w:after="0" w:line="14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user-fee waivers and market exclusivity for certain periods of time.</w:t>
      </w:r>
    </w:p>
    <w:p>
      <w:pPr>
        <w:spacing w:after="0" w:line="14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UGN-201 have been granted Orphan Drug Designation for the treatment of UTUC and CIS, respectively,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Even if we obtain Orphan Drug Designation for our other product candidates, we may not be the first to obtain regulatory approval for any particular orphan indication due to the uncertainties associated with developing biotechnology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Conversely, even if we are granted orphan exclusivity, a competitor that demonstrates clinical superiority with the same active moiety may obtain approval prior to expiration of our exclusivity.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Jelmyto and Zusduri are, and any of our product candidates that receive regulatory approval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15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Jelmyto, Zusduri </w:t>
      </w:r>
      <w:r>
        <w:rPr>
          <w:rFonts w:ascii="Arial" w:cs="Arial" w:eastAsia="Arial" w:hAnsi="Arial"/>
          <w:sz w:val="18"/>
          <w:szCs w:val="18"/>
          <w:color w:val="auto"/>
        </w:rPr>
        <w:t>and any of our product candidates that receive regulatory approval will be subject to continual regulatory review by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and/or foreign regulatory authorities. Additionally,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are, and any of our product candidates that receive regulatory approval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The FDA approvals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are, and any regulatory approvals that we receive for our product candidates may be, subject to limitations on the approved indications for which the product may be marketed or to the conditions of approval. In addition, any regulatory approvals that we receive for our current or future product candidates may contain requirements for potentially costly post-marketing testing, including Phase 4 clinical trials, and surveillance to monitor the safety and efficacy of the product. In addition, the manufacturing processes, labeling, packaging, distribution, adverse event reporting, storage, advertising, promotion and recordkeeping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are, and any of our product candidates that receive regulatory approval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Later discovery of previously unknown problems with our products or product candidates, including adverse events of unanticipated severity or frequency, or problems with our third-party manufacturers’ processes, or failure to comply with regulatory requirements, may result in, among other things:</w:t>
      </w:r>
    </w:p>
    <w:p>
      <w:pPr>
        <w:spacing w:after="0" w:line="169" w:lineRule="exact"/>
        <w:rPr>
          <w:sz w:val="20"/>
          <w:szCs w:val="20"/>
          <w:color w:val="auto"/>
        </w:rPr>
      </w:pPr>
    </w:p>
    <w:p>
      <w:pPr>
        <w:ind w:left="380" w:right="480" w:hanging="318"/>
        <w:spacing w:after="0" w:line="27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98" w:lineRule="exact"/>
        <w:rPr>
          <w:rFonts w:ascii="Arial" w:cs="Arial" w:eastAsia="Arial" w:hAnsi="Arial"/>
          <w:sz w:val="18"/>
          <w:szCs w:val="18"/>
          <w:color w:val="auto"/>
        </w:rPr>
      </w:pPr>
    </w:p>
    <w:p>
      <w:pPr>
        <w:ind w:left="380" w:right="740" w:hanging="318"/>
        <w:spacing w:after="0" w:line="27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license approvals; and</w:t>
      </w:r>
    </w:p>
    <w:p>
      <w:pPr>
        <w:spacing w:after="0" w:line="140" w:lineRule="exact"/>
        <w:rPr>
          <w:rFonts w:ascii="Arial" w:cs="Arial" w:eastAsia="Arial" w:hAnsi="Arial"/>
          <w:sz w:val="18"/>
          <w:szCs w:val="18"/>
          <w:color w:val="auto"/>
        </w:rPr>
      </w:pPr>
    </w:p>
    <w:p>
      <w:pPr>
        <w:ind w:left="380" w:right="360" w:hanging="318"/>
        <w:spacing w:after="0" w:line="27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 injunctions or the imposition of civil or criminal penalties.</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6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significant penalties.</w:t>
      </w:r>
    </w:p>
    <w:p>
      <w:pPr>
        <w:spacing w:after="0" w:line="15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are subject to various U.S. federal, state and foreign health care laws, including those intended to prevent health care fraud and abuse. These laws may impact, among other things, our clinical research, sales and marketing activities, and constrain the business or financial arrangements with healthcare providers, physicians, and other parties that have the ability to directly or indirectly influence the prescribing, ordering, marketing, or distribution of products for which we obtain marketing approval.</w:t>
      </w:r>
    </w:p>
    <w:p>
      <w:pPr>
        <w:spacing w:after="0" w:line="16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w:t>
      </w:r>
    </w:p>
    <w:p>
      <w:pPr>
        <w:ind w:right="480"/>
        <w:spacing w:after="0" w:line="250" w:lineRule="auto"/>
        <w:rPr>
          <w:sz w:val="20"/>
          <w:szCs w:val="20"/>
          <w:color w:val="auto"/>
        </w:rPr>
      </w:pPr>
      <w:r>
        <w:rPr>
          <w:rFonts w:ascii="Arial" w:cs="Arial" w:eastAsia="Arial" w:hAnsi="Arial"/>
          <w:sz w:val="18"/>
          <w:szCs w:val="18"/>
          <w:color w:val="auto"/>
        </w:rPr>
        <w:t>Remuneration has been broadly defined to include anything of value, including, but not limited to, cash, improper discounts, and free or reduced-price items and services.</w:t>
      </w:r>
    </w:p>
    <w:p>
      <w:pPr>
        <w:spacing w:after="0" w:line="15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Federal false claims laws, including the federal civil False Claims Act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ectPr>
          <w:pgSz w:w="11900" w:h="16838" w:orient="portrait"/>
          <w:cols w:equalWidth="0" w:num="1">
            <w:col w:w="11220"/>
          </w:cols>
          <w:pgMar w:left="320" w:top="121" w:right="3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pharmaceutical companies for, among other things, alleged violations of these anti-fraud statutes, based on among other things, unlawful financial inducements paid to prescribers and beneficiaries, as well as impermissible promotional practices, including certain marketing arrangements that rely on volume-based pricing and off-label promotion of FDA-approved products.</w:t>
      </w:r>
    </w:p>
    <w:p>
      <w:pPr>
        <w:spacing w:after="0" w:line="163"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The federal Health Insurance Portability and Accountability Act of 1996 ("HIPAA"), among other things, imposes civil and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16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Additionally, HIPAA, as amended by the Health Information Technology for Economic and Clinical Health Act of 2009 (“HITECH”), and their implementing regulations, impose, among other things, specified requirements on covered entities, including certain healthcare providers, health plans, and healthcare clearinghouses, and their business associates as well as their covered subcontractors relating to the privacy,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operations are also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CMS information related to payments and other transfers of value provided to physicians (defined to include doctors, dentists, optometrists, podiatrists and chiropractors), certain other healthcare professionals (such as physician assistants and nurse practitioners)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drug pricing, and/or state laws that require pharmaceutical companies to comply with the pharmaceutical industry’s voluntary compliance guidelines and the relevant compliance guidelines promulgated by the federal government.</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Many states have also adopted laws similar to each of the above federal laws, which may be broader in scope and apply to items or services reimbursed by any payor, including commercial insurers. Some state and local laws require us to maintain certain regulatory licenses to manufacture or distribute pharmaceutical products commercially and/or to register our pharmaceutical sales representatives. In addition, we may be subject to certain foreign healthcare laws that are analogous to the U.S. healthcare laws described above. If any of our business activities, including but not limited to our relationships with healthcare providers, are found to violate any of the aforementioned laws, we may be subject to significant administrative, civil and criminal penalties, damages, monetary fines, disgorgement,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17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Also, the FCPA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0" w:lineRule="exact"/>
        <w:rPr>
          <w:sz w:val="20"/>
          <w:szCs w:val="20"/>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ectPr>
          <w:pgSz w:w="11900" w:h="16838" w:orient="portrait"/>
          <w:cols w:equalWidth="0" w:num="1">
            <w:col w:w="11240"/>
          </w:cols>
          <w:pgMar w:left="320" w:top="121" w:right="339" w:bottom="702"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2"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changing U.S. and foreign laws, regulations, and rules, contractual obligations, industry standards, self-regulatory schemes, policies and other obligations related to data privacy and security. The actual or perceived failure by us or by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or otherwise adversely affect our business.*</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ordinary course of our business, we collect, receive, store, process, generate, use, transfer, disclose, make accessible, protect, secure, dispose of, transmit, and share (collectively, "process") Sensitive Information. Our data processing activities are subject to numerous data privacy and security obligations, such as domestic and foreign laws and regulations, guidance, industry standards, external and internal privacy and security policies, contractual requirements, and other obligations relating to privacy, data protection, and data security.</w:t>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United States, federal, state, and local governments have enacted numerous privacy, data protection, and data security laws, including data breach notification laws, personal data privacy laws, and consumer protection laws (e.g., Section 5 of the Federal Trade Commission Act), and other similar laws (e.g., wiretapping laws). For example, as further described above, HIPAA imposes specific requirements relating to the privacy, security, and transmission of individually identifiable health information. Additionally,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types of personal data,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laws are being considered at the federal, state, and local levels and we expect more states to pass similar laws in the future. Furthermore, we are or may become subject to new laws governing the privacy of consumer health data.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These laws demonstrate our vulnerability to the evolving regulatory environment related to personal data. As we expand our operations, these and similar laws may increase our compliance costs and potential liability.</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privacy, data protection, and data security. For example, the European Union’s General Data Protection Regulation (“EU GDPR”) and the United Kingdom’s GDPR (“UK GDPR”) impose strict requirements for processing personal data. Our upcoming clinical trial will include sites in the EU, which will increase our exposure to potential liability under the EU GDPR.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We have expanded our business to include additional clinical trial operations in the European Union and eastern Europe, subjecting us to increased governmental regulation in such jurisdictions, such as the EU GDPR. Assisting our customers, partners, and vendors in complying with the EU GDPR or other foreign laws, or complying with such laws ourselves, has in the past and may in the future cause us to incur substantial operational costs or require us to change our business practices. Additionally, under various privacy laws and other obligations, we may be required to obtain certain consents to process personal data. Our inability or failure to do so could result in adverse consequences, including class action litigation and mass arbitration demands.</w:t>
      </w:r>
    </w:p>
    <w:p>
      <w:pPr>
        <w:spacing w:after="0" w:line="1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Moreover,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Inability to import personal data from Europe to the United States may limit our ability to conduct clinical trial activities in Europe, limit our ability to collaborate with contract research organizations, service providers, contractors and other entities subject to European data protection laws, adversely impact our operations, product development and ability to provide our products, and require us to increase our data processing capabilities in Europe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w:t>
      </w:r>
    </w:p>
    <w:p>
      <w:pPr>
        <w:sectPr>
          <w:pgSz w:w="11900" w:h="16838" w:orient="portrait"/>
          <w:cols w:equalWidth="0" w:num="1">
            <w:col w:w="11240"/>
          </w:cols>
          <w:pgMar w:left="320" w:top="121" w:right="339" w:bottom="0" w:gutter="0" w:footer="0" w:header="0"/>
        </w:sectPr>
      </w:pPr>
    </w:p>
    <w:bookmarkStart w:id="85" w:name="page86"/>
    <w:bookmarkEnd w:id="85"/>
    <w:p>
      <w:pPr>
        <w:spacing w:after="0" w:line="270" w:lineRule="auto"/>
        <w:rPr>
          <w:sz w:val="20"/>
          <w:szCs w:val="20"/>
          <w:color w:val="auto"/>
        </w:rPr>
      </w:pPr>
      <w:r>
        <w:rPr>
          <w:rFonts w:ascii="Arial" w:cs="Arial" w:eastAsia="Arial" w:hAnsi="Arial"/>
          <w:sz w:val="18"/>
          <w:szCs w:val="18"/>
          <w:color w:val="auto"/>
        </w:rPr>
        <w:t>identified or encrypted, which presents particular challenges for companies like ours and may impact our ability to transfer data in connection with certain transactions or agreements.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employees and personnel use AI technologies to perform their work, and the disclosure and use of personal data in generative AI technologies is subject to various privacy laws and other privacy obligations. Governments have passed and are likely to pass additional laws regulating AI technologies. Our use of this technology could result in additional compliance costs, regulatory investigations and actions, and lawsuits. If we are unable to use AI, it could make our business less efficient and result in competitive disadvantages.</w:t>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Additionally, we are or may become subject to industry standards related to data privacy or security adopted by industry groups. We publish privacy policies, marketing materials, whitepapers, and other statements such as statements related to security or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6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Our business model materially depends on our ability to process personal data, so we are particularly exposed to the risks associated with the rapidly changing legal landscape. For example, we may be at heightened risk of regulatory scrutiny due to collection of key-coded clinical trial participant information, and any changes in the regulatory framework could require us to fundamentally change our business model.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and substantial changes to our business model or operations.</w:t>
      </w:r>
    </w:p>
    <w:p>
      <w:pPr>
        <w:spacing w:after="0" w:line="183"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It may be difficult for us to profitably sell our products and product candidates that receive regulatory approval if coverage and reimbursement for these products is limited by government authorities and/or third-party payor policies.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In addition to any healthcare reform measures which may affect reimbursement, market acceptance and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and our product candidates, if approved, will depend on the coverage and reimbursement policies of third-party payors, like government authorities, private health insurers, and managed care organizations. Third-party payors decide which medications they will cover and separately establish reimbursement levels. CMS has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 Our existing pass-through status was set to expire in the fourth quarter of 2023. However, CMS granted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New Technology APC, effective from October 1, 2023. A service is paid separately under a New Technology APC until sufficient claims data have been collected to allow CMS to assign the procedure to a clinical APC group that is appropriate in clinical and resource terms. This generally occurs within two to three years from the time a new HCPCS code becomes effective. However, if CMS are able to collect sufficient claims data in less than two years, CMS may consider reassigning the service to an appropriate APC, or, if CMS does not have sufficient data at the end of three years upon which to base its reassignment to an appropriate clinical APC, CMS may keep the service in a New Technology APC until adequate data become available. Loss of our New Technology APC may result in Medicare beneficiaries losing access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hospital outpatient setting and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becoming packaged into a comprehensive APC.</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 primary trend in the U.S. healthcare industry and elsewhere is cost containment.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Although our experience to date has demonstrated coverage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cannot be sure that adequate coverage will be available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our product candidates, if approved, or, if coverage is available, the level of reimbursement will be adequate to make our products affordable for patients or profitable for us. In addition, if inflation or other factors were to significantly increase our business costs, it may not be feasible to pass price increases on to our customers due to the process by which healthcare providers are reimbursed for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CMS’s determinations. Our experience to date has demonstrated coverage with CMS and commercial payors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have established written policies with certain commercial providers. However, it is difficult to predict what third-party payors will decide with respect to reimbursement for fundamentally novel products such as </w:t>
      </w:r>
      <w:r>
        <w:rPr>
          <w:rFonts w:ascii="Arial" w:cs="Arial" w:eastAsia="Arial" w:hAnsi="Arial"/>
          <w:sz w:val="18"/>
          <w:szCs w:val="18"/>
          <w:i w:val="1"/>
          <w:iCs w:val="1"/>
          <w:color w:val="auto"/>
        </w:rPr>
        <w:t>Zusduri</w:t>
      </w:r>
      <w:r>
        <w:rPr>
          <w:rFonts w:ascii="Arial" w:cs="Arial" w:eastAsia="Arial" w:hAnsi="Arial"/>
          <w:sz w:val="18"/>
          <w:szCs w:val="18"/>
          <w:color w:val="auto"/>
        </w:rPr>
        <w:t>, as there is no body of established practices and precedents for these new products.</w:t>
      </w:r>
    </w:p>
    <w:p>
      <w:pPr>
        <w:spacing w:after="0" w:line="17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Moreover, for products administered under the supervision of a physician, obtaining and maintaining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such as </w:t>
      </w:r>
      <w:r>
        <w:rPr>
          <w:rFonts w:ascii="Arial" w:cs="Arial" w:eastAsia="Arial" w:hAnsi="Arial"/>
          <w:sz w:val="18"/>
          <w:szCs w:val="18"/>
          <w:i w:val="1"/>
          <w:iCs w:val="1"/>
          <w:color w:val="auto"/>
        </w:rPr>
        <w:t>Zusduri</w:t>
      </w:r>
      <w:r>
        <w:rPr>
          <w:rFonts w:ascii="Arial" w:cs="Arial" w:eastAsia="Arial" w:hAnsi="Arial"/>
          <w:sz w:val="18"/>
          <w:szCs w:val="18"/>
          <w:color w:val="auto"/>
        </w:rPr>
        <w:t>,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use of a product is:</w:t>
      </w:r>
    </w:p>
    <w:p>
      <w:pPr>
        <w:spacing w:after="0" w:line="140" w:lineRule="exact"/>
        <w:rPr>
          <w:sz w:val="20"/>
          <w:szCs w:val="20"/>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Obtaining and maintaining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Although we have obtained written policy coverage in commercial plans as well as coverage for government plans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date,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cannot be sure that adequate coverage or reimbursement will continue to be available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be available for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any of our</w:t>
      </w:r>
    </w:p>
    <w:p>
      <w:pPr>
        <w:spacing w:after="0" w:line="234" w:lineRule="auto"/>
        <w:rPr>
          <w:sz w:val="20"/>
          <w:szCs w:val="20"/>
          <w:color w:val="auto"/>
        </w:rPr>
      </w:pPr>
      <w:r>
        <w:rPr>
          <w:rFonts w:ascii="Arial" w:cs="Arial" w:eastAsia="Arial" w:hAnsi="Arial"/>
          <w:sz w:val="18"/>
          <w:szCs w:val="18"/>
          <w:color w:val="auto"/>
        </w:rPr>
        <w:t>product candidates, if approved. Also, we cannot be sure that reimbursement amounts will not reduce the demand for, or the price of, our</w:t>
      </w:r>
    </w:p>
    <w:p>
      <w:pPr>
        <w:spacing w:after="0" w:line="235" w:lineRule="auto"/>
        <w:rPr>
          <w:sz w:val="20"/>
          <w:szCs w:val="20"/>
          <w:color w:val="auto"/>
        </w:rPr>
      </w:pPr>
      <w:r>
        <w:rPr>
          <w:rFonts w:ascii="Arial" w:cs="Arial" w:eastAsia="Arial" w:hAnsi="Arial"/>
          <w:sz w:val="18"/>
          <w:szCs w:val="18"/>
          <w:color w:val="auto"/>
        </w:rPr>
        <w:t>future products. If reimbursement is not available, or is available only to limited levels, we may not be able to successfully</w:t>
      </w:r>
    </w:p>
    <w:p>
      <w:pPr>
        <w:spacing w:after="0" w:line="235" w:lineRule="auto"/>
        <w:rPr>
          <w:sz w:val="20"/>
          <w:szCs w:val="20"/>
          <w:color w:val="auto"/>
        </w:rPr>
      </w:pPr>
      <w:r>
        <w:rPr>
          <w:rFonts w:ascii="Arial" w:cs="Arial" w:eastAsia="Arial" w:hAnsi="Arial"/>
          <w:sz w:val="18"/>
          <w:szCs w:val="18"/>
          <w:color w:val="auto"/>
        </w:rPr>
        <w:t xml:space="preserve">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our product candidates, or achieve profitably at all, even if approved. Additionally, coverage policies and</w:t>
      </w:r>
    </w:p>
    <w:p>
      <w:pPr>
        <w:spacing w:after="0" w:line="235" w:lineRule="auto"/>
        <w:rPr>
          <w:sz w:val="20"/>
          <w:szCs w:val="20"/>
          <w:color w:val="auto"/>
        </w:rPr>
      </w:pPr>
      <w:r>
        <w:rPr>
          <w:rFonts w:ascii="Arial" w:cs="Arial" w:eastAsia="Arial" w:hAnsi="Arial"/>
          <w:sz w:val="18"/>
          <w:szCs w:val="18"/>
          <w:color w:val="auto"/>
        </w:rPr>
        <w:t>reimbursement rates may change at any time. Even if favorable coverage and reimbursement status is attained for any of our products or</w:t>
      </w:r>
    </w:p>
    <w:p>
      <w:pPr>
        <w:spacing w:after="0" w:line="235" w:lineRule="auto"/>
        <w:rPr>
          <w:sz w:val="20"/>
          <w:szCs w:val="20"/>
          <w:color w:val="auto"/>
        </w:rPr>
      </w:pPr>
      <w:r>
        <w:rPr>
          <w:rFonts w:ascii="Arial" w:cs="Arial" w:eastAsia="Arial" w:hAnsi="Arial"/>
          <w:sz w:val="18"/>
          <w:szCs w:val="18"/>
          <w:color w:val="auto"/>
        </w:rPr>
        <w:t>product candidates that receive regulatory approval, less favorable coverage policies and reimbursement rates may be implemented in the</w:t>
      </w:r>
    </w:p>
    <w:p>
      <w:pPr>
        <w:spacing w:after="0" w:line="234" w:lineRule="auto"/>
        <w:rPr>
          <w:sz w:val="20"/>
          <w:szCs w:val="20"/>
          <w:color w:val="auto"/>
        </w:rPr>
      </w:pPr>
      <w:r>
        <w:rPr>
          <w:rFonts w:ascii="Arial" w:cs="Arial" w:eastAsia="Arial" w:hAnsi="Arial"/>
          <w:sz w:val="18"/>
          <w:szCs w:val="18"/>
          <w:color w:val="auto"/>
        </w:rPr>
        <w:t>future. For example, beginning on January 1, 2023, manufacturers began to be required to pay quarterly refunds to CMS for discarded</w:t>
      </w:r>
    </w:p>
    <w:p>
      <w:pPr>
        <w:spacing w:after="0" w:line="235" w:lineRule="auto"/>
        <w:rPr>
          <w:sz w:val="20"/>
          <w:szCs w:val="20"/>
          <w:color w:val="auto"/>
        </w:rPr>
      </w:pPr>
      <w:r>
        <w:rPr>
          <w:rFonts w:ascii="Arial" w:cs="Arial" w:eastAsia="Arial" w:hAnsi="Arial"/>
          <w:sz w:val="18"/>
          <w:szCs w:val="18"/>
          <w:color w:val="auto"/>
        </w:rPr>
        <w:t>amounts of single-dose container and single-use package drugs covered under Medicare Part B. Rebates will generally be based on the</w:t>
      </w:r>
    </w:p>
    <w:p>
      <w:pPr>
        <w:spacing w:after="0" w:line="235" w:lineRule="auto"/>
        <w:rPr>
          <w:sz w:val="20"/>
          <w:szCs w:val="20"/>
          <w:color w:val="auto"/>
        </w:rPr>
      </w:pPr>
      <w:r>
        <w:rPr>
          <w:rFonts w:ascii="Arial" w:cs="Arial" w:eastAsia="Arial" w:hAnsi="Arial"/>
          <w:sz w:val="18"/>
          <w:szCs w:val="18"/>
          <w:color w:val="auto"/>
        </w:rPr>
        <w:t>discarded volume above 10% of the total allowed amount. CMS has been receptive to evaluating the feasibility of the 10% threshold, and</w:t>
      </w:r>
    </w:p>
    <w:p>
      <w:pPr>
        <w:spacing w:after="0" w:line="235" w:lineRule="auto"/>
        <w:rPr>
          <w:sz w:val="20"/>
          <w:szCs w:val="20"/>
          <w:color w:val="auto"/>
        </w:rPr>
      </w:pPr>
      <w:r>
        <w:rPr>
          <w:rFonts w:ascii="Arial" w:cs="Arial" w:eastAsia="Arial" w:hAnsi="Arial"/>
          <w:sz w:val="18"/>
          <w:szCs w:val="18"/>
          <w:color w:val="auto"/>
        </w:rPr>
        <w:t>where appropriate, has modified the discarded volume threshold accordingly. In unique circumstances, CMS will increase the applicable</w:t>
      </w:r>
    </w:p>
    <w:p>
      <w:pPr>
        <w:spacing w:after="0" w:line="235" w:lineRule="auto"/>
        <w:rPr>
          <w:sz w:val="20"/>
          <w:szCs w:val="20"/>
          <w:color w:val="auto"/>
        </w:rPr>
      </w:pPr>
      <w:r>
        <w:rPr>
          <w:rFonts w:ascii="Arial" w:cs="Arial" w:eastAsia="Arial" w:hAnsi="Arial"/>
          <w:sz w:val="18"/>
          <w:szCs w:val="18"/>
          <w:color w:val="auto"/>
        </w:rPr>
        <w:t xml:space="preserve">threshold to 35%. At this time, CMS has determined that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fit within this unique circumstance classification. We do not</w:t>
      </w:r>
    </w:p>
    <w:p>
      <w:pPr>
        <w:spacing w:after="0" w:line="202" w:lineRule="exact"/>
        <w:rPr>
          <w:sz w:val="20"/>
          <w:szCs w:val="20"/>
          <w:color w:val="auto"/>
        </w:rPr>
      </w:pPr>
      <w:r>
        <w:rPr>
          <w:rFonts w:ascii="Arial" w:cs="Arial" w:eastAsia="Arial" w:hAnsi="Arial"/>
          <w:sz w:val="18"/>
          <w:szCs w:val="18"/>
          <w:color w:val="auto"/>
        </w:rPr>
        <w:t xml:space="preserve">expect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to exceed the applicable 35% threshold. If we are unable to obtain and maintain sufficient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w:t>
      </w:r>
    </w:p>
    <w:p>
      <w:pPr>
        <w:spacing w:after="0" w:line="235" w:lineRule="auto"/>
        <w:rPr>
          <w:sz w:val="20"/>
          <w:szCs w:val="20"/>
          <w:color w:val="auto"/>
        </w:rPr>
      </w:pPr>
      <w:r>
        <w:rPr>
          <w:rFonts w:ascii="Arial" w:cs="Arial" w:eastAsia="Arial" w:hAnsi="Arial"/>
          <w:sz w:val="18"/>
          <w:szCs w:val="18"/>
          <w:color w:val="auto"/>
        </w:rPr>
        <w:t>reimbursement for our products, the commercial success of our products may be greatly hindered and our financial condition and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may be materially and adversely affected.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00"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The market price of our ordinary shares has been and may continue to be subject to fluctuation and you could lose all or part of your investment.*</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69" w:lineRule="exact"/>
        <w:rPr>
          <w:sz w:val="20"/>
          <w:szCs w:val="20"/>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success of our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success of our commercial launch of </w:t>
      </w:r>
      <w:r>
        <w:rPr>
          <w:rFonts w:ascii="Arial" w:cs="Arial" w:eastAsia="Arial" w:hAnsi="Arial"/>
          <w:sz w:val="18"/>
          <w:szCs w:val="18"/>
          <w:i w:val="1"/>
          <w:iCs w:val="1"/>
          <w:color w:val="auto"/>
        </w:rPr>
        <w:t>Zusduri</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physician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any other approved product;</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products that we sell;</w:t>
      </w:r>
    </w:p>
    <w:p>
      <w:pPr>
        <w:spacing w:after="0" w:line="198" w:lineRule="exact"/>
        <w:rPr>
          <w:rFonts w:ascii="Arial" w:cs="Arial" w:eastAsia="Arial" w:hAnsi="Arial"/>
          <w:sz w:val="18"/>
          <w:szCs w:val="18"/>
          <w:color w:val="auto"/>
        </w:rPr>
      </w:pPr>
    </w:p>
    <w:p>
      <w:pPr>
        <w:ind w:left="380" w:right="600" w:hanging="318"/>
        <w:spacing w:after="0" w:line="271"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voluntary or mandatory recall of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or any other approved product, or the imposition of any additional labeling, marketing or promotional restrictions;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success or failure to obtain approval for and commercialize our product candidates;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ordinary shares are covered by analysts;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publication of the results of nonclinical or clinical trials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t>
      </w:r>
      <w:r>
        <w:rPr>
          <w:rFonts w:ascii="Arial" w:cs="Arial" w:eastAsia="Arial" w:hAnsi="Arial"/>
          <w:sz w:val="18"/>
          <w:szCs w:val="18"/>
          <w:i w:val="1"/>
          <w:iCs w:val="1"/>
          <w:color w:val="auto"/>
        </w:rPr>
        <w:t>Zusduri</w:t>
      </w:r>
      <w:r>
        <w:rPr>
          <w:rFonts w:ascii="Arial" w:cs="Arial" w:eastAsia="Arial" w:hAnsi="Arial"/>
          <w:sz w:val="18"/>
          <w:szCs w:val="18"/>
          <w:color w:val="auto"/>
        </w:rPr>
        <w:t xml:space="preserve"> or our product candidates;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198" w:lineRule="exact"/>
        <w:rPr>
          <w:rFonts w:ascii="Arial" w:cs="Arial" w:eastAsia="Arial" w:hAnsi="Arial"/>
          <w:sz w:val="18"/>
          <w:szCs w:val="18"/>
          <w:color w:val="auto"/>
        </w:rPr>
      </w:pPr>
    </w:p>
    <w:p>
      <w:pPr>
        <w:ind w:left="380" w:right="200" w:hanging="318"/>
        <w:spacing w:after="0" w:line="271"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 candidates and the generation of sales from those products;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w:t>
      </w:r>
    </w:p>
    <w:p>
      <w:pPr>
        <w:spacing w:after="0" w:line="198" w:lineRule="exact"/>
        <w:rPr>
          <w:rFonts w:ascii="Arial" w:cs="Arial" w:eastAsia="Arial" w:hAnsi="Arial"/>
          <w:sz w:val="18"/>
          <w:szCs w:val="18"/>
          <w:color w:val="auto"/>
        </w:rPr>
      </w:pPr>
    </w:p>
    <w:p>
      <w:pPr>
        <w:ind w:left="380" w:right="60" w:hanging="318"/>
        <w:spacing w:after="0" w:line="271"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announcement of, or developments in, any litigation matters, including any product liability claims related to </w:t>
      </w:r>
      <w:r>
        <w:rPr>
          <w:rFonts w:ascii="Arial" w:cs="Arial" w:eastAsia="Arial" w:hAnsi="Arial"/>
          <w:sz w:val="18"/>
          <w:szCs w:val="18"/>
          <w:i w:val="1"/>
          <w:iCs w:val="1"/>
          <w:color w:val="auto"/>
        </w:rPr>
        <w:t>Jelmyto, Zusduri</w:t>
      </w:r>
      <w:r>
        <w:rPr>
          <w:rFonts w:ascii="Arial" w:cs="Arial" w:eastAsia="Arial" w:hAnsi="Arial"/>
          <w:sz w:val="18"/>
          <w:szCs w:val="18"/>
          <w:color w:val="auto"/>
        </w:rPr>
        <w:t xml:space="preserve"> or any of our product candidates;</w:t>
      </w:r>
    </w:p>
    <w:p>
      <w:pPr>
        <w:spacing w:after="0" w:line="140"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shareholders, of our ordinary shares or other securities in the future;</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198"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including factors unrelated to our operating performance.</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our sale of additional ordinary shares or other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ectPr>
          <w:pgSz w:w="11900" w:h="16838" w:orient="portrait"/>
          <w:cols w:equalWidth="0" w:num="1">
            <w:col w:w="11160"/>
          </w:cols>
          <w:pgMar w:left="320" w:top="121" w:right="419" w:bottom="95" w:gutter="0" w:footer="0" w:header="0"/>
        </w:sectPr>
      </w:pP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9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21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In November 2025, we filed the ATM Prospectus providing for the offer and sale of ordinary shares pursuant to the ATM Sales Agreement having an aggregate offering price of up to $75.0 million, which became effective automatically. As of March 31, 2026, the remaining capacity under the ATM Prospectus was approximately $42.4 million.</w:t>
      </w:r>
    </w:p>
    <w:p>
      <w:pPr>
        <w:spacing w:after="0" w:line="173"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2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The 2026 Loan Agreement also restricts our ability to pay dividends.</w:t>
      </w:r>
    </w:p>
    <w:p>
      <w:pPr>
        <w:spacing w:after="0" w:line="165" w:lineRule="exact"/>
        <w:rPr>
          <w:sz w:val="20"/>
          <w:szCs w:val="20"/>
          <w:color w:val="auto"/>
        </w:rPr>
      </w:pPr>
    </w:p>
    <w:p>
      <w:pPr>
        <w:ind w:right="1300"/>
        <w:spacing w:after="0" w:line="278" w:lineRule="auto"/>
        <w:rPr>
          <w:sz w:val="20"/>
          <w:szCs w:val="20"/>
          <w:color w:val="auto"/>
        </w:rPr>
      </w:pPr>
      <w:r>
        <w:rPr>
          <w:rFonts w:ascii="Arial" w:cs="Arial" w:eastAsia="Arial" w:hAnsi="Arial"/>
          <w:sz w:val="18"/>
          <w:szCs w:val="18"/>
          <w:b w:val="1"/>
          <w:bCs w:val="1"/>
          <w:i w:val="1"/>
          <w:iCs w:val="1"/>
          <w:color w:val="auto"/>
        </w:rPr>
        <w:t>If we are classified as a passive foreign investment company ("PFIC"), our U.S. shareholders may suffer adverse tax consequences.</w:t>
      </w:r>
    </w:p>
    <w:p>
      <w:pPr>
        <w:spacing w:after="0" w:line="126" w:lineRule="exact"/>
        <w:rPr>
          <w:sz w:val="20"/>
          <w:szCs w:val="20"/>
          <w:color w:val="auto"/>
        </w:rPr>
      </w:pPr>
    </w:p>
    <w:p>
      <w:pPr>
        <w:ind w:right="920"/>
        <w:spacing w:after="0" w:line="253" w:lineRule="auto"/>
        <w:rPr>
          <w:sz w:val="20"/>
          <w:szCs w:val="20"/>
          <w:color w:val="auto"/>
        </w:rPr>
      </w:pPr>
      <w:r>
        <w:rPr>
          <w:rFonts w:ascii="Arial" w:cs="Arial" w:eastAsia="Arial" w:hAnsi="Arial"/>
          <w:sz w:val="18"/>
          <w:szCs w:val="18"/>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w:t>
      </w:r>
    </w:p>
    <w:p>
      <w:pPr>
        <w:spacing w:after="0" w:line="15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Based on our analysis of our income, assets, activities and market capitalization, we do not believe that we were a PFIC for the taxable year ended December 31, 2025. However, because the determination of whether or not we are a PFIC is a fact-intensive determination made on an annual basis, and because the applicable law is subject to varying interpretation, we cannot provide any assurances regarding our PFIC status for any past, current or future taxable years. Our U.S. tax counsel has not provided any opinion regarding our PFIC status in any taxable year.</w:t>
      </w:r>
    </w:p>
    <w:p>
      <w:pPr>
        <w:spacing w:after="0" w:line="1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shareholders who are individuals, having interest charges apply to distributions by us and gains from the sales of our shares, and additional reporting requirements under U.S. federal income tax laws and regulations. A U.S.</w:t>
      </w:r>
    </w:p>
    <w:p>
      <w:pPr>
        <w:spacing w:after="0" w:line="237" w:lineRule="auto"/>
        <w:rPr>
          <w:sz w:val="20"/>
          <w:szCs w:val="20"/>
          <w:color w:val="auto"/>
        </w:rPr>
      </w:pPr>
      <w:r>
        <w:rPr>
          <w:rFonts w:ascii="Arial" w:cs="Arial" w:eastAsia="Arial" w:hAnsi="Arial"/>
          <w:sz w:val="18"/>
          <w:szCs w:val="18"/>
          <w:color w:val="auto"/>
        </w:rPr>
        <w:t>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shareholder of a PFIC generally may mitigate these adverse U.S. federal income tax consequences by making a qualified electing fund (“QEF”) election, or, in some circumstances, a “mark to market” election. However, there is no assurance that we will provide the information required by the IRS in order to enable U.S. shareholders to make a timely QEF election. Moreover, there is no assurance that we will have timely knowledge of our status as a PFIC in the future. Accordingly, U.S. shareholders may be unable to make a timely QEF election with respect to our ordinary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could have a material adverse effect on us and reduce net returns to our shareholders.</w:t>
      </w:r>
    </w:p>
    <w:p>
      <w:pPr>
        <w:spacing w:after="0" w:line="19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tax treatment is subject to changes in tax laws, regulations and treaties, or the interpretation thereof, as well as tax policy initiatives and reforms under consideration and the practices of tax authorities in jurisdictions in which we operate, including those related to the Organisation for Economic Co-Operation and Development’s ("OECD") Base Erosion and Profit Shifting ("BEPS") Project (including "BEPS 2.0"), and the European Commission’s state aid investigations and other initiatives. Such changes may include (but are not limited to) the taxation of operating income, investment income, dividends received or, in the specific context of withholding tax, dividends paid.</w:t>
      </w:r>
    </w:p>
    <w:p>
      <w:pPr>
        <w:spacing w:after="0" w:line="16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OECD has published a package of measures, and is expected to continue to publish further technical provisions and administrative guidance, for reform as a product of BEPS, which include, among other things, the introduction of a global minimum tax (referred to as the “Pillar Two rules”). Many countries have enacted, or are in the process of enacting, core elements of the Pillar Two rules. Based on our current understanding of the minimum revenue thresholds, we currently expect to be outside the scope of the Pillar Two rules, but could fall within their scope in the future, which could increase our tax obligations and compliance costs.</w:t>
      </w:r>
    </w:p>
    <w:p>
      <w:pPr>
        <w:spacing w:after="0" w:line="16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July 4, 2025, the OBBBA was signed into law, introducing significant changes to U.S. federal tax law. The OBBBA includes a broad range of changes to existing U.S. tax law, including but not limited to the reinstatement of current expensing of domestic research and development costs and one hundred percent bonus depreciation for certain qualified business property.</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60"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expenses.</w:t>
      </w:r>
    </w:p>
    <w:p>
      <w:pPr>
        <w:spacing w:after="0" w:line="18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may decide to contest such assessment. Contesting such an assessment may be lengthy and costly and if we were unsuccessful in disputing the assessment, the implications could increase our anticipated effective tax rate, where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Our ability to use our U.S. net operating loss carryforwards and certain other tax attributes to offset future taxable income and taxes may be limited.</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U.S. federal income tax law, federal net operating losses ("NOLs") incurred in tax years beginning after December 31, 2017, may be carried forward indefinitely, but the deductibility of such federal NOLs is limited to 80% of taxable income.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utilize its pre-change NOL carryforwards and other pre-change tax attributes to offset its post-change income or taxes may be limited. We have not performed a detailed analysis to determine whether an ownership change under Section 382 of the Code has occurred for UroGen Pharma, Inc. If we undergo or have undergone an ownership change, our ability to utilize NOLs and other tax attributes could be limited by Sections 382 and 383 of the Code. Future changes in our share ownership, some of which are outside of our control, could result in an ownership change under Section 382 of the Code. As a result, even if we attain profitability, we may be unable to use a material portion of our NOLs and other tax attributes, which could negatively impact our future cash flows. In addition, at the state level, there may be periods during which the use of net operating loss carryforwards is suspended or otherwise limited, which could accelerate or permanently increase state taxes owed.</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00"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Our research and development and other significant operations are located in Israel and, therefore, our results may be adversely affected by political, economic and military conditions in Israel.*</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Our research and development facility is located in Ra’anana, Israel, and certain of our key vendors and suppliers, including Isotopia Molecular Imaging Ltd., our single contracted supplier for the hydrogel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t>
      </w:r>
      <w:r>
        <w:rPr>
          <w:rFonts w:ascii="Arial" w:cs="Arial" w:eastAsia="Arial" w:hAnsi="Arial"/>
          <w:sz w:val="18"/>
          <w:szCs w:val="18"/>
          <w:i w:val="1"/>
          <w:iCs w:val="1"/>
          <w:color w:val="auto"/>
        </w:rPr>
        <w:t>Zusduri</w:t>
      </w:r>
      <w:r>
        <w:rPr>
          <w:rFonts w:ascii="Arial" w:cs="Arial" w:eastAsia="Arial" w:hAnsi="Arial"/>
          <w:sz w:val="18"/>
          <w:szCs w:val="18"/>
          <w:color w:val="auto"/>
        </w:rPr>
        <w:t>, are located in Israel. If these or any future facilities in Israel were to be damaged, destroyed or otherwise unable to operate, whether due to war, acts of hostility, earthquakes, fire, floods, hurricanes, storms, tornadoes, other natural disasters, employee malfeasance, terrorist acts, pandemics, power outages or otherwise, or if performance of our research and development is disrupted for any other reason, such an event could delay our clinical trials or, if our product candidates are approved, jeopardize the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7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October 2023, Hamas initiated an attack against Israel. In response, Israel’s security cabinet declared war against Hamas. Since the commencement of these events, there have been continued hostilities along Israel’s northern border with Lebanon (with Hezbollah) and on other fronts from various extremist groups in region, such as the Houthis in Yemen. In addition, Iran launched significant missile and drone strikes at Israel and Israel attacked a range of targets in Iran. Furthermore, in June 2025, in light of continued nuclear threats and intelligence assessments indicating imminent attacks, Israel launched a military operation directly targeting military and nuclear infrastructure inside Iran, resulting in approximately 12 days of direct hostilities between Israel and Iran and, in February 2026, the United States and Israel launched coordinated military strikes against Iran, which were followed by retaliatory actions by Iran, including missile and drone attacks targeting Israel and U.S. forces and allied assets in the region. These escalations heightened regional instability and resulted in significant travel restrictions, facility closures and shelter-in-place orders in Israel and temporary closures of Israeli airspace and port activity. While ceasefires have been entered into, the situation remains fragile and if any ceasefires collapse, a new war or hostilities commence or hostilities escalate or expand to other fronts, we may be adversely affected. These situations may potentially escalate in the future to more violent events or into a greater regional conflict, which may adversely affect us.</w:t>
      </w:r>
    </w:p>
    <w:p>
      <w:pPr>
        <w:spacing w:after="0" w:line="16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effects of hostilities involving Israel are difficult to predict, as are the economic implications on our business and operations and on Israel’s economy in general. For example, these events may be intertwined with wider macroeconomic factors relating to a deterioration of Israel’s economic standing that may involve, for instance, a downgrade in Israel’s credit rating and outlook by rating agencies. Furthermore, recent political uprisings, social unrest and violence in various countries in the Middle East may affect stability in the region.</w:t>
      </w:r>
    </w:p>
    <w:p>
      <w:pPr>
        <w:spacing w:after="0" w:line="160"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Any of these implications on Israel’s security, business, economic or financial conditions may have an adverse effect on our ability to effectively conduct our business, our results of operations and our ability to raise additional funds.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commercial insurance does not cover losses that may occur as a result of an event associated with the security situation in the Middle East. Although the Israeli government is currently committed to covering the reinstatement value of certain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Further, our operations could be disrupted by the obligations of our employees to perform military service. Some our employees in Israel may be military reservists, and may be called upon to perform military reserve duty for periods ranging from several days to several weeks per year (and in some cases more) until they reach the age of 40 (and in some cases, older) and, in the event of a military conflict, may be called to active duty for extended periods of time. For example, following October 7, 2023, the Israeli Defense Forces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results of operations, liquidity or cash flows.</w:t>
      </w:r>
    </w:p>
    <w:p>
      <w:pPr>
        <w:spacing w:after="0" w:line="16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12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w:t>
      </w:r>
    </w:p>
    <w:p>
      <w:pPr>
        <w:sectPr>
          <w:pgSz w:w="11900" w:h="16838" w:orient="portrait"/>
          <w:cols w:equalWidth="0" w:num="1">
            <w:col w:w="11220"/>
          </w:cols>
          <w:pgMar w:left="320" w:top="121" w:right="359" w:bottom="0" w:gutter="0" w:footer="0" w:header="0"/>
        </w:sectPr>
      </w:pPr>
    </w:p>
    <w:bookmarkStart w:id="93" w:name="page94"/>
    <w:bookmarkEnd w:id="93"/>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84455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pacing w:after="0" w:line="17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These provisions could delay, prevent or impede an acquisition of us or our merger with another company, even if such an acquisition or merger would be considered to be beneficial by some of our shareholders and may limit the price that investors may be willing to pay in the future for our ordinary shares.</w:t>
      </w:r>
    </w:p>
    <w:p>
      <w:pPr>
        <w:spacing w:after="0" w:line="157"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and our officers and directors in Israel or the United States, to assert U.S. securities laws claims in Israel or to serve process on our officers and directors.</w:t>
      </w:r>
    </w:p>
    <w:p>
      <w:pPr>
        <w:spacing w:after="0" w:line="12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are incorporated in Israel. One of our directors resides outside of the United States, and most of the assets of this director are located outside of the United States. Therefore, a judgment obtained against us, or this director, including a judgment based on the civil liability provisions of U.S. federal securities laws, may not be collectible in the United States. Moreover, Israeli courts might not enforce judgments rendered outside Israel, which may make it difficult to collect on judgments rendered against us or this director. Additionally, it may also be difficult to effect service of process on this director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is little binding case law in Israel that addresses the matters described above.</w:t>
      </w:r>
    </w:p>
    <w:p>
      <w:pPr>
        <w:spacing w:after="0" w:line="20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There is limited case law available to assist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Management and Employees</w:t>
      </w:r>
    </w:p>
    <w:p>
      <w:pPr>
        <w:spacing w:after="0" w:line="20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depend on our executive officers and key clinical, technical and commercial personnel to operate our business effectively, and we must attract and retain highly skilled employees in order to succeed.*</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March 31, 2026, we had 298 employees. Therefore, knowledge of our product candidates and clinical trials is concentrated among a small number of individuals. Members of our executive team as well as key clinical, scientific, technical and commercial personnel may resign at any time and there can be no assurance that we will be able to continue to retain such personnel. If we cannot recruit suitable replacements in a timely manner, our business will be adversely impacted.</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us or our business or if they issue unfavorable commentary or downgrade our ordinary shares, the price of our ordinary shares could decline.</w:t>
      </w:r>
    </w:p>
    <w:p>
      <w:pPr>
        <w:spacing w:after="0" w:line="12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165"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 and such activism could impact the trading value of our securities.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Shareholders may, from time to time, engage in proxy solicitations or advance shareholder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shareholders. We may choose to initiate, or may become subject to, litigation as a result of a proxy contest or matters arising from a proxy contest, which would serve as a further distraction to our board of directors and management and would require us to incur significant additional costs. In addition, actions such as those described above could cause significant fluctuations in our share price based upon temporary or speculative market perceptions or other factors that do not necessarily reflect the underlying fundamentals and prospects of our business.</w:t>
      </w:r>
    </w:p>
    <w:p>
      <w:pPr>
        <w:spacing w:after="0" w:line="176" w:lineRule="exact"/>
        <w:rPr>
          <w:sz w:val="20"/>
          <w:szCs w:val="20"/>
          <w:color w:val="auto"/>
        </w:rPr>
      </w:pPr>
    </w:p>
    <w:p>
      <w:pPr>
        <w:ind w:right="820"/>
        <w:spacing w:after="0" w:line="278"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Unstable market, economic and geo-political conditions may have serious adverse consequences on our business, financial condition and share price.</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These disruptions can result in severely diminished liquidity and credit availability, increase in inflation, declines in consumer confidence, declines in economic growth, increases in unemployment rates, further bank failures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bank failures or continued unpredictable and unstable market conditions. If the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share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Other international and geo-political events could also have a serious adverse impact on our business. While we cannot predict the broader consequences, geo-political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65"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business could be negatively impacted by environmental, social and corporate governance matters or our reporting of such matters.</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There is an increasing focus from certain investors, employees, partners, and other stakeholders concerning environmental, social and corporate governance matters. We may be, or be perceived to be, not acting responsibly in connection with these matters, which could negatively impact us. For instance, the SEC recently finalized rules designed to enhance and standardize climate-related disclosures, which were stayed pending judicial review; the SEC subsequently voted to cease its defense of the climate-related disclosure rules, effectively halting their implementation. If other climate-related disclosure rules or other environmental, social and corporate governance rules become effective or become applicable to us, they may significantly increase our compliance and reporting costs and may also result in disclosures that certain investors or other stakeholders deem to negatively impact our reputation and/or that harm our share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1"/>
        </w:trPr>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gridSpan w:val="13"/>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EE"/>
              </w:rPr>
            </w:pPr>
            <w:hyperlink r:id="rId110">
              <w:r>
                <w:rPr>
                  <w:rFonts w:ascii="Arial" w:cs="Arial" w:eastAsia="Arial" w:hAnsi="Arial"/>
                  <w:sz w:val="18"/>
                  <w:szCs w:val="18"/>
                  <w:color w:val="0000EE"/>
                </w:rPr>
                <w:t>Articles of Association of the Registrant (incorporated by reference to Exhibit 3.1 to the Registrant’s Form 6-K (File No. 001-</w:t>
              </w:r>
            </w:hyperlink>
          </w:p>
        </w:tc>
      </w:tr>
      <w:tr>
        <w:trPr>
          <w:trHeight w:val="163"/>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0" w:type="dxa"/>
            <w:vAlign w:val="bottom"/>
            <w:tcBorders>
              <w:top w:val="single" w:sz="8" w:color="0000EE"/>
            </w:tcBorders>
            <w:gridSpan w:val="6"/>
          </w:tcPr>
          <w:p>
            <w:pPr>
              <w:spacing w:after="0" w:line="163" w:lineRule="exact"/>
              <w:rPr>
                <w:rFonts w:ascii="Arial" w:cs="Arial" w:eastAsia="Arial" w:hAnsi="Arial"/>
                <w:sz w:val="18"/>
                <w:szCs w:val="18"/>
                <w:color w:val="0000EE"/>
              </w:rPr>
            </w:pPr>
            <w:hyperlink r:id="rId110">
              <w:r>
                <w:rPr>
                  <w:rFonts w:ascii="Arial" w:cs="Arial" w:eastAsia="Arial" w:hAnsi="Arial"/>
                  <w:sz w:val="18"/>
                  <w:szCs w:val="18"/>
                  <w:color w:val="0000EE"/>
                </w:rPr>
                <w:t>38079)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May 18, 2017).</w:t>
              </w:r>
            </w:hyperlink>
          </w:p>
        </w:tc>
        <w:tc>
          <w:tcPr>
            <w:tcW w:w="16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0000EE"/>
              </w:rPr>
              <w:t>Second Amended and Restated Loan Agreement, dated as of February 26, 2026, by and among UroGen Pharma, Inc., as</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7"/>
              </w:rPr>
              <w:t>borrower and a Credit Party, the Registrant, as Parent and a Credit Party, the other guarantors signatory thereto or otherwise</w:t>
            </w:r>
          </w:p>
        </w:tc>
        <w:tc>
          <w:tcPr>
            <w:tcW w:w="200" w:type="dxa"/>
            <w:vAlign w:val="bottom"/>
            <w:tcBorders>
              <w:bottom w:val="single" w:sz="8" w:color="0000EE"/>
            </w:tcBorders>
            <w:gridSpan w:val="2"/>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gridSpan w:val="14"/>
          </w:tcPr>
          <w:p>
            <w:pPr>
              <w:spacing w:after="0" w:line="182" w:lineRule="exact"/>
              <w:rPr>
                <w:sz w:val="20"/>
                <w:szCs w:val="20"/>
                <w:color w:val="auto"/>
              </w:rPr>
            </w:pPr>
            <w:r>
              <w:rPr>
                <w:rFonts w:ascii="Arial" w:cs="Arial" w:eastAsia="Arial" w:hAnsi="Arial"/>
                <w:sz w:val="18"/>
                <w:szCs w:val="18"/>
                <w:color w:val="0000EE"/>
              </w:rPr>
              <w:t>party thereto from time to time, as additional Credit Parties, BioPharma Credit PLC, as Collateral Agent, BPCR Limited</w:t>
            </w:r>
          </w:p>
        </w:tc>
        <w:tc>
          <w:tcPr>
            <w:tcW w:w="1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Partnership, as a Lender, and BioPharma Credit Investments V (Master) LP as a Lender.</w:t>
            </w:r>
          </w:p>
        </w:tc>
        <w:tc>
          <w:tcPr>
            <w:tcW w:w="2360" w:type="dxa"/>
            <w:vAlign w:val="bottom"/>
            <w:tcBorders>
              <w:top w:val="single" w:sz="8" w:color="0000EE"/>
            </w:tcBorders>
            <w:gridSpan w:val="3"/>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4"/>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0000EE"/>
              </w:rPr>
              <w:t>Certification of Principal Executive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1934, as adopted pursuant to Section 302 of the Sarbanes-Oxley Act of 2002.</w:t>
            </w:r>
          </w:p>
        </w:tc>
        <w:tc>
          <w:tcPr>
            <w:tcW w:w="3440" w:type="dxa"/>
            <w:vAlign w:val="bottom"/>
            <w:tcBorders>
              <w:top w:val="single" w:sz="8" w:color="0000EE"/>
            </w:tcBorders>
            <w:gridSpan w:val="8"/>
          </w:tcPr>
          <w:p>
            <w:pPr>
              <w:spacing w:after="0"/>
              <w:rPr>
                <w:sz w:val="15"/>
                <w:szCs w:val="15"/>
                <w:color w:val="auto"/>
              </w:rPr>
            </w:pPr>
          </w:p>
        </w:tc>
        <w:tc>
          <w:tcPr>
            <w:tcW w:w="420" w:type="dxa"/>
            <w:vAlign w:val="bottom"/>
            <w:gridSpan w:val="4"/>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0000EE"/>
              </w:rPr>
              <w:t>Certification of Principal Financial Officer pursuant to Rules 13a-14(a) or 15d-14(a) under the Securities Exchange Act of</w:t>
            </w: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c>
          <w:tcPr>
            <w:tcW w:w="40" w:type="dxa"/>
            <w:vAlign w:val="bottom"/>
          </w:tcPr>
          <w:p>
            <w:pPr>
              <w:spacing w:after="0"/>
              <w:rPr>
                <w:sz w:val="15"/>
                <w:szCs w:val="15"/>
                <w:color w:val="auto"/>
              </w:rPr>
            </w:pPr>
          </w:p>
        </w:tc>
        <w:tc>
          <w:tcPr>
            <w:tcW w:w="440" w:type="dxa"/>
            <w:vAlign w:val="bottom"/>
            <w:gridSpan w:val="5"/>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Sarbanes-Oxley Act of 2002.</w:t>
            </w:r>
          </w:p>
        </w:tc>
        <w:tc>
          <w:tcPr>
            <w:tcW w:w="440" w:type="dxa"/>
            <w:vAlign w:val="bottom"/>
            <w:gridSpan w:val="5"/>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Sarbanes-Oxley Act of 2002.</w:t>
            </w:r>
          </w:p>
        </w:tc>
        <w:tc>
          <w:tcPr>
            <w:tcW w:w="500" w:type="dxa"/>
            <w:vAlign w:val="bottom"/>
            <w:gridSpan w:val="7"/>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760" w:type="dxa"/>
            <w:vAlign w:val="bottom"/>
            <w:gridSpan w:val="14"/>
          </w:tcPr>
          <w:p>
            <w:pPr>
              <w:spacing w:after="0" w:line="20" w:lineRule="exact"/>
              <w:rPr>
                <w:sz w:val="1"/>
                <w:szCs w:val="1"/>
                <w:color w:val="auto"/>
              </w:rPr>
            </w:pPr>
          </w:p>
        </w:tc>
      </w:tr>
      <w:tr>
        <w:trPr>
          <w:trHeight w:val="39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The cover page from the Company’s Quarterly Report on Form 10-Q has been formatted in Inline XBRL</w:t>
            </w:r>
          </w:p>
        </w:tc>
      </w:tr>
    </w:tbl>
    <w:p>
      <w:pPr>
        <w:spacing w:after="0" w:line="369" w:lineRule="exact"/>
        <w:rPr>
          <w:sz w:val="20"/>
          <w:szCs w:val="20"/>
          <w:color w:val="auto"/>
        </w:rPr>
      </w:pPr>
    </w:p>
    <w:p>
      <w:pPr>
        <w:ind w:left="220" w:right="60" w:hanging="212"/>
        <w:spacing w:after="0" w:line="247"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20" w:type="dxa"/>
            <w:vAlign w:val="bottom"/>
          </w:tcPr>
          <w:p>
            <w:pPr>
              <w:spacing w:after="0"/>
              <w:rPr>
                <w:sz w:val="21"/>
                <w:szCs w:val="21"/>
                <w:color w:val="auto"/>
              </w:rPr>
            </w:pPr>
          </w:p>
        </w:tc>
        <w:tc>
          <w:tcPr>
            <w:tcW w:w="4100" w:type="dxa"/>
            <w:vAlign w:val="bottom"/>
            <w:gridSpan w:val="2"/>
          </w:tcPr>
          <w:p>
            <w:pPr>
              <w:ind w:left="2320"/>
              <w:spacing w:after="0"/>
              <w:rPr>
                <w:sz w:val="20"/>
                <w:szCs w:val="20"/>
                <w:color w:val="auto"/>
              </w:rPr>
            </w:pPr>
            <w:r>
              <w:rPr>
                <w:rFonts w:ascii="Arial" w:cs="Arial" w:eastAsia="Arial" w:hAnsi="Arial"/>
                <w:sz w:val="18"/>
                <w:szCs w:val="18"/>
                <w:b w:val="1"/>
                <w:bCs w:val="1"/>
                <w:color w:val="auto"/>
              </w:rPr>
              <w:t>UroGen Pharma Ltd.</w:t>
            </w:r>
          </w:p>
        </w:tc>
        <w:tc>
          <w:tcPr>
            <w:tcW w:w="3820" w:type="dxa"/>
            <w:vAlign w:val="bottom"/>
          </w:tcPr>
          <w:p>
            <w:pPr>
              <w:spacing w:after="0"/>
              <w:rPr>
                <w:sz w:val="21"/>
                <w:szCs w:val="21"/>
                <w:color w:val="auto"/>
              </w:rPr>
            </w:pPr>
          </w:p>
        </w:tc>
      </w:tr>
      <w:tr>
        <w:trPr>
          <w:trHeight w:val="379"/>
        </w:trPr>
        <w:tc>
          <w:tcPr>
            <w:tcW w:w="3320" w:type="dxa"/>
            <w:vAlign w:val="bottom"/>
          </w:tcPr>
          <w:p>
            <w:pPr>
              <w:spacing w:after="0"/>
              <w:rPr>
                <w:sz w:val="20"/>
                <w:szCs w:val="20"/>
                <w:color w:val="auto"/>
              </w:rPr>
            </w:pPr>
            <w:r>
              <w:rPr>
                <w:rFonts w:ascii="Arial" w:cs="Arial" w:eastAsia="Arial" w:hAnsi="Arial"/>
                <w:sz w:val="18"/>
                <w:szCs w:val="18"/>
                <w:color w:val="auto"/>
              </w:rPr>
              <w:t>May 6, 2026</w:t>
            </w:r>
          </w:p>
        </w:tc>
        <w:tc>
          <w:tcPr>
            <w:tcW w:w="4100" w:type="dxa"/>
            <w:vAlign w:val="bottom"/>
            <w:gridSpan w:val="2"/>
          </w:tcPr>
          <w:p>
            <w:pPr>
              <w:ind w:left="232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1270"/>
              <w:spacing w:after="0"/>
              <w:rPr>
                <w:sz w:val="20"/>
                <w:szCs w:val="20"/>
                <w:color w:val="auto"/>
              </w:rPr>
            </w:pPr>
            <w:r>
              <w:rPr>
                <w:rFonts w:ascii="Arial" w:cs="Arial" w:eastAsia="Arial" w:hAnsi="Arial"/>
                <w:sz w:val="18"/>
                <w:szCs w:val="18"/>
                <w:color w:val="auto"/>
              </w:rPr>
              <w:t>/s/ Elizabeth Barrett</w:t>
            </w:r>
          </w:p>
        </w:tc>
      </w:tr>
      <w:tr>
        <w:trPr>
          <w:trHeight w:val="177"/>
        </w:trPr>
        <w:tc>
          <w:tcPr>
            <w:tcW w:w="33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270"/>
              <w:spacing w:after="0" w:line="177" w:lineRule="exact"/>
              <w:rPr>
                <w:sz w:val="20"/>
                <w:szCs w:val="20"/>
                <w:color w:val="auto"/>
              </w:rPr>
            </w:pPr>
            <w:r>
              <w:rPr>
                <w:rFonts w:ascii="Arial" w:cs="Arial" w:eastAsia="Arial" w:hAnsi="Arial"/>
                <w:sz w:val="18"/>
                <w:szCs w:val="18"/>
                <w:b w:val="1"/>
                <w:bCs w:val="1"/>
                <w:color w:val="auto"/>
                <w:w w:val="99"/>
              </w:rPr>
              <w:t>Elizabeth Barrett</w:t>
            </w:r>
          </w:p>
        </w:tc>
      </w:tr>
      <w:tr>
        <w:trPr>
          <w:trHeight w:val="203"/>
        </w:trPr>
        <w:tc>
          <w:tcPr>
            <w:tcW w:w="3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20" w:type="dxa"/>
            <w:vAlign w:val="bottom"/>
          </w:tcPr>
          <w:p>
            <w:pPr>
              <w:jc w:val="center"/>
              <w:ind w:right="1270"/>
              <w:spacing w:after="0" w:line="202" w:lineRule="exact"/>
              <w:rPr>
                <w:sz w:val="20"/>
                <w:szCs w:val="20"/>
                <w:color w:val="auto"/>
              </w:rPr>
            </w:pPr>
            <w:r>
              <w:rPr>
                <w:rFonts w:ascii="Arial" w:cs="Arial" w:eastAsia="Arial" w:hAnsi="Arial"/>
                <w:sz w:val="18"/>
                <w:szCs w:val="18"/>
                <w:b w:val="1"/>
                <w:bCs w:val="1"/>
                <w:color w:val="auto"/>
              </w:rPr>
              <w:t>Chief Executive Officer</w:t>
            </w:r>
          </w:p>
        </w:tc>
      </w:tr>
      <w:tr>
        <w:trPr>
          <w:trHeight w:val="247"/>
        </w:trPr>
        <w:tc>
          <w:tcPr>
            <w:tcW w:w="3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2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79"/>
        </w:trPr>
        <w:tc>
          <w:tcPr>
            <w:tcW w:w="3320" w:type="dxa"/>
            <w:vAlign w:val="bottom"/>
          </w:tcPr>
          <w:p>
            <w:pPr>
              <w:spacing w:after="0"/>
              <w:rPr>
                <w:sz w:val="20"/>
                <w:szCs w:val="20"/>
                <w:color w:val="auto"/>
              </w:rPr>
            </w:pPr>
            <w:r>
              <w:rPr>
                <w:rFonts w:ascii="Arial" w:cs="Arial" w:eastAsia="Arial" w:hAnsi="Arial"/>
                <w:sz w:val="18"/>
                <w:szCs w:val="18"/>
                <w:color w:val="auto"/>
              </w:rPr>
              <w:t>May 6, 2026</w:t>
            </w:r>
          </w:p>
        </w:tc>
        <w:tc>
          <w:tcPr>
            <w:tcW w:w="4100" w:type="dxa"/>
            <w:vAlign w:val="bottom"/>
            <w:gridSpan w:val="2"/>
          </w:tcPr>
          <w:p>
            <w:pPr>
              <w:ind w:left="232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1270"/>
              <w:spacing w:after="0"/>
              <w:rPr>
                <w:sz w:val="20"/>
                <w:szCs w:val="20"/>
                <w:color w:val="auto"/>
              </w:rPr>
            </w:pPr>
            <w:r>
              <w:rPr>
                <w:rFonts w:ascii="Arial" w:cs="Arial" w:eastAsia="Arial" w:hAnsi="Arial"/>
                <w:sz w:val="18"/>
                <w:szCs w:val="18"/>
                <w:color w:val="auto"/>
                <w:w w:val="99"/>
              </w:rPr>
              <w:t>/s/ Chris Degnan</w:t>
            </w:r>
          </w:p>
        </w:tc>
      </w:tr>
      <w:tr>
        <w:trPr>
          <w:trHeight w:val="177"/>
        </w:trPr>
        <w:tc>
          <w:tcPr>
            <w:tcW w:w="33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270"/>
              <w:spacing w:after="0" w:line="177" w:lineRule="exact"/>
              <w:rPr>
                <w:sz w:val="20"/>
                <w:szCs w:val="20"/>
                <w:color w:val="auto"/>
              </w:rPr>
            </w:pPr>
            <w:r>
              <w:rPr>
                <w:rFonts w:ascii="Arial" w:cs="Arial" w:eastAsia="Arial" w:hAnsi="Arial"/>
                <w:sz w:val="18"/>
                <w:szCs w:val="18"/>
                <w:b w:val="1"/>
                <w:bCs w:val="1"/>
                <w:color w:val="auto"/>
              </w:rPr>
              <w:t>Chris Degnan</w:t>
            </w:r>
          </w:p>
        </w:tc>
      </w:tr>
      <w:tr>
        <w:trPr>
          <w:trHeight w:val="221"/>
        </w:trPr>
        <w:tc>
          <w:tcPr>
            <w:tcW w:w="3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20" w:type="dxa"/>
            <w:vAlign w:val="bottom"/>
          </w:tcPr>
          <w:p>
            <w:pPr>
              <w:jc w:val="center"/>
              <w:ind w:right="1270"/>
              <w:spacing w:after="0"/>
              <w:rPr>
                <w:sz w:val="20"/>
                <w:szCs w:val="20"/>
                <w:color w:val="auto"/>
              </w:rPr>
            </w:pPr>
            <w:r>
              <w:rPr>
                <w:rFonts w:ascii="Arial" w:cs="Arial" w:eastAsia="Arial" w:hAnsi="Arial"/>
                <w:sz w:val="18"/>
                <w:szCs w:val="18"/>
                <w:b w:val="1"/>
                <w:bCs w:val="1"/>
                <w:color w:val="auto"/>
                <w:w w:val="99"/>
              </w:rPr>
              <w:t>Chief Financial Officer</w:t>
            </w:r>
          </w:p>
        </w:tc>
      </w:tr>
    </w:tbl>
    <w:p>
      <w:pPr>
        <w:ind w:left="67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SECOND AMENDED AND RESTATED LOAN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February 26, 2026</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OTHER GUARANTORS SIGNATORY HERETO OR OTHERWISE PARTY HERETO FROM</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TIME TO TIME</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additional </w:t>
      </w:r>
      <w:r>
        <w:rPr>
          <w:rFonts w:ascii="Times New Roman" w:cs="Times New Roman" w:eastAsia="Times New Roman" w:hAnsi="Times New Roman"/>
          <w:sz w:val="18"/>
          <w:szCs w:val="18"/>
          <w:b w:val="1"/>
          <w:bCs w:val="1"/>
          <w:i w:val="1"/>
          <w:iCs w:val="1"/>
          <w:color w:val="auto"/>
        </w:rPr>
        <w:t>Credit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BIOPHARMA CREDIT PLC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BPCR LIMITED PARTNERSHIP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BIOPHARMA CREDIT INVESTMENTS V (MASTER) LP</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1</w:t>
            </w:r>
          </w:p>
        </w:tc>
        <w:tc>
          <w:tcPr>
            <w:tcW w:w="9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ACCOUNTING AND OTHER TERMS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2</w:t>
            </w:r>
          </w:p>
        </w:tc>
        <w:tc>
          <w:tcPr>
            <w:tcW w:w="9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AND TERMS OF PAYMENT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Promise to Pay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Loans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Interest on Term Loans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Requirements of Law; Increased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Taxes; Withholding, Etc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Consideration; Exit Consideration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Evidence of Debt; Note Register; Term Loan Notes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3</w:t>
            </w:r>
          </w:p>
        </w:tc>
        <w:tc>
          <w:tcPr>
            <w:tcW w:w="9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TERM LOANS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Precedent to Tranche A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Conditions Precedent to Tranche B Loan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Conditions Precedent to Term Loans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3.6</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Covenant to Deliver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Procedures for Borrowing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6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w:t>
            </w:r>
          </w:p>
        </w:tc>
        <w:tc>
          <w:tcPr>
            <w:tcW w:w="9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Due Organization, Existence, Power and Authority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Consents; Third Party Consents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Binding Obligation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Adverse Proceedings, Compliance with Laws and Settlement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Exchange Act Documents; Financial Statements; Financial Condition; No Material Adverse Change; Books and Records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4.12</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4.13</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Regulatory Compliance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4.14</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Margin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4.15</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Subsidiaries; Capitalization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4.16</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4.17</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Full Disclosure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4.18</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 Anti-Money Laundering Laws; Sanctions; Export and Import Laws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4.19</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Health Care Matters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4.20</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Approvals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4.21</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Supply and Manufacturing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4.22</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Cybersecurity and Data Protection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4.23</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Representations and Warranties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5</w:t>
            </w:r>
          </w:p>
        </w:tc>
        <w:tc>
          <w:tcPr>
            <w:tcW w:w="9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AFFIRMATIVE COVENANTS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Existence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 Notices, Reports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5.4</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Accounts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 with Laws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Protection of Intellectual Property Rights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Books and Records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to Collateral; Audits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5.10</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5.11</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5.12</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Collateral; Guarantors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5.13</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Formation or Acquisition of Subsidiaries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5.14</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Post-Closing Requirements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5.15</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5.16</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Inventory; Returns; Maintenance of Properties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5.17</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Obligations; Maintenance of Regulatory Approvals; Manufacturing, Marketing and Distribution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5.18</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Material Contracts; Collateral Documents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9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NEGATIVE COVENANT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Fundamental Changes; Location of Collateral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Mergers, Acquisitions, Liquidations or Dissolutions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Encumbrances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6.6</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Further Negative Pledges; Negative Pledge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Collateral Accounts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6.8</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Investments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Restrictions on Subsidiary Distributions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6.10</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Subordinated Debt; Permitted Convertible Indebtedness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6.11</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or Waivers of Organizational Documents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6.12</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6.13</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Sanctions, Export and Import Laws, Anti-Corruption Laws and Anti-Money Laundering Laws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6.14</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9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Covenant Default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Withdrawal Event; Material Adverse Change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7.4</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Attachment; Levy; Restraint on Business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Insolvency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Agreements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7.8</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Misrepresentations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Documents; Collateral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7.10</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ERISA Event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7.11</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Intercreditor Agreement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9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RIGHTS AND REMEDIES UPON AN EVENT OF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Rights and Remedies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of Attorney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8.3</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Application of Payments and Proceeds Upon Default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Agent’s Liability for Collateral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8.6</w:t>
            </w:r>
          </w:p>
        </w:tc>
        <w:tc>
          <w:tcPr>
            <w:tcW w:w="9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Demand Waiver; Makewhole Amount; Prepayment Premium; Exit Consideration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CHOICE OF LAW, VENUE, AND JURY TRIAL WAIVER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PROVISIONS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w:t>
            </w:r>
          </w:p>
        </w:tc>
        <w:tc>
          <w:tcPr>
            <w:tcW w:w="9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Indemnification</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11.3</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11.4</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Correction of Loan Documents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11.5</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in Writing; Integration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11.7</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 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11.8</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11.9</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Attorneys’ Fees, Costs and Expenses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11.10</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Set-Off</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11.11</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Marshalling; Payments Set Aside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11.12</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Execution of Documents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11.13</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11.14</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of Agreement</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11.15</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Parties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11.16</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Advisory or Fiduciary Duty</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11.17</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Parties’ Agent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11.18</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Reaffirmation of Loan Documents; Confirmation of Liens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11.19</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Amendment and Restatement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12</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COLLATERAL AGENT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12.1</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12.2</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as a Lender</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12.3</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Exculpatory Provisions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12.4</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Reliance by Collateral Agent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12.5</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Delegation of Duties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12.6</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 of Collateral Agent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12.7</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Non-Reliance on Collateral Agent and Other Lenders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12.8</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12.9</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by Lenders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12.10</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 and Items to Lenders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13</w:t>
            </w:r>
          </w:p>
        </w:tc>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13.1</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Loan Advance Request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:Form of Tranche A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:Form of Tranche B Note</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Security Agreement</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Commitments; Notice Addresses</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LOAN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THIS SECOND AMENDED AND RESTATED LOAN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26,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UROGEN PHARMA, INC., a Delaware corporation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 Credit Party), UROGEN PHARMA LTD.,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Israel with company registration number 513537621 (as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a Credit Party), the other Guarantors signatory hereto or otherwise party hereto from time to time, as additional Credit Parties, BIOPHARMA CREDIT PLC, a public limited company incorporated under the laws of England and Wales with company number 10443190 (as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BPCR LIMITED PARTNERSHIP, a limited partnership established under the laws of England and Wales with registration number LP020944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BIOPHARMA CREDIT INVESTMENTS V (MASTER) LP, a Cayman Islands exempted limited partnership acting by its general partner, BioPharma Credit Investments V GP LLC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provides the terms on which each Lender shall make, and Borrower shall repay, the Credit Extensions (as hereinafter defined). This Agreement amends and restates in its entirety, and replaces, the terms of (and obligations outstanding under) that certain Amended and Restated Loan Agreement among Borrower, Lenders, the Collateral Agent and the other parties thereto, dated as of March 13, 2024 (the “</w:t>
      </w:r>
      <w:r>
        <w:rPr>
          <w:rFonts w:ascii="Times New Roman" w:cs="Times New Roman" w:eastAsia="Times New Roman" w:hAnsi="Times New Roman"/>
          <w:sz w:val="18"/>
          <w:szCs w:val="18"/>
          <w:b w:val="1"/>
          <w:bCs w:val="1"/>
          <w:color w:val="auto"/>
        </w:rPr>
        <w:t>Prior Loan Agreement</w:t>
      </w:r>
      <w:r>
        <w:rPr>
          <w:rFonts w:ascii="Times New Roman" w:cs="Times New Roman" w:eastAsia="Times New Roman" w:hAnsi="Times New Roman"/>
          <w:sz w:val="18"/>
          <w:szCs w:val="18"/>
          <w:color w:val="auto"/>
        </w:rPr>
        <w:t>”). The parties hereto agree that, effective on the Effective Date, the Prior Loan Agreement is amended and restated in its entirety to read as follows:</w:t>
      </w:r>
    </w:p>
    <w:p>
      <w:pPr>
        <w:spacing w:after="0" w:line="18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Except as otherwise expressly provided herein, all accounting terms not otherwise defined in this Agreement shall have the meanings assigned to them in conformity with Applicable Accounting Standards. Calculations and determinations must be made following Applicable Accounting Standards. If at any time any change in Applicable Accounting Standards would affect the computation of any financial requirement set forth in any Loan Document (including for purposes of measuring compliance with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either Borrower or the Collateral Agent shall so request, the Collateral Agent and Borrower shall negotiate in good faith to amend such requirement to preserve the original intent thereof in light of such change in Applicable Accounting Standards;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until so amended, (x) such requirement shall continue to be computed in accordance with Applicable Accounting Standards prior to such change therein and (y) all financial statements, Compliance Certificates and similar documents provided, delivered or submitted hereunder shall be provided, delivered or submitted together with a reconciliation between the calculations and amounts set forth therein before and after giving effect to such change in Applicable Accounting Standards. Notwithstanding any other provision contained herein, all terms of an accounting or financial nature used herein shall be construed, and all computations of amounts referred to herein, including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without giving effect to any (a) election under ASC 825-10 (or any other Financial Accounting Standards Board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or Financial Accounting Standard or Applicable Accounting Standard (including IFRS 9) having a similar result or effect) to value any Indebtedness or other liabilities of any Credit Party or any Subsidiary of any Credit Party at “fair value” and (b) any treatment of Indebtedness in respect of convertible debt instruments under ASC 470-20 (or any other ASC or Financial Accounting Standard or Applicable Accounting Standard having a similar result or effect) to value any such Indebtedness in a reduced or bifurcated manner as described therein, and such Indebtedness shall at all times be valued at the full stated principal amount thereof. Notwithstanding anything to the contrary above or in the definition of “Capital Lease Obligations”, all obligations of any Person that are or would have been treated as operating leases for purposes of Applicable Accounting Standards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 Capitalized terms not otherwise defined in this Agreement shall have the meanings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All other terms contained in this Agreement, unless otherwise indicated, shall have the meaning provided by the Code to the extent such terms are defined therein. All references to “Dollars” or “$” are United States Dollars, unless otherwise noted.</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the amount of any Indebtedness, Investment or other transaction in a currency other than Dollars, no Default or Event of Default shall be deemed to have occurred solely as a result of changes in rates of currency exchange occurring after the time such Indebtedness, Investment or other transaction is incurred, made or acquired (so long as such transaction, at the time incurred, made or acquired, was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ind w:left="1300" w:hanging="644"/>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Promise to Pay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Borrower hereby unconditionally promises to pay each Lender the outstanding principal amount of the Term Loans advanced to Borrower by such Lender and accrued and unpaid interest thereon and any other amounts due hereunder as and when due in accordance with this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680" w:hanging="376"/>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Subject to the terms and conditions of this Agreement (including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agrees to request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and each Lender severally agrees to make, a term loan to Borrower on the Tranche A Closing Date in an original principal amount equal to such Lender’s Tranche A Commitment (individually or collectively, as the context dictates, the “</w:t>
      </w:r>
      <w:r>
        <w:rPr>
          <w:rFonts w:ascii="Times New Roman" w:cs="Times New Roman" w:eastAsia="Times New Roman" w:hAnsi="Times New Roman"/>
          <w:sz w:val="18"/>
          <w:szCs w:val="18"/>
          <w:b w:val="1"/>
          <w:bCs w:val="1"/>
          <w:color w:val="auto"/>
        </w:rPr>
        <w:t>Tranche A Loan</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Borrower’s option, Borrower may request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and each Lender severally agrees to make, a term loan to Borrower on the Tranche B Closing Date in an original principal amount equal to such Lender’s Tranche B Commitment (collectively, the “</w:t>
      </w:r>
      <w:r>
        <w:rPr>
          <w:rFonts w:ascii="Times New Roman" w:cs="Times New Roman" w:eastAsia="Times New Roman" w:hAnsi="Times New Roman"/>
          <w:sz w:val="18"/>
          <w:szCs w:val="18"/>
          <w:b w:val="1"/>
          <w:bCs w:val="1"/>
          <w:color w:val="auto"/>
        </w:rPr>
        <w:t>Tranche B Loan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repayment or prepayment (in whole or in part), no Term Loan (or any portion thereof) may be re-borrowed.</w:t>
      </w:r>
    </w:p>
    <w:p>
      <w:pPr>
        <w:spacing w:after="0" w:line="225" w:lineRule="exact"/>
        <w:rPr>
          <w:sz w:val="20"/>
          <w:szCs w:val="20"/>
          <w:color w:val="auto"/>
        </w:rPr>
      </w:pPr>
    </w:p>
    <w:p>
      <w:pPr>
        <w:ind w:left="1800" w:hanging="496"/>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and all Term Loans, Borrower shall make four (4) equal quarterly payments of principal of each such Term Loan commencing on the Payment Date occurring in the second calendar quarter of 2030 and continuing quarterly thereafter through the Term Loan Maturity Date.</w:t>
      </w:r>
    </w:p>
    <w:p>
      <w:pPr>
        <w:spacing w:after="0" w:line="17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including all unpaid principal thereunder (and, for the avoidance of doubt, all accrued and unpaid interest, all due and unpaid Lender Expenses and any and all other outstanding amounts payable under the Loan Documents), are due and payable in full on the Term Loan Maturity Date.</w:t>
      </w:r>
    </w:p>
    <w:p>
      <w:pPr>
        <w:spacing w:after="0" w:line="175" w:lineRule="exact"/>
        <w:rPr>
          <w:rFonts w:ascii="Times New Roman" w:cs="Times New Roman" w:eastAsia="Times New Roman" w:hAnsi="Times New Roman"/>
          <w:sz w:val="18"/>
          <w:szCs w:val="18"/>
          <w:color w:val="auto"/>
        </w:rPr>
      </w:pPr>
    </w:p>
    <w:p>
      <w:pPr>
        <w:ind w:left="2240" w:hanging="450"/>
        <w:spacing w:after="0"/>
        <w:tabs>
          <w:tab w:leader="none" w:pos="22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Loans may be prepaid only in accordance with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Term Loans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60" w:firstLine="1130"/>
        <w:spacing w:after="0" w:line="253"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have the option, at any time after the Tranche A Closing Date, to prepay, in whole but not in part, outstanding principal amounts under the Term Loans advanced by Lenders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provides written notice to the Collateral Agent of its election (which shall be irrevocable unless the Collateral Agent otherwise consents in writing) to prepay all of the Term Loans at least three (3) Business Days prior to such prepayment, and (B) the prepayment of such principal amount shall be accompanied by any and all accrued and unpaid interest thereon through the date of prepayment, any and all amounts payable in connection with such prepayment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and any and all other amounts payable or accrued and not yet paid under this Agreement and the other Loan Documents (including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Collateral Agent will promptly notify each Lender of its receipt of such notice, and the amount of such Lender’s Applicable Percentage of such prepayment. Notwithstanding anything in this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to the contrary, Borrower may rescind any notice of prepayment under this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if such prepayment would have resulted from a refinancing of the Term Loans or other contingent transaction, which refinancing or transaction shall not be consummated or shall otherwise be delayed (in which case, a new notice shall be required to be sent in connection with any subsequent prepayment).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5" w:name="page106"/>
    <w:bookmarkEnd w:id="105"/>
    <w:p>
      <w:pPr>
        <w:jc w:val="both"/>
        <w:ind w:left="4" w:firstLine="1130"/>
        <w:spacing w:after="0" w:line="253"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promptly, and in any event no later than ten (10) Business Days prior (or immediately if known fewer than ten (10) Business Days prior) to the consummation of a Change in Control, notify the Collateral Agent in writing of the occurrence or anticipated occurrence of such Change in Control, which notice shall include reasonable detail as to the nature, timing and other circumstances of such Change in Control (such notice, a “</w:t>
      </w:r>
      <w:r>
        <w:rPr>
          <w:rFonts w:ascii="Times New Roman" w:cs="Times New Roman" w:eastAsia="Times New Roman" w:hAnsi="Times New Roman"/>
          <w:sz w:val="18"/>
          <w:szCs w:val="18"/>
          <w:b w:val="1"/>
          <w:bCs w:val="1"/>
          <w:color w:val="auto"/>
        </w:rPr>
        <w:t>Change in Control Notice</w:t>
      </w:r>
      <w:r>
        <w:rPr>
          <w:rFonts w:ascii="Times New Roman" w:cs="Times New Roman" w:eastAsia="Times New Roman" w:hAnsi="Times New Roman"/>
          <w:sz w:val="18"/>
          <w:szCs w:val="18"/>
          <w:color w:val="auto"/>
        </w:rPr>
        <w:t xml:space="preserve">”). Borrower shall prepay in full all of the Term Loans advanced by Lenders under this Agreement immediately upon (and concurrent with) the consummation of such Change in Control, in an amount equal to the sum of (A) all unpaid principal and any and all accrued and unpaid interest thereon through the date of prepayment (such interest to be calculated based on the interest rate in effect for the Interest Period during which such Change in Control is consummated), and (B) any and all amounts payable with respect to the prepayment under this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(as applicable), together with any and all other amounts payable or accrued and not yet paid under this Agreement and the other Loan Documents (including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The Collateral Agent will promptly notify each Lender of its receipt of the Change in Control Notice, and the amount of such Lender’s Applicable Percentage of such prepayment.</w:t>
      </w:r>
    </w:p>
    <w:p>
      <w:pPr>
        <w:spacing w:after="0" w:line="191" w:lineRule="exact"/>
        <w:rPr>
          <w:rFonts w:ascii="Times New Roman" w:cs="Times New Roman" w:eastAsia="Times New Roman" w:hAnsi="Times New Roman"/>
          <w:sz w:val="18"/>
          <w:szCs w:val="18"/>
          <w:color w:val="auto"/>
        </w:rPr>
      </w:pPr>
    </w:p>
    <w:p>
      <w:pPr>
        <w:jc w:val="both"/>
        <w:ind w:left="4" w:firstLine="1130"/>
        <w:spacing w:after="0" w:line="266" w:lineRule="auto"/>
        <w:tabs>
          <w:tab w:leader="none" w:pos="160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any prepayment, repurchase, redemption or similar action, of the Permitted Convertible Indebtedness in accordance with its terms (the “</w:t>
      </w:r>
      <w:r>
        <w:rPr>
          <w:rFonts w:ascii="Times New Roman" w:cs="Times New Roman" w:eastAsia="Times New Roman" w:hAnsi="Times New Roman"/>
          <w:sz w:val="17"/>
          <w:szCs w:val="17"/>
          <w:b w:val="1"/>
          <w:bCs w:val="1"/>
          <w:color w:val="auto"/>
        </w:rPr>
        <w:t>Convertible Indebtedness Redemption</w:t>
      </w:r>
      <w:r>
        <w:rPr>
          <w:rFonts w:ascii="Times New Roman" w:cs="Times New Roman" w:eastAsia="Times New Roman" w:hAnsi="Times New Roman"/>
          <w:sz w:val="17"/>
          <w:szCs w:val="17"/>
          <w:color w:val="auto"/>
        </w:rPr>
        <w:t>”) (which occurs prior to the Term Loan Maturity Date), Borrower shall promptly, and in any event no later than fifteen (15) days prior to the consummation of such Convertible Indebtedness Redemption, notify the Collateral Agent in writing of the expected occurrence of such Convertible Indebtedness Redemption, which notice shall include reasonable detail as to the nature, timing and other circumstances of such Convertible Indebtedness Redemption (such notice, a “</w:t>
      </w:r>
      <w:r>
        <w:rPr>
          <w:rFonts w:ascii="Times New Roman" w:cs="Times New Roman" w:eastAsia="Times New Roman" w:hAnsi="Times New Roman"/>
          <w:sz w:val="17"/>
          <w:szCs w:val="17"/>
          <w:b w:val="1"/>
          <w:bCs w:val="1"/>
          <w:color w:val="auto"/>
        </w:rPr>
        <w:t>Convertible Indebtedness Redemption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Borrower shall prepay in full all of the Term Loans advanced by Lenders under this Agreement, concurrently with the occurrence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Convertible Indebtedness Redemption in an amount equal to the sum of (A) all unpaid and outstanding principal and any and all accrued and unpaid interest thereon, and (B) any applicable amounts payable with respect to the prepayment under this </w:t>
      </w:r>
      <w:r>
        <w:rPr>
          <w:rFonts w:ascii="Times New Roman" w:cs="Times New Roman" w:eastAsia="Times New Roman" w:hAnsi="Times New Roman"/>
          <w:sz w:val="17"/>
          <w:szCs w:val="17"/>
          <w:u w:val="single" w:color="auto"/>
          <w:color w:val="auto"/>
        </w:rPr>
        <w:t>Section 2.2(c)(iii)</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17"/>
          <w:szCs w:val="17"/>
          <w:color w:val="auto"/>
        </w:rPr>
        <w:t xml:space="preserve"> (as applicable) and all other amounts payable or accrued and not yet paid under this Agreement and the other Loan Documents (including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The Collateral Agent will promptly notify each Lender of its receipt of the Convertible Indebtedness Redemption Notice, and the amount of such Lender’s Applicable Percentage of such prepayment. Notwithstanding the foregoing, none of the following shall be deemed to be a Convertible Indebtedness Redemption: (w) the conversion to Equity Interests (and payment of cash in lieu of fractional shares) by holders of Permitted Convertible Indebtedness (including any cash payment upon conversion) or required payment of any interest with respect to any Permitted Convertible Indebtedness, in each case, in accordance with the terms of the indenture or other documentation governing such Permitted Convertible Indebtedness, (x) cash payments to redeem any Permitted Convertible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closing price per share of Parent’s publicly-traded common stock on the Trading Day immediately prior to the day on which Borrower delivers the redemption notice pursuant to the terms of the indenture governing such Permitted Convertible Indebtedness is a least 1.2 times the conversion price of such Permitted Convertible Indebtedness, (y) the exchange of existing Permitted Convertible Indebtedness for</w:t>
      </w:r>
    </w:p>
    <w:p>
      <w:pPr>
        <w:spacing w:after="0" w:line="6"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Permitted Convertible Indebtedness (the “</w:t>
      </w:r>
      <w:r>
        <w:rPr>
          <w:rFonts w:ascii="Times New Roman" w:cs="Times New Roman" w:eastAsia="Times New Roman" w:hAnsi="Times New Roman"/>
          <w:sz w:val="18"/>
          <w:szCs w:val="18"/>
          <w:b w:val="1"/>
          <w:bCs w:val="1"/>
          <w:color w:val="auto"/>
        </w:rPr>
        <w:t>Refinancing Convertible Debt</w:t>
      </w:r>
      <w:r>
        <w:rPr>
          <w:rFonts w:ascii="Times New Roman" w:cs="Times New Roman" w:eastAsia="Times New Roman" w:hAnsi="Times New Roman"/>
          <w:sz w:val="18"/>
          <w:szCs w:val="18"/>
          <w:color w:val="auto"/>
        </w:rPr>
        <w:t xml:space="preserve">”) (or the cash proceeds from the issuance of such Refinancing Convertible Debt) to the extent such Refinancing Convertible Debt is permitted to be issued under the terms of this Agreement and to the extent that such new Refinancing Convertible Debt bears interest at a rate per annum not to exceed five percent (5.0%), (2) Equity Interests, (3) the cash proceeds, if any, received pursuant to the exercise, early unwind or termination of any Permitted Equity Derivative entered into in connection with such existing Permitted Convertible Indebtedness, or (4) cash in respect of accrued and unpaid interest on such exchanged existing Permitted Convertible Indebtedness, or (z) delivery of Equity Interests and cash in lieu of fractional shares or in respect of accrued and unpaid interest to any holder of Permitted Convertible Indebtedness to induce such holder to convert Permitted Convertible Indebtedness in accordance with the terms of the indenture governing such Permitted Convertible Indebtedness (any such transaction described in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Permitted Transactions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06" w:name="page107"/>
    <w:bookmarkEnd w:id="106"/>
    <w:p>
      <w:pPr>
        <w:jc w:val="both"/>
        <w:ind w:firstLine="1304"/>
        <w:spacing w:after="0" w:line="253" w:lineRule="auto"/>
        <w:tabs>
          <w:tab w:leader="none" w:pos="17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Application</w:t>
      </w:r>
      <w:r>
        <w:rPr>
          <w:rFonts w:ascii="Times New Roman" w:cs="Times New Roman" w:eastAsia="Times New Roman" w:hAnsi="Times New Roman"/>
          <w:sz w:val="18"/>
          <w:szCs w:val="18"/>
          <w:color w:val="auto"/>
        </w:rPr>
        <w:t xml:space="preserve">. Any prepayment of the Term Loans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(together with the accompanying Makewhole Amount, Prepayment Premium and Exit Consideration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(as applicable)), shall be paid to Lenders in accordance with their respective Applicable Percentages for application to the Obligations in the following order: (i) first, to due and unpaid Lender Expenses; (ii) second, to accrued and unpaid interest at the Default Rate incurred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if any; (iii) third, without duplication of amounts paid pursuant to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above, to accrued and unpaid interest at the Term Loan Rate; (iv) fourth, to accrued and unpaid Additional Consideration, if any; (v) fifth, to accrued and unpaid Exit Consideration; (vi) sixth, to the Prepayment Premium, if applicable; (vii) seventh, to the Makewhole Amount, if applicable; (viii) eighth, to the outstanding principal amount of the Term Loans being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prepayment shall be applied first to reduce the principal amount of the Tranche A Loan, and then to reduce the principal of the Tranche B Loan; and (ix) ninth, to any remaining amounts then due and payable under this Agreement and the other Loan Documents.</w:t>
      </w:r>
    </w:p>
    <w:p>
      <w:pPr>
        <w:spacing w:after="0" w:line="194"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1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first year anniversary of the Tranche A Closing Date shall, in any such case, be accompanied by payment of an amount equal to the Tranche A Makewhole Amount.</w:t>
      </w:r>
    </w:p>
    <w:p>
      <w:pPr>
        <w:spacing w:after="0" w:line="175" w:lineRule="exact"/>
        <w:rPr>
          <w:rFonts w:ascii="Times New Roman" w:cs="Times New Roman" w:eastAsia="Times New Roman" w:hAnsi="Times New Roman"/>
          <w:sz w:val="18"/>
          <w:szCs w:val="18"/>
          <w:color w:val="auto"/>
        </w:rPr>
      </w:pPr>
    </w:p>
    <w:p>
      <w:pPr>
        <w:jc w:val="both"/>
        <w:ind w:left="660" w:firstLine="1130"/>
        <w:spacing w:after="0" w:line="261" w:lineRule="auto"/>
        <w:tabs>
          <w:tab w:leader="none" w:pos="22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first year anniversary of the Tranche B Closing Date shall, in any such case, be accompanied by payment of an amount equal to the Tranche B Makewhole Amount. Notwithstanding anything herein to the contrary, the Tranche B Makewhole Amount shall not in any event be due and payable if the Tranche B Closing Date has not occurred.</w:t>
      </w:r>
    </w:p>
    <w:p>
      <w:pPr>
        <w:spacing w:after="0" w:line="17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1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A Prepayment Premium.</w:t>
      </w:r>
    </w:p>
    <w:p>
      <w:pPr>
        <w:spacing w:after="0" w:line="175" w:lineRule="exact"/>
        <w:rPr>
          <w:rFonts w:ascii="Times New Roman" w:cs="Times New Roman" w:eastAsia="Times New Roman" w:hAnsi="Times New Roman"/>
          <w:sz w:val="18"/>
          <w:szCs w:val="18"/>
          <w:color w:val="auto"/>
        </w:rPr>
      </w:pPr>
    </w:p>
    <w:p>
      <w:pPr>
        <w:jc w:val="both"/>
        <w:ind w:left="660" w:firstLine="1130"/>
        <w:spacing w:after="0" w:line="261" w:lineRule="auto"/>
        <w:tabs>
          <w:tab w:leader="none" w:pos="22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B Prepayment Premium. Notwithstanding anything herein to the contrary, the Tranche B Prepayment Premium shall not in any event be due and payable if the Tranche B Closing Date has not occurred.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 Prepayment Premium shall be due and owing for any payment of principal of the Term Loans made on the Term Loan Maturity Date.</w:t>
      </w:r>
    </w:p>
    <w:p>
      <w:pPr>
        <w:spacing w:after="0" w:line="162" w:lineRule="exact"/>
        <w:rPr>
          <w:sz w:val="20"/>
          <w:szCs w:val="20"/>
          <w:color w:val="auto"/>
        </w:rPr>
      </w:pPr>
    </w:p>
    <w:p>
      <w:pPr>
        <w:jc w:val="both"/>
        <w:ind w:firstLine="1304"/>
        <w:spacing w:after="0" w:line="252" w:lineRule="auto"/>
        <w:tabs>
          <w:tab w:leader="none" w:pos="17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Makewhole Amount, Prepayment Premium or Exit Consideration payable as a result of any prepayment of the Term Loans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shall be presumed to be the liquidated damages sustained by each applicable Lender as the result of the early redemption and repayment of such Term Loan Notes and Borrower agrees that it is reasonable under the circumstances currently existing. BORROWER EXPRESSLY WAIVES (TO THE FULLEST EXTENT IT MAY LAWFULLY DO SO) THE PROVISIONS OF ANY PRESENT OR FUTURE REQUIREMENTS OF LAW THAT PROHIBITS OR MAY PROHIBIT THE COLLECTION OF ANY MAKEWHOLE AMOUNT, PREPAYMENT PREMIUM OR EXIT CONSIDERATION IN CONNECTION WITH ANY SUCH PREPAYMENT OR ACCELERATION OR OTHERWISE. Borrower expressly agrees that (to the fullest extent it may lawfully do so) that: (i) each Makewhole Amount, Prepayment Premium and Exit Consideration is reasonable and is the product of an arm’s-length transaction among sophisticated business people, ably represented by counsel; (ii) each Makewhole Amount, Prepayment Premium and Exit Consideration shall be payable notwithstanding the then-prevailing market rates at the time payment thereof is made; (iii) there has been a course of conduct among Lenders and Borrower giving specific consideration in this transaction for such agreement to pay each Makewhole Amount, Prepayment Premium and Exit Consideration; and (iv) Borrower shall be estopped hereafter from claiming differently than as agreed to in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Borrower expressly acknowledges that its agreement to pay the Makewhole Amount, Prepayment Premium and Exit Consideration, as the case may be, to applicable Lenders as herein described is a material inducement to such Lenders to make any Credit Extension. Without affecting any of any Lender’s rights or remedies hereunder or in respect hereof, if Borrower fails to pay the applicable Makewhole Amount, Prepayment Premium or Exit Consideration when due, then the amount thereof shall thereafter bear interest until paid in full at the Default Rate.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Payment of Interest on Term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800" w:hanging="496"/>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1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below, the principal amount outstanding under each Term Loan shall accrue interest at a fixed rate equal to eight and one-quarter percent (8.25%)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Term Loan Rate</w:t>
      </w:r>
      <w:r>
        <w:rPr>
          <w:rFonts w:ascii="Times New Roman" w:cs="Times New Roman" w:eastAsia="Times New Roman" w:hAnsi="Times New Roman"/>
          <w:sz w:val="18"/>
          <w:szCs w:val="18"/>
          <w:color w:val="auto"/>
        </w:rPr>
        <w:t xml:space="preserve">”), which interest shall be payable quarterly in arrears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firstLine="1130"/>
        <w:spacing w:after="0" w:line="282" w:lineRule="auto"/>
        <w:tabs>
          <w:tab w:leader="none" w:pos="219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on each Term Loan commencing on, and including, the day on which such Term Loan is made, and shall accrue on such Term Loan, or any portion thereof, through and including the day on which such Term Loan or such portion is paid.</w:t>
      </w:r>
    </w:p>
    <w:p>
      <w:pPr>
        <w:spacing w:after="0" w:line="161" w:lineRule="exact"/>
        <w:rPr>
          <w:rFonts w:ascii="Times New Roman" w:cs="Times New Roman" w:eastAsia="Times New Roman" w:hAnsi="Times New Roman"/>
          <w:sz w:val="18"/>
          <w:szCs w:val="18"/>
          <w:color w:val="auto"/>
        </w:rPr>
      </w:pPr>
    </w:p>
    <w:p>
      <w:pPr>
        <w:jc w:val="both"/>
        <w:ind w:left="660" w:firstLine="1130"/>
        <w:spacing w:after="0" w:line="258" w:lineRule="auto"/>
        <w:tabs>
          <w:tab w:leader="none" w:pos="224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is due and payable quarterly on each Interest Date, as calculated by the Collateral Agent (which calculations shall be deemed correct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Collateral Agent shall provide evidence of such calculation upon Borrower’s written request), commencing on the Interest Date occurring in the calendar quarter immediately following the Tranche A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date is not a Business Day, the applicable interest shall be due and payable on the Business Day immediately preceding such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In the event Borrower fails to pay any of the Obligations when due (after giving effect to any applicable grace or cure period), or upon the commencement and during the continuance of an Insolvency Proceeding of Borrower, or upon the occurrence and during the continuance of any other Event of Default, immediately (and without notice or demand by any Lender or the Collateral Agent for payment thereof) to Borrower, such past due Obligations shall accrue interest at a rate per annum which is three percentage points (3.00%)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and, notwithstanding anything to the contrary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above, such interest shall be payable entirely in cash on demand of any Lender or the Collateral Agent. Payment or acceptance of the increased interest rate provided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is not a permitted alternative to timely payment of any Obligations and shall not constitute a waiver of any Event of Default or otherwise prejudice or limit any rights or remedies of the Collateral Agent or any Lender.</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360-Day Year</w:t>
      </w:r>
      <w:r>
        <w:rPr>
          <w:rFonts w:ascii="Times New Roman" w:cs="Times New Roman" w:eastAsia="Times New Roman" w:hAnsi="Times New Roman"/>
          <w:sz w:val="18"/>
          <w:szCs w:val="18"/>
          <w:color w:val="auto"/>
        </w:rPr>
        <w:t>. Interest payable under each Term Loan shall be computed on the basis of a year of 360 days, and in each case shall be payable for the actual number of days elapsed.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otherwise expressly provided herein, all Term Loan payments and any other payments hereunder by (or on behalf of) Borrower shall be made on the date specified herein to such bank account of each applicable Lender as such Lender (or the Collateral Agent) shall have designated in a written notice to Borrower delivered on or before the Tranche A Closing Date (which such notice may be updated by such Lender (or the Collateral Agent) by written notice to the Borrower from time to time after the Tranche A Closing Date). Except as otherwise expressly provided herein, interest is payable quarterly on each Interest Date. Payments of principal or interest received after 11:00 a.m. (New York City time) on such date (or a Payment Date) are considered received at the opening of business on the next Business Day and additional fees or interest, as applicable, shall continue to accrue until paid. When any payment is due on a day that is not a Business Day, such payment is due on the Business Day immediately preceding such date.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8" w:name="page109"/>
    <w:bookmarkEnd w:id="10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2.4 Expenses</w:t>
      </w:r>
      <w:r>
        <w:rPr>
          <w:rFonts w:ascii="Times New Roman" w:cs="Times New Roman" w:eastAsia="Times New Roman" w:hAnsi="Times New Roman"/>
          <w:sz w:val="18"/>
          <w:szCs w:val="18"/>
          <w:color w:val="auto"/>
        </w:rPr>
        <w:t>. Borrower shall pay to or reimburse (or pay directly on behalf of) the Collateral Agent and, as applicable, each Lender,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Person’s reasonable and documented Lender Expenses incurred through and after the Effective Date, promptly after receipt of a written demand therefor by such Lender or the Collateral Agent (with, in the case of any Lender, a copy of such demand to the Collateral Agent), setting forth in reasonable detail such Person’s Lender Expenses.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Requirements of Law; Increased Costs</w:t>
      </w:r>
      <w:r>
        <w:rPr>
          <w:rFonts w:ascii="Times New Roman" w:cs="Times New Roman" w:eastAsia="Times New Roman" w:hAnsi="Times New Roman"/>
          <w:sz w:val="18"/>
          <w:szCs w:val="18"/>
          <w:color w:val="auto"/>
        </w:rPr>
        <w:t>. In the event that any applicable Change in Law:</w:t>
      </w:r>
    </w:p>
    <w:p>
      <w:pPr>
        <w:spacing w:after="0" w:line="229" w:lineRule="exact"/>
        <w:rPr>
          <w:sz w:val="20"/>
          <w:szCs w:val="20"/>
          <w:color w:val="auto"/>
        </w:rPr>
      </w:pPr>
    </w:p>
    <w:p>
      <w:pPr>
        <w:ind w:firstLine="1304"/>
        <w:spacing w:after="0" w:line="282" w:lineRule="auto"/>
        <w:tabs>
          <w:tab w:leader="none" w:pos="17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or shall subject any Lender to any Tax of any kind whatsoever with respect to this Agreement or the Term Loans (except, in each case, Indemnified Taxes, Taxes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Connection Income Taxes);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any Lender;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on any Lender any other condition (other than Taxes); and the result of any of the foregoing is to increase the cost to such Lender (as determined by such Lender in good faith using calculation methods customary in the industry) of making, renewing or maintaining the Term Loans or to reduce any amount receivable in respect thereof or to reduce the rate of return on the capital of such Lender or any Person controlling such Lender,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in any such case, such Lender shall promptly notify Borrower in writing of the event by reason of which it has incurred additional costs or has reduced amounts receivable or rate of return, and submit to Borrower a certificate as to such additional costs or has reduced amounts receivable or rate of return containing the calculation thereof in reasonable detail, which shall be conclusive in the absence of manifest error. Such Lender shall first, prior to Borrower being required to take any action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take commercially reasonable actions to mitigate the additional costs or reduced amounts receivable or rate of return, including assigning all of its rights and delegating and transferring all of its obligations hereunder to an existing Affiliate of such Lender that would not be subject to such, or would be subject to less, additional costs or reduced amounts receivable or rate of return, if any. Borrower shall promptly, and no later than thirty (30) days of its receipt of the certificate described above, pay to such Lender,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any undisputed additional amounts necessary to compensate such Lender for such additional cost or reduced amounts receivable or rate of return as reasonably determined by such Lender with respect to this Agreement or the Term Loans made hereunder. The provisions hereof shall survive the termination of this Agreement and the payment of the outstanding Term Loans and all other Obligations. Failure or delay on the part of any such Lender to demand compensation for any increased costs or reduction in amounts received or receivable or reduction in return on capital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Borrower shall not be under any obligation to compensate such Lender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to increased costs or reductions with respect to any period prior to the date that is 180 days prior to the date of the delivery of the notice required pursuant to the foregoing provisions of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Taxes; Withholding, Etc.</w:t>
      </w:r>
    </w:p>
    <w:p>
      <w:pPr>
        <w:spacing w:after="0" w:line="229" w:lineRule="exact"/>
        <w:rPr>
          <w:sz w:val="20"/>
          <w:szCs w:val="20"/>
          <w:color w:val="auto"/>
        </w:rPr>
      </w:pPr>
    </w:p>
    <w:p>
      <w:pPr>
        <w:jc w:val="both"/>
        <w:ind w:firstLine="1304"/>
        <w:spacing w:after="0" w:line="258" w:lineRule="auto"/>
        <w:tabs>
          <w:tab w:leader="none" w:pos="17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each Credit Party shall pay to the relevant Governmental Authority in accordance with Requirements of Law, and shall indemnify and hold each Lender harmless from, Other Taxes, and Borrower shall furnish to each Lender (as applicable, with a copy to the Collateral Agent) the original or a certified copy of a receipt evidencing payment thereof or other evidence reasonably satisfactory to such Lender.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jc w:val="both"/>
        <w:ind w:firstLine="1304"/>
        <w:spacing w:after="0" w:line="253" w:lineRule="auto"/>
        <w:tabs>
          <w:tab w:leader="none" w:pos="17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or any other Person (a “</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xml:space="preserve">”) is required by Requirements of Law to make any deduction or withholding on account of any Tax (as determined in the good faith discretion of such Withholding Agent) from any sum paid or payable by any Credit Party to any Lender under any of the Loan Documents: (i) such Withholding Agent shall notify such Lender in writing (with a copy to the Collateral Agent) of any such requirement or any change in any such requirement promptly after such Withholding Agent becomes aware of it; (ii) such Withholding Agent shall make any such withholding or deduction; (iii) such Withholding Agent shall pay the full amount withheld or deducted to the relevant Governmental Authority Tax before the date on which penalties attach thereto, such payment to be made (if the liability to pay is imposed on any Credit Party) for its own account or (if that liability is imposed on such Lender, as the case may be) on behalf of and in the name of such Lender in accordance with Requirements of Law; (iv) if the Tax is an Indemnified Tax, the sum payable by such Withholding Agent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such Lender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(or shall cause such Withholding Agent, if not Borrower, to) deliver to such Lender (with a copy to the Collateral Agent) evidence reasonably satisfactory to such Lender of such deduction, withholding or payment and of the remittance thereof to the relevant taxing or other Governmental Authority.</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shall jointly and severally indemnify each Lender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paid by such Lender and any liability (including any reasonable expenses) arising therefrom or with respect thereto whether or not such Indemnified Taxes were correctly or legally imposed or asserted by the relevant Governmental Authority. Any indemnification payment pursuant to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shall be made to the applicable Lender within twenty (20) days from written demand therefor. A certificate as to the amount of such payment or liability delivered to the Credit Parties by a Lender (with a copy to the Withholding Agent, if not a Credit Party), or by the Withholding Agent on its own behalf or on behalf of a Lender, shall be conclusive absent manifest error.</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Borrower, at the time or times reasonably requested by Borrower, such properly completed and executed documentation reasonably requested by Borrower as will permit such payments to be made without withholding or at a reduced rate of withholding. In addition, such Lender, if reasonably requested by Borrower, shall deliver such other documentation prescribed by Requirements of Law or otherwise reasonably requested by Borrower as will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2.6(d)(i)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not be required if in such Lender’s reasonable judgment such completion, execution or submission would subject such Lender to any material unreimbursed cost or expense or would materially prejudice the legal or commercial position of such Lender. For the avoidance of doubt, for the purposes of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the term “Lender” shall include each applicable assignee thereof. Without limiting the generality of the foregoing:</w:t>
      </w:r>
    </w:p>
    <w:p>
      <w:pPr>
        <w:spacing w:after="0" w:line="194"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is organized under the laws of the United States, such Lender shall deliver, and shall cause each applicable assignee thereof to deliver, to Borrower two (2) executed copies of IRS Form W-9 certifying that such Lender is exempt from U.S. federal backup withholding tax.</w:t>
      </w:r>
    </w:p>
    <w:p>
      <w:pPr>
        <w:spacing w:after="0" w:line="17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is a Foreign Lender, such Lender shall deliver, and shall cause each applicable assignee thereof to deliver, to Borrower, on or about the date on which such Foreign Lender becomes a Lender under this Agreement, and at such other times as may be necessary in the determination of Borrower (in the reasonable exercise of its discretion), whichever of the following is applicable:</w:t>
      </w:r>
    </w:p>
    <w:p>
      <w:pPr>
        <w:spacing w:after="0" w:line="175" w:lineRule="exact"/>
        <w:rPr>
          <w:rFonts w:ascii="Times New Roman" w:cs="Times New Roman" w:eastAsia="Times New Roman" w:hAnsi="Times New Roman"/>
          <w:sz w:val="18"/>
          <w:szCs w:val="18"/>
          <w:color w:val="auto"/>
        </w:rPr>
      </w:pPr>
    </w:p>
    <w:p>
      <w:pPr>
        <w:jc w:val="both"/>
        <w:ind w:left="2300" w:hanging="6"/>
        <w:spacing w:after="0" w:line="255" w:lineRule="auto"/>
        <w:tabs>
          <w:tab w:leader="none" w:pos="279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such Lender is a Foreign Lender claiming the benefits of an income tax treaty to which the United States is a party (x) with respect to payments of interest under any Loan Document (including any original issue discount), a properly completed and duly executed copy of IRS Form W-8BEN or IRS Form W-8BEN-E establishing an exemption from, or reduction of, U.S. federal withholding Tax pursuant to the “interest” article of such tax treaty and (y) with respect to any other applicable payments under any Loan Document, a properly completed and duly executed copy of IRS Form W-8BEN or IRS Form W-8BEN-E establishing an exemption from, or reduction of, U.S. federal withholding Tax pursuant to the “business profits” or “other income” article of such tax treaty;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p>
      <w:pPr>
        <w:ind w:left="1600" w:hanging="426"/>
        <w:spacing w:after="0"/>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duly executed copy of IRS Form W-8ECI;</w:t>
      </w:r>
    </w:p>
    <w:p>
      <w:pPr>
        <w:spacing w:after="0" w:line="225" w:lineRule="exact"/>
        <w:rPr>
          <w:rFonts w:ascii="Times New Roman" w:cs="Times New Roman" w:eastAsia="Times New Roman" w:hAnsi="Times New Roman"/>
          <w:sz w:val="18"/>
          <w:szCs w:val="18"/>
          <w:color w:val="auto"/>
        </w:rPr>
      </w:pPr>
    </w:p>
    <w:p>
      <w:pPr>
        <w:jc w:val="both"/>
        <w:ind w:left="1180" w:hanging="6"/>
        <w:spacing w:after="0" w:line="258" w:lineRule="auto"/>
        <w:tabs>
          <w:tab w:leader="none" w:pos="159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such Lender is a Foreign Lender claiming the benefits of the exemption for “portfolio interest” under Section 881(c) of the IRC, an executed copy of IRS Form W-8BEN-E or IRS Form W-8BEN, as applicable, and a certificate reasonably satisfactory to Borrower to the effect that such Foreign Lender is a “bank” within the meaning of 881(c)(3)(A) of the IRC, a “10 percent shareholder” of Borrower within the meaning of Section 871(h)(3)(B) of the IRC, or a “controlled foreign corporation” related to Borrower as described in Section 881(c)(3)(C) of the IRC, or</w:t>
      </w:r>
    </w:p>
    <w:p>
      <w:pPr>
        <w:spacing w:after="0" w:line="183" w:lineRule="exact"/>
        <w:rPr>
          <w:rFonts w:ascii="Times New Roman" w:cs="Times New Roman" w:eastAsia="Times New Roman" w:hAnsi="Times New Roman"/>
          <w:sz w:val="18"/>
          <w:szCs w:val="18"/>
          <w:color w:val="auto"/>
        </w:rPr>
      </w:pPr>
    </w:p>
    <w:p>
      <w:pPr>
        <w:jc w:val="both"/>
        <w:ind w:left="1180" w:hanging="6"/>
        <w:spacing w:after="0" w:line="256" w:lineRule="auto"/>
        <w:tabs>
          <w:tab w:leader="none" w:pos="17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Foreign Lender is not the beneficial owner, an executed copy of IRS Form W-8IMY, accompanied by a withholding statement and IRS Form W-8ECI, IRS Form W-8BEN-E (or W-8BEN, as applicable), IRS Form W-9 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Foreign Lender is a partnership and one or more direct or indirect partners of such Foreign Lender are claiming the portfolio interest exemption, such Foreign Lender may provide a certificate referenced in </w:t>
      </w:r>
      <w:r>
        <w:rPr>
          <w:rFonts w:ascii="Times New Roman" w:cs="Times New Roman" w:eastAsia="Times New Roman" w:hAnsi="Times New Roman"/>
          <w:sz w:val="18"/>
          <w:szCs w:val="18"/>
          <w:u w:val="single" w:color="auto"/>
          <w:color w:val="auto"/>
        </w:rPr>
        <w:t>Section 2.6(d)(ii)(3)</w:t>
      </w:r>
      <w:r>
        <w:rPr>
          <w:rFonts w:ascii="Times New Roman" w:cs="Times New Roman" w:eastAsia="Times New Roman" w:hAnsi="Times New Roman"/>
          <w:sz w:val="18"/>
          <w:szCs w:val="18"/>
          <w:color w:val="auto"/>
        </w:rPr>
        <w:t xml:space="preserve"> above on behalf of each such direct or indirect partner.</w:t>
      </w:r>
    </w:p>
    <w:p>
      <w:pPr>
        <w:spacing w:after="0" w:line="187" w:lineRule="exact"/>
        <w:rPr>
          <w:rFonts w:ascii="Times New Roman" w:cs="Times New Roman" w:eastAsia="Times New Roman" w:hAnsi="Times New Roman"/>
          <w:sz w:val="18"/>
          <w:szCs w:val="18"/>
          <w:color w:val="auto"/>
        </w:rPr>
      </w:pPr>
    </w:p>
    <w:p>
      <w:pPr>
        <w:jc w:val="both"/>
        <w:ind w:left="-460" w:firstLine="1130"/>
        <w:spacing w:after="0" w:line="258" w:lineRule="auto"/>
        <w:tabs>
          <w:tab w:leader="none" w:pos="11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is a Foreign Lender it shall, to the extent it is legally entitled to do so, deliver to Borrower (in such number of copies as shall be requested by the recipient) on or prior to the date on which such Foreign Lender becomes a party to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w:t>
      </w:r>
    </w:p>
    <w:p>
      <w:pPr>
        <w:spacing w:after="0" w:line="183" w:lineRule="exact"/>
        <w:rPr>
          <w:rFonts w:ascii="Times New Roman" w:cs="Times New Roman" w:eastAsia="Times New Roman" w:hAnsi="Times New Roman"/>
          <w:sz w:val="18"/>
          <w:szCs w:val="18"/>
          <w:color w:val="auto"/>
        </w:rPr>
      </w:pPr>
    </w:p>
    <w:p>
      <w:pPr>
        <w:jc w:val="both"/>
        <w:ind w:left="-460" w:firstLine="1130"/>
        <w:spacing w:after="0" w:line="254" w:lineRule="auto"/>
        <w:tabs>
          <w:tab w:leader="none" w:pos="11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at the time or times prescribed by law and at such time or times reasonably requested by Borrower such documentation prescribed by applicable law (including as prescribed by Section 1471(b)(3)(C)(i) of the IRC) and such additional documentation reasonably requested by Borrower as may be necessary for Borrower to comply with their obligations under FATCA and to determine that Lender has complied with its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jc w:val="both"/>
        <w:ind w:left="-460" w:firstLine="1130"/>
        <w:spacing w:after="0" w:line="266" w:lineRule="auto"/>
        <w:tabs>
          <w:tab w:leader="none" w:pos="11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expires or becomes obsolete or inaccurate in any respect, it shall update such form or certification or notify the Borrower and the Collateral Agent in writing of its legal inability to do so.</w:t>
      </w:r>
    </w:p>
    <w:p>
      <w:pPr>
        <w:spacing w:after="0" w:line="1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1" w:name="page112"/>
    <w:bookmarkEnd w:id="111"/>
    <w:p>
      <w:pPr>
        <w:jc w:val="both"/>
        <w:ind w:firstLine="1304"/>
        <w:spacing w:after="0" w:line="252" w:lineRule="auto"/>
        <w:tabs>
          <w:tab w:leader="none" w:pos="1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hereto determines, in its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or additional amounts paid,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and the requirement to repay such refund to such Governmental Authority is not due to the indemnified party’s failure to timely provide complete and accurate Internal Revenue Service forms and other documentation required pursuant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if the payment of such amount would place the indemnified party in a less favorable net after-Tax position than the indemnified party would have been in if the indemnification payments or additional amounts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 of Borrower</w:t>
      </w:r>
      <w:r>
        <w:rPr>
          <w:rFonts w:ascii="Times New Roman" w:cs="Times New Roman" w:eastAsia="Times New Roman" w:hAnsi="Times New Roman"/>
          <w:sz w:val="18"/>
          <w:szCs w:val="18"/>
          <w:color w:val="auto"/>
        </w:rPr>
        <w:t>. Borrower is currently treated as a corporation for U.S. federal income tax purposes. Borrower shall provide the Required Lenders with a prior written notice as promptly as practicable, and in any event not less than ten (10) days, before taking any affirmative action (including making any election under Section 301.7701-3(c) of the Treasury Regulations (or any successor provision) by way of filing an IRS Form 8832) to change its U.S. entity tax classification.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Reporting Assistance</w:t>
      </w:r>
      <w:r>
        <w:rPr>
          <w:rFonts w:ascii="Times New Roman" w:cs="Times New Roman" w:eastAsia="Times New Roman" w:hAnsi="Times New Roman"/>
          <w:sz w:val="18"/>
          <w:szCs w:val="18"/>
          <w:color w:val="auto"/>
        </w:rPr>
        <w:t>. Borrower shall use reasonable efforts to assist any Lender (i) in the computation of accruals with respect to any “original issue discount” or “market discount” arising with respect to the Term Loans for U.S. federal income tax purposes, and (ii) with its compliance with any associated tax reporting or filing requirements of such Lender or its partners, members or beneficial owners.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party hereto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survive any assignment of rights by, or the replacement of, a Lender, the termination of the Term Loan Commitments and the repayment, satisfaction or discharge of all obligations under any Loan Document.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Additional Consideration; Exit Consideration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1304"/>
        <w:spacing w:after="0" w:line="282" w:lineRule="auto"/>
        <w:tabs>
          <w:tab w:leader="none" w:pos="17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additional consideration for the obligation of each Lender to fund its Applicable Percentage of the Term Loans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on the applicable Closing Date:</w:t>
      </w:r>
    </w:p>
    <w:p>
      <w:pPr>
        <w:spacing w:after="0" w:line="161" w:lineRule="exact"/>
        <w:rPr>
          <w:rFonts w:ascii="Times New Roman" w:cs="Times New Roman" w:eastAsia="Times New Roman" w:hAnsi="Times New Roman"/>
          <w:sz w:val="18"/>
          <w:szCs w:val="18"/>
          <w:color w:val="auto"/>
        </w:rPr>
      </w:pPr>
    </w:p>
    <w:p>
      <w:pPr>
        <w:ind w:left="660" w:firstLine="1130"/>
        <w:spacing w:after="0" w:line="282" w:lineRule="auto"/>
        <w:tabs>
          <w:tab w:leader="none" w:pos="219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A Closing Date, Borrower shall pay to each Lender an amount equal to the product of (i) the sum of such Lender’s Tranche A Commitment,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0.0150 (such product, the “</w:t>
      </w:r>
      <w:r>
        <w:rPr>
          <w:rFonts w:ascii="Times New Roman" w:cs="Times New Roman" w:eastAsia="Times New Roman" w:hAnsi="Times New Roman"/>
          <w:sz w:val="18"/>
          <w:szCs w:val="18"/>
          <w:b w:val="1"/>
          <w:bCs w:val="1"/>
          <w:color w:val="auto"/>
        </w:rPr>
        <w:t>Tranche A Additional Consideration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1130"/>
        <w:spacing w:after="0" w:line="282" w:lineRule="auto"/>
        <w:tabs>
          <w:tab w:leader="none" w:pos="224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B Closing Date, Borrower shall pay to each Lender an amount equal to the product of (i) the sum of such Lender’s Tranche B Commitment,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0.0150 (such product, the “</w:t>
      </w:r>
      <w:r>
        <w:rPr>
          <w:rFonts w:ascii="Times New Roman" w:cs="Times New Roman" w:eastAsia="Times New Roman" w:hAnsi="Times New Roman"/>
          <w:sz w:val="18"/>
          <w:szCs w:val="18"/>
          <w:b w:val="1"/>
          <w:bCs w:val="1"/>
          <w:color w:val="auto"/>
        </w:rPr>
        <w:t>Tranche B Additional Consideration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and all Additional Consideration payable hereunder is in addition to, and not creditable against, any other fee, cost or expenses payable under the Loan Documents, shall be fully earned when paid and shall not be refundable for any reason whatsoever, and shall be treated as original issue discount with respect to the applicable Term Loan for U.S. federal income tax purposes. The Additional Consideration payable hereunder shall be due on the applicable Closing Date and shall be deducted from the proceeds of the applicable Term Loan to be advanced to Borrower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ind w:left="1760" w:hanging="456"/>
        <w:spacing w:after="0"/>
        <w:tabs>
          <w:tab w:leader="none" w:pos="1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additional consideration for the funding by each Lender of its Applicable Percentage of the Term Loans pursuant to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on the applicable Closing Date:</w:t>
      </w:r>
    </w:p>
    <w:p>
      <w:pPr>
        <w:spacing w:after="0" w:line="206" w:lineRule="exact"/>
        <w:rPr>
          <w:rFonts w:ascii="Times New Roman" w:cs="Times New Roman" w:eastAsia="Times New Roman" w:hAnsi="Times New Roman"/>
          <w:sz w:val="18"/>
          <w:szCs w:val="18"/>
          <w:color w:val="auto"/>
        </w:rPr>
      </w:pPr>
    </w:p>
    <w:p>
      <w:pPr>
        <w:jc w:val="both"/>
        <w:ind w:left="660" w:firstLine="1130"/>
        <w:spacing w:after="0" w:line="261" w:lineRule="auto"/>
        <w:tabs>
          <w:tab w:leader="none" w:pos="22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or 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(C)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otherwise (including, for the avoidance of doubt, on the Term Loan Maturity Date), shall, in each such case, be accompanied by payment of an amount equal to the Tranche A Exit Consideration; and</w:t>
      </w:r>
    </w:p>
    <w:p>
      <w:pPr>
        <w:spacing w:after="0" w:line="179" w:lineRule="exact"/>
        <w:rPr>
          <w:rFonts w:ascii="Times New Roman" w:cs="Times New Roman" w:eastAsia="Times New Roman" w:hAnsi="Times New Roman"/>
          <w:sz w:val="18"/>
          <w:szCs w:val="18"/>
          <w:color w:val="auto"/>
        </w:rPr>
      </w:pPr>
    </w:p>
    <w:p>
      <w:pPr>
        <w:jc w:val="both"/>
        <w:ind w:left="660" w:firstLine="1130"/>
        <w:spacing w:after="0" w:line="261" w:lineRule="auto"/>
        <w:tabs>
          <w:tab w:leader="none" w:pos="227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or 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(C)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otherwise (including, for the avoidance of doubt, on the Term Loan Maturity Date), shall, in each such case, be accompanied by payment of an amount equal to the Tranche B Exit Consideration.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Evidence of Debt; Note Register; Term Loan Notes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2" w:lineRule="auto"/>
        <w:tabs>
          <w:tab w:leader="none" w:pos="17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Debt; Note Register</w:t>
      </w:r>
      <w:r>
        <w:rPr>
          <w:rFonts w:ascii="Times New Roman" w:cs="Times New Roman" w:eastAsia="Times New Roman" w:hAnsi="Times New Roman"/>
          <w:sz w:val="18"/>
          <w:szCs w:val="18"/>
          <w:color w:val="auto"/>
        </w:rPr>
        <w:t>. Borrower will maintain at all times at its principal executive office a register that identifies each beneficial owner that is entitled to a payment of principal and stated interest on each Term Loan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xml:space="preserve">”) and provides for the registration and transfer of Term Loan Notes so that each Term Loan is at all times in “registered form” within the meaning of Section 5f.103-1(c) of the United States Treasury Regulations (or any amended or successor version) and Section 163(f), 871(h)(2) and 881(c)(2) of the IRC and any related regulations (and any other relevant or successor provisions of the IRC or such regulations). Each Term Loan: (i) shall, pursuant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be registered as to both principal and any stated interest with Borrower or its agent, and (ii) shall be transferred or exchanged by any Lender only by surrender of the old instrument at the principal executive office of Borrower (or at the place of payment named in the Term Loan Note, if any), accompanied, if so required by Borrower in the case of a Lender Transfer, by a written instrument of transfer in form reasonably satisfactory to Borrower duly executed by the holder thereof or by such holder’s attorney duly authorized in writing, and Borrower will execute and deliver in exchange therefor a new Term Loan Note or Term Loan Notes, in such denomination(s) as may be requested by such holder, of like tenor and in the same aggregate outstanding principal amount as the aggregate outstanding principal amount of the Term Loan Note(s) so surrendered. Any Term Loan Note issued in exchange for any other Term Loan Note or upon transfer thereof shall carry the rights to unpaid interest and interest to accrue that were carried by the Term Loan Note so exchanged or transferred, and neither gain nor loss of interest shall result from any such transfer or exchange. Any stamp, documentary, transfer or similar tax or governmental charge or fee relating to such transaction shall be paid by the party requesting the exchange. The entries in the Note Register shall be conclusive and binding for all purposes, including as to the outstanding principal amount of the Term Loan Note and the payment of interest, principal and other sums due hereunder absent manifest error and Borrower, Lenders and any of their respective agents shall treat the Person in whose name any Term Loan Note is registered as the sole and exclusive record and beneficial holder and owner of such Term Loan Note, and a Lender hereunder, for all purposes whatsoever.</w:t>
      </w:r>
    </w:p>
    <w:p>
      <w:pPr>
        <w:spacing w:after="0" w:line="19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Notes</w:t>
      </w:r>
      <w:r>
        <w:rPr>
          <w:rFonts w:ascii="Times New Roman" w:cs="Times New Roman" w:eastAsia="Times New Roman" w:hAnsi="Times New Roman"/>
          <w:sz w:val="18"/>
          <w:szCs w:val="18"/>
          <w:color w:val="auto"/>
        </w:rPr>
        <w:t xml:space="preserve">. Borrower shall execute and deliver to each Lender to evidence such Lender’s Term Loan, (i) on the Tranche A Closing Date, a Tranche A Note, and (ii) on the Tranche B Closing Date, a Tranche B Note. All amounts due under the Term Loan Notes shall be repayable as set forth in this Agreement and interest shall accrue on the principal amount of the Term Loans represented by the Term Loan Notes, in each case, in accordance with the terms of this Agreement. All Term Loan Notes shall rank for all purposes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each other.</w:t>
      </w:r>
    </w:p>
    <w:p>
      <w:pPr>
        <w:spacing w:after="0" w:line="176"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TO TERM LOANS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3.1 Conditions Precedent to Tranche A Loan</w:t>
      </w:r>
      <w:r>
        <w:rPr>
          <w:rFonts w:ascii="Times New Roman" w:cs="Times New Roman" w:eastAsia="Times New Roman" w:hAnsi="Times New Roman"/>
          <w:sz w:val="18"/>
          <w:szCs w:val="18"/>
          <w:color w:val="auto"/>
        </w:rPr>
        <w:t>. Each Lender’s obligation to advance its Applicable Percentage of the Tranche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is subject to the satisfaction (or waiver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59" w:lineRule="exact"/>
        <w:rPr>
          <w:sz w:val="20"/>
          <w:szCs w:val="20"/>
          <w:color w:val="auto"/>
        </w:rPr>
      </w:pPr>
    </w:p>
    <w:p>
      <w:pPr>
        <w:ind w:left="1800" w:hanging="496"/>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and each Lender’s receipt of:</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3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copies of the Loan Agreement, the Disclosure Letter, the Perfection Certificate for Parent and its Subsidiaries and the Advance Request Form for the Tranche A Loan, in each case (x) dated as of the Effective Date, (y) executed (where applicable) and delivered by each applicable Credit Party, and (z) in form and substance reasonably satisfactory to the Collateral Agent;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left="660" w:firstLine="1130"/>
        <w:spacing w:after="0" w:line="255" w:lineRule="auto"/>
        <w:tabs>
          <w:tab w:leader="none" w:pos="220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A Closing Date, copies of the other Loan Documents (including the schedules thereto), including the Tranche A Notes executed by Borrower and the Collateral Documents (but excluding any Control Agreements, Collateral Access Agreements and any other Loan Document described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to be delivered after the Tranche A Closing Date) and, if and to the extent any update thereto is necessary between the Effective Date and the Tranche A Closing Date, an updated Disclosure Letter or Perfection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may the Disclosure Letter or the Perfection Certificate be updated in a manner that would reflect or evidence a Default or Event of Default (with or without such update)), in each case (x) dated as of the Tranche A Closing Date, (y) executed (where applicable) and delivered by each applicable Credit Party, and (z) in form and substance reasonably satisfactory to the Collateral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(i) true, correct and complete copies of the Operating Documents of each of Parent and the other Credit Parties, and (ii) a Secretary’s Certificate, dated the Tranche A Closing Date, certifying that the foregoing copies are true, correct and complete (such Secretary’s Certificate to be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a good standing certificate for each Credit Party (where applicable in the subject jurisdiction), certified (where available) by the Secretary of State (or the equivalent thereof) of the jurisdiction of incorporation, formation or organization of such Person as of a date no earlier than thirty (30) days prior to the Tranche A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a Secretary’s Certificate in relation to each Credit Party, dated the Tranche A Closing Date, certifying that (i) attached as Exhibit A to such certificate is a true, correct, and complete copy of the Borrowing Resolutions then in full force and effect authorizing and ratifying the execution, delivery, and performance by such Credit Party of the Loan Documents to which it is a party, (ii) the name(s) and title(s) of the officers of such Credit Party authorized to execute the Loan Documents to which such Credit Party is a party on behalf of such Credit Party together with a sample of the true signature(s) of such Credit Party(s), and (iii) that the Collateral Agent and each Lender may conclusively rely on such certificate with respect to the authority of such officers unless and until such Credit Party shall have delivered to the Collateral Agent a further certificate canceling or amending such prior certificate;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have obtained all Governmental Approvals, if any, and all consents or approvals of other Persons, including the approval or consent of the equityholders of Borrower or Parent, if any, and the consent of RTW Investments ICAV (for and on behalf of its sub-fund, RTW Fund 2) required pursuant to Section 6.8 of the Pre-Paid Forward Contract, in each case that are necessary in connection with the transactions contemplated by the Loan Documents, and each of the foregoing shall be in full force and effect and in form and substance reasonably satisfactory to the Collateral Agent;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on the Tranche A Closing Date of opinions of (i) Cooley LLP, counsel to Borrower and the other the Credit Parties, and (ii) Gornitzky &amp; Co., counsel to the Parent in each case in form and substance reasonably satisfactory to the Collateral Agent;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Collateral Agent’s receipt on the Tranche A Closing Date of (i) evidence that any products liability and general liability insurance policies maintained regarding any Collateral are in full force and effect and (ii) appropriate evidence showing the Collateral Agent, for the benefit of Lenders and the other Secured Parties, having been named as additional insured or loss payee, as applicable (such evidence to be in form and substance reasonably satisfactory to the Collateral Agent) with respect to any products liability and general liability insurance policies maintained in the United States regarding any Collateral;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prior to the Effective Date of 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1304"/>
        <w:spacing w:after="0" w:line="266" w:lineRule="auto"/>
        <w:tabs>
          <w:tab w:leader="none" w:pos="17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A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for which Borrower has received an invoice at least one (1) Business Day prior, and payment of the Tranche A Additional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which such payments shall be deducted from the proceeds of the Tranche A Loan;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A Loan, payment of all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Prior Loan Agreement for which Borrower has received an invoice at least one (1) Business Day prior, and repayment in full of all amounts owing in respect of each of the Prior Term Loan Notes in accordance with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of the Prior Loan Agreement, which such payments shall be deducted from the proceeds of the Tranche A Loan;</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certificate, dated the Tranche A Closing Date and signed by a Responsible Officer of Parent, confirming: (i) there is no Adverse Proceeding pending or, to the Knowledge of Parent, threatened in writing,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(ii) satisfaction of the conditions precedent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certificate to be in form and substance reasonably satisfactory to the Collateral Agent); and (iii) that the organizational structure and capital structure of Parent and each of its Subsidiaries is as described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as at the Tranche A Closing Date.</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3.2 Conditions Precedent to Tranche B Loan</w:t>
      </w:r>
      <w:r>
        <w:rPr>
          <w:rFonts w:ascii="Times New Roman" w:cs="Times New Roman" w:eastAsia="Times New Roman" w:hAnsi="Times New Roman"/>
          <w:sz w:val="18"/>
          <w:szCs w:val="18"/>
          <w:color w:val="auto"/>
        </w:rPr>
        <w:t>. Each Lender’s obligation to advance its Applicable Percentage of the Tranche B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is subject to the satisfaction (or waiver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59" w:lineRule="exact"/>
        <w:rPr>
          <w:sz w:val="20"/>
          <w:szCs w:val="20"/>
          <w:color w:val="auto"/>
        </w:rPr>
      </w:pPr>
    </w:p>
    <w:p>
      <w:pPr>
        <w:jc w:val="both"/>
        <w:ind w:firstLine="1304"/>
        <w:spacing w:after="0" w:line="258" w:lineRule="auto"/>
        <w:tabs>
          <w:tab w:leader="none" w:pos="16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and each Lender’s receipt, on the Tranche B Closing Date, of the Tranche B Note executed by Borrower, and, if and to the extent any update thereto is necessary between the Tranche A Closing Date and the Tranche B Closing Date, an updated Disclosure Letter or Perfection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may the Disclosure Letter or the Perfection Certificate be updated in a manner that would reflect or evidence a Default or Event of Default (with or without such update)), in each case (x) dated as of the Tranche B Closing Date, (y) executed (where applicable) and delivered by each applicable Credit Party, and (z) in form reasonably satisfactory to the Collateral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Secretary’s Certificate in relation to each Credit Party, dated the Tranche B Closing Date, certifying (i) that attached as Exhibit A to such certificate is a true, correct, and complete copy of the Borrowing Resolutions then in full force and effect authorizing the Tranche B Loan or, alternatively, (ii) that the Borrowing Resolutions adopted as of the Tranche A Closing Date authorizing the Term Loans and previously delivered to the Collateral Agent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have not been modified and remain in full force and effect;</w:t>
      </w:r>
    </w:p>
    <w:p>
      <w:pPr>
        <w:spacing w:after="0" w:line="17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B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for which an invoice has been received by Borrower at least (1) Business Day prior, and payment of the Tranche B Additional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which such payments shall be deducted from the proceeds of the Tranche B Loan;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prepayment of any principal amount of the Tranche A Loan has been made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certificate, dated the Tranche B Closing Date and signed by a Responsible Officer of Parent, confirming: (i) there is no Adverse Proceeding pending or, to the Knowledge of Parent, threatened in writing,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delivered in accordance with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as applicable; and (ii) satisfaction of the conditions precedent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certificate to be in form and substance reasonably satisfactory to the Collateral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3.5 Additional Conditions Precedent to Term Loans</w:t>
      </w:r>
      <w:r>
        <w:rPr>
          <w:rFonts w:ascii="Times New Roman" w:cs="Times New Roman" w:eastAsia="Times New Roman" w:hAnsi="Times New Roman"/>
          <w:sz w:val="18"/>
          <w:szCs w:val="18"/>
          <w:color w:val="auto"/>
        </w:rPr>
        <w:t>. The obligation of each Lender to advance its Applicable Percentage of each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is subject to the following additional conditions precedent:</w:t>
      </w:r>
    </w:p>
    <w:p>
      <w:pPr>
        <w:spacing w:after="0" w:line="159" w:lineRule="exact"/>
        <w:rPr>
          <w:sz w:val="20"/>
          <w:szCs w:val="20"/>
          <w:color w:val="auto"/>
        </w:rPr>
      </w:pPr>
    </w:p>
    <w:p>
      <w:pPr>
        <w:jc w:val="both"/>
        <w:ind w:firstLine="1304"/>
        <w:spacing w:after="0" w:line="258" w:lineRule="auto"/>
        <w:tabs>
          <w:tab w:leader="none" w:pos="17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Credit Parties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the other Loan Documents are true and correct in all material respects on the applicable Closing Date,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applicable Closing Date (both with and without giving effect to the Term Loans) or as of such earlier date, as applicable); and</w:t>
      </w:r>
    </w:p>
    <w:p>
      <w:pPr>
        <w:spacing w:after="0" w:line="183"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(i) any Material Adverse Change, (ii) Withdrawal Event or (iii) any Default or Event of Default.</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3.6 Covenant to Deliver</w:t>
      </w:r>
      <w:r>
        <w:rPr>
          <w:rFonts w:ascii="Times New Roman" w:cs="Times New Roman" w:eastAsia="Times New Roman" w:hAnsi="Times New Roman"/>
          <w:sz w:val="18"/>
          <w:szCs w:val="18"/>
          <w:color w:val="auto"/>
        </w:rPr>
        <w:t>. The Credit Parties agree to deliver to the Collateral Agent or each Lender, as applicable, each item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to Collateral Agent or each Lender, as applicable, under this Agreement as a condition precedent to any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items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shall be delivered to the Collateral Agent within the time period prescribed therefor on such schedule. The Credit Parties expressly agree that a Credit Extension made prior to the receipt by the Collateral Agent or any Lender, as applicable, of any such item shall not constitute a waiver by the Collateral Agent or any Lender of the Credit Parties’ obligation to deliver such item, and the making of any Credit Extension in the absence of any such item required to have been delivered by the date of such Credit Extension shall be in the applicable Lender’s sole discretion.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3.7 Procedures for Borrowing</w:t>
      </w:r>
      <w:r>
        <w:rPr>
          <w:rFonts w:ascii="Times New Roman" w:cs="Times New Roman" w:eastAsia="Times New Roman" w:hAnsi="Times New Roman"/>
          <w:sz w:val="18"/>
          <w:szCs w:val="18"/>
          <w:color w:val="auto"/>
        </w:rPr>
        <w:t>. To obtain any Term Loans, Borrower shall deliver to the Collateral Agent and Lenders by electronic mail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facsimile a completed Advance Request Form (but for the funds flow to be attached thereto by the Collateral Agent) for such Term Loan executed by a Responsible Officer of Borrower (which notice shall be irrevocable on and after the date on which such notice is given and Borrower shall be bound to make a borrowing in accordance therewith), in which case each Lender agrees, subject to the prior satisfaction of all applicable conditions precedent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making of such Term Loan, to advance an amount equal to its Applicable Percentage of the Tranche A Loan Amount or the Tranche B Loan Amount, as applicable, to Borrower on the applicable Closing Date, by wire transfer of same day funds in Dollars, to such account(s) in the United States as may be designated in writing to the Collateral Agent by Borrower at least two (2) Business Days prior to such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the Tranche B Loan, Borrower shall deliver to the Collateral Agent by electronic mail or facsimile such completed Advance Request Form no later than June 30, 2027.</w:t>
      </w:r>
    </w:p>
    <w:p>
      <w:pPr>
        <w:spacing w:after="0" w:line="188"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induce each Lender and the Collateral Agent to enter into this Agreement and for each Lender to make the Credit Extensions to be made on each applicable Closing Date, each Credit Party, jointly and severally with each other Credit Party, represents and warrants to each Lender and the Collateral Agent that the following statements are true and correct as of the Effective Date and on each applicable Closing Date on which a Term Loan is made (both with and without giving effect to the Term Loans) except as otherwise specified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6" w:name="page117"/>
    <w:bookmarkEnd w:id="11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4.1 Due Organization, Existence, Power and Authority</w:t>
      </w:r>
      <w:r>
        <w:rPr>
          <w:rFonts w:ascii="Times New Roman" w:cs="Times New Roman" w:eastAsia="Times New Roman" w:hAnsi="Times New Roman"/>
          <w:sz w:val="18"/>
          <w:szCs w:val="18"/>
          <w:color w:val="auto"/>
        </w:rPr>
        <w:t>. Parent and each of its Subsidiaries (a) is duly incorporated, organized or 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validly existing and, where applicable, in good standing under the laws of its jurisdiction of incorporation, organization or formation identified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(other than with respect to Borrower and any other Credit Party),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to the extent that failure to do so could not, individually or in the aggregate, reasonably be expected to result in a Material Adverse Change.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4.2 Equity Interests</w:t>
      </w:r>
      <w:r>
        <w:rPr>
          <w:rFonts w:ascii="Times New Roman" w:cs="Times New Roman" w:eastAsia="Times New Roman" w:hAnsi="Times New Roman"/>
          <w:sz w:val="18"/>
          <w:szCs w:val="18"/>
          <w:color w:val="auto"/>
        </w:rPr>
        <w:t>. All of the outstanding Equity Interests in each Subsidiary of Parent, the Equity Interests in which are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pledged pursuant to the Collateral Documents, have been duly authorized and validly issued, are (where required by Requirements of Law to be) fully paid and, in the case of Equity Interests representing corporate interests, are non-assessable and, on the applicable Closing Date, all such Equity Interests owned directly by Parent or any other Credit Party are owned free and clear of all Liens except for Permitted Liens.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of the Disclosure Letter identifies each Person, the Equity Interests in which are required to be pledged on the Tranche A Closing Date (or the Tranche B Closing Date, if applicable) pursuant to the Collateral Documents.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4.3 Authorization; No Conflict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Letter, the execution, delivery and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Credit Party of the Loan Documents to which it is a party, and the consummation of the transactions contemplated thereby, (a) have been duly authorized by all necessary corporate or other organizational action and (b) do not and will not (i) contravene the terms of any of such Credit Party’s Operating Documents, (ii) conflict with or result in any breach or contravention of, or require any payment to be made under (A) any provision of any security issued by such Person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the Loan Documents) or (iv) violate any Requirements of Law, except, in the cases of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above, to the extent that such conflict, breach, contravention, payment or violation could not, individually or in the aggregate, reasonably be expected to result in a Material Adverse Change.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4.4 Government Consents; Third Party Consents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Letter, no Governmental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approval, consent, exemption or authorization, or other action by, or notice to, or filing with, any Governmental Authority or any other Person (including any counterparty to any Company IP Agreement or other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Collateral Agent or any Lender of its rights under the Loan Documents or the remedies in respect of the Collateral pursuant to the Collateral Documents, except in each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for (i) filings or registrations necessary to perfect the Liens on the Collateral granted by the Credit Parties to the Collateral Agent for the benefit of Lenders and the other Secured Parties, (ii) the approvals, consents, exemptions, authorizations, actions, notices and filings which have been duly obtained, taken, given or made and are in full force and effect, (iii) filings under state or federal securities laws, and (iv) those approvals, consents, exemptions, authorizations or other actions, notices or filings, the failure of which to obtain or make could not, individually or in the aggregate, reasonably be expected to result in a Material Adverse Change.</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4.5 Binding Obligation</w:t>
      </w:r>
      <w:r>
        <w:rPr>
          <w:rFonts w:ascii="Times New Roman" w:cs="Times New Roman" w:eastAsia="Times New Roman" w:hAnsi="Times New Roman"/>
          <w:sz w:val="18"/>
          <w:szCs w:val="18"/>
          <w:color w:val="auto"/>
        </w:rPr>
        <w:t>. This Agreement has been duly executed and delivered by Borrower and each other Credit Party that is a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other Loan Document has been duly executed and delivered by each Credit Party that is a party thereto, and in each case constitutes a legal, valid and binding obligation of Borrower or such Credit Party (as applicable), enforceable against Borrower or such Credit Party (as applicable) in accordance with its respective terms, except as such enforceability may be limited by bankruptcy, insolvency, reorganization, moratorium or similar laws relating to or limiting creditors’ rights generally or by general principles of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7" w:name="page118"/>
    <w:bookmarkEnd w:id="1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4.6 Collateral</w:t>
      </w:r>
      <w:r>
        <w:rPr>
          <w:rFonts w:ascii="Times New Roman" w:cs="Times New Roman" w:eastAsia="Times New Roman" w:hAnsi="Times New Roman"/>
          <w:sz w:val="18"/>
          <w:szCs w:val="18"/>
          <w:color w:val="auto"/>
        </w:rPr>
        <w:t>. In connection with this Agreement, Parent has delivered to the Collateral Agent a completed certificate signed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Officer of Parent (the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Each Credit Party, jointly and severally, represents and warrants to the Collateral Agent and each Lender that:</w:t>
      </w:r>
    </w:p>
    <w:p>
      <w:pPr>
        <w:spacing w:after="0" w:line="175" w:lineRule="exact"/>
        <w:rPr>
          <w:sz w:val="20"/>
          <w:szCs w:val="20"/>
          <w:color w:val="auto"/>
        </w:rPr>
      </w:pPr>
    </w:p>
    <w:p>
      <w:pPr>
        <w:jc w:val="both"/>
        <w:ind w:firstLine="1304"/>
        <w:spacing w:after="0" w:line="252" w:lineRule="auto"/>
        <w:tabs>
          <w:tab w:leader="none" w:pos="1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Its exact legal name is that indicated on the Perfection Certificate and on the signature page thereof; (ii) it is an organization or company of the type and is organized or incorporated in the jurisdiction set forth in the Perfection Certificate; (iii) the Perfection Certificate accurately sets forth its organizational identification number or accurately states that it has none; (iv) the Perfection Certificate accurately sets forth its place of business or registered office address, or, if more than one, its chief executive office or registered office address, as well as its mailing address (if different than its chief executive office or registered office address); (v) except as set forth in the Perfection Certificate, it (and each of its predecessors) has not, in the five (5) years prior to the Effective Date or applicable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applicable Closing Date (it being understood and agreed that Borrower may from time to time update certain information in the Perfection Certificate after the Effective Date to the extent expressly permitted by one or more provisions in this Agreement and the other Loan Documents to reflect changes since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may the Perfection Certificate be updated in a manner that would reflect or evidence a Default or Event of Default (with or without such update)). If any Credit Party is not now a Registered Organization but later becomes one, it shall promptly notify the Collateral Agent of such occurrence and provide the Collateral Agent with such Credit Party’s organizational identification number. The Collateral Agent and each Lender hereby agree that the Perfection Certificate shall be deemed to be updated to reflect information provided in any notice delivered by any Credit Party to the Collateral Agent pursuant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has good and valid title to, has the rights it purports to have in, and subject to Permitted Subsidiary Distribution Restrictions, Permitted Negative Pledges and the occurrence of the applicable Closing Date, the power to transfer each item of the Collateral upon which it purports to grant a Lien under any Collateral Document, free and clear of any and all Liens except Permitted Liens and except for such minor irregularities or defects in title as could not, individually or in the aggregate, reasonably be expected to result in a Material Adverse Change and (ii) it has no deposit accounts maintained at a bank or other depository or financial institution which are not Excluded Accounts other than the deposit accounts described in the Perfection Certificate delivered to the Collateral Agent in connection herewith.</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 of each pending, registered, issued or in-licensed Patent, Copyright and Trademark that relates to the research, development, manufacture, production, use, commercialization, marketing, importing, storage, transport, packaging, labelling, promotion, advertising, offer for sale, distribution or sale of the Product in the Territory, and regulatory exclusivities that are listed in the FDA’s so called “Purple Book” or “Orange Book” (or foreign equivalents) as covering the Product, and any other pending, registered, issued or in-licensed Patent, Copyright and Trademark that, individually or when taken together with any other such Patents, Copyrights or Trademarks or regulatory exclusivities, is material to the business of Parent and its Subsidiaries, taken as a whole, and which is owned or co-owned by or exclusively or nonexclusively in-licensed to any Credit Party or any of its Subsidiaries as of the Effective Date and each applicable Closing Date (collectively, the “</w:t>
      </w:r>
      <w:r>
        <w:rPr>
          <w:rFonts w:ascii="Times New Roman" w:cs="Times New Roman" w:eastAsia="Times New Roman" w:hAnsi="Times New Roman"/>
          <w:sz w:val="18"/>
          <w:szCs w:val="18"/>
          <w:b w:val="1"/>
          <w:bCs w:val="1"/>
          <w:color w:val="auto"/>
        </w:rPr>
        <w:t>Current Company IP</w:t>
      </w:r>
      <w:r>
        <w:rPr>
          <w:rFonts w:ascii="Times New Roman" w:cs="Times New Roman" w:eastAsia="Times New Roman" w:hAnsi="Times New Roman"/>
          <w:sz w:val="18"/>
          <w:szCs w:val="18"/>
          <w:color w:val="auto"/>
        </w:rPr>
        <w:t xml:space="preserve">”), including its name/title, current owner or co-owners (including ownership interest), registration, patent or application number, and registration or application date, in each jurisdiction where issued or filed in the Territory, is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Except as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w:t>
      </w:r>
    </w:p>
    <w:p>
      <w:pPr>
        <w:spacing w:after="0" w:line="194" w:lineRule="exact"/>
        <w:rPr>
          <w:rFonts w:ascii="Times New Roman" w:cs="Times New Roman" w:eastAsia="Times New Roman" w:hAnsi="Times New Roman"/>
          <w:sz w:val="18"/>
          <w:szCs w:val="18"/>
          <w:color w:val="auto"/>
        </w:rPr>
      </w:pPr>
    </w:p>
    <w:p>
      <w:pPr>
        <w:jc w:val="both"/>
        <w:ind w:left="660" w:firstLine="1130"/>
        <w:spacing w:after="0" w:line="253" w:lineRule="auto"/>
        <w:tabs>
          <w:tab w:leader="none" w:pos="21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item of Current Company IP owned or co-owned by a Credit Party or any of its Subsidiaries is valid, subsisting and, to the Knowledge of such Credit Party, is enforceable (or will be enforceable upon issuance) and no item of Current Company IP owned or co-owned by a Credit Party or any of its Subsidiaries has in any respect lapsed, expired, been cancelled, been held unpatentable, been held unenforceable or been held invalidated, or become abandoned or unenforceable (other than through the lapse, expiration or abandonment of such Current Company IP in the exercise of normal prosecution practices and reasonable business judgment), and, to the Knowledge of such Credit Party, no circumstance or grounds exist that would invalidate or reduce, in whole or in part, the validity, enforceability, subsistence or scope of any such Current Company IP or the ownership or use of such Current Company IP, by any Credit Party or any of its Subsidiaries, and (B) no written notice has been received by any Credit Party or any of its Subsidiaries challenging the validity, patentability, enforceability, inventorship or ownership (other than from patent and trademark offices through the normal prosecution practices), or relating to any lapse, expiration, invalidation, cancellation, abandonment or unenforceability of any item of Current Company IP owned or co-owned by a Credit Party or any of its Subsidiaries (other than through the lapse, expiration or abandonment of such Current Company IP in the exercise of normal prosecution practices and reasonable business judgment);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8" w:name="page119"/>
    <w:bookmarkEnd w:id="118"/>
    <w:p>
      <w:pPr>
        <w:jc w:val="both"/>
        <w:ind w:left="660" w:firstLine="1130"/>
        <w:spacing w:after="0" w:line="254" w:lineRule="auto"/>
        <w:tabs>
          <w:tab w:leader="none" w:pos="229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each Credit Party, (A) each item of Current Company IP that is exclusively or nonexclusively in-licensed from another Person is valid, subsisting and enforceable and no item of Current Company IP that is exclusively or nonexclusively in-licensed by a Credit Party or any of its Subsidiaries has in any respect lapsed, expired, been cancelled, been held unpatentable, been held unenforceable or been held invalidated, or become abandoned or unenforceable (other than through the exercise of normal prosecution practices and reasonable business judgment of the applicable licensor), and (B) no written notice has been received challenging the validity, patentability, enforceability, inventorship or ownership, or relating to any lapse, expiration, invalidation, cancellation, abandonment or unenforceability, of any item of Current Company IP that is exclusively or nonexclusively in-licensed by a Credit Party or any of its Subsidiaries (other than from patent and trademark offices through the applicable licensor’s normal prosecution practices); and</w:t>
      </w:r>
    </w:p>
    <w:p>
      <w:pPr>
        <w:spacing w:after="0" w:line="191" w:lineRule="exact"/>
        <w:rPr>
          <w:rFonts w:ascii="Times New Roman" w:cs="Times New Roman" w:eastAsia="Times New Roman" w:hAnsi="Times New Roman"/>
          <w:sz w:val="18"/>
          <w:szCs w:val="18"/>
          <w:color w:val="auto"/>
        </w:rPr>
      </w:pPr>
    </w:p>
    <w:p>
      <w:pPr>
        <w:jc w:val="both"/>
        <w:ind w:left="660" w:firstLine="1130"/>
        <w:spacing w:after="0" w:line="253" w:lineRule="auto"/>
        <w:tabs>
          <w:tab w:leader="none" w:pos="228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(x) each Person who has or has had any rights in or to owned Current Company IP or any trade secrets owned by any Credit Party or any of its Subsidiaries relating to the research, development, manufacture, production, use, commercialization, marketing, importing, storage, transport, packaging, labeling, promotion, advertising, offer for sale, distribution or sale of the Product in the Territory, including each inventor named on the Patents within such owned Current Company IP filed by any Credit Party or any of its Subsidiaries,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(B) to the Knowledge of such Credit Party, no such Person has any contractual or other obligation that would preclude or conflict with such assignment or the exploitation of the Product in the Territory or entitle such Person to ongoing payments, and (C) to the Knowledge of each Credit Party, there are no issued patents or pending patent applications, which, if issued, could reasonably be expected to materially adversely affect the exploitation of the Product in the Territory.</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Credit Party or any of its Subsidiaries possesses valid title to the Current Company IP for which it is listed as the owner or co-owner, as applicable,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and (ii) there are no Liens on any Current Company IP other than Permitted Liens.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maintenance, annuity or renewal fees that are currently overdue beyond their allotted grace period for any of the Current Company IP which is owned by or exclusively or nonexclusively licensed to any Credit Party or any of its Subsidiaries, nor have any applications or registrations therefor lapsed or become abandoned, been cancelled or expired (other than through the lapse, expiration or abandonment of such Current Company IP in the exercise of normal prosecution practices and reasonable business judgment of the Credit Parties, their respective Subsidiaries or the applicable licensor), in each case, except as would not reasonably be expected to result in a Material Adverse 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1304"/>
        <w:spacing w:after="0" w:line="254" w:lineRule="auto"/>
        <w:tabs>
          <w:tab w:leader="none" w:pos="17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unpaid fees, royalties or indemnification payments under any Company IP Agreement that have become, or are reasonably expected to become, due or overdue except as would not reasonably be expected to result in a Material Adverse Change. Each Company IP Agreement is in full force and effect and, to the Knowledge of each Credit Party, is legal, valid, binding, and enforceable in accordance with its respective terms, except as may be limited by bankruptcy, insolvency, reorganization, moratorium or similar laws relating to or limiting creditors’ rights generally or by equitable principles relating to enforceability. Neither Parent nor any of its Subsidiaries, as applicable, is in material breach of or material default under any Company IP Agreement to which it is a party or may otherwise be bound, and to the Knowledge of each Credit Party, no circumstances or grounds exist that would give rise to a claim of material breach or right of rescission, termination, non-renewal, revision, or amendment of any of the Company IP Agreements, including the execution, delivery and performance of this Agreement and the other Loan Documents.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by any Credit Party or any of its Subsidiaries are due to any other Person in respect of the Current Company IP, other than pursuant to the Company IP Agreements, the Pre-Paid Forward Contract, and those fees payable to patent offices in connection with the prosecution and maintenance of the Current Company IP and associated attorney fees.</w:t>
      </w:r>
    </w:p>
    <w:p>
      <w:pPr>
        <w:spacing w:after="0" w:line="175"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4.6(h)</w:t>
      </w:r>
      <w:r>
        <w:rPr>
          <w:rFonts w:ascii="Times New Roman" w:cs="Times New Roman" w:eastAsia="Times New Roman" w:hAnsi="Times New Roman"/>
          <w:sz w:val="18"/>
          <w:szCs w:val="18"/>
          <w:color w:val="auto"/>
        </w:rPr>
        <w:t xml:space="preserve"> of the Disclosure Letter, no Credit Party is a party to, nor is it bound by, any Excluded License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Restricted License.</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or any of its Subsidiaries has undertaken or omitted to undertake any acts, and to the Knowledge of each Credit Party, no circumstance or grounds exist that would invalidate or reduce, in whole or in part, the enforceability or scope of any Credit Party’s or any of its Subsidiary’s right or entitlement to the Current Company IP in any manner that could reasonably be expected to materially adversely affect the research, development, manufacture, production, use, commercialization, marketing, importing, storage, transport, packaging, labelling, promotion, advertising, offer for sale, distribution or sale of the Product in the Territory, except as set forth on </w:t>
      </w:r>
      <w:r>
        <w:rPr>
          <w:rFonts w:ascii="Times New Roman" w:cs="Times New Roman" w:eastAsia="Times New Roman" w:hAnsi="Times New Roman"/>
          <w:sz w:val="18"/>
          <w:szCs w:val="18"/>
          <w:u w:val="single" w:color="auto"/>
          <w:color w:val="auto"/>
        </w:rPr>
        <w:t>Schedule 4.6(i)</w:t>
      </w:r>
      <w:r>
        <w:rPr>
          <w:rFonts w:ascii="Times New Roman" w:cs="Times New Roman" w:eastAsia="Times New Roman" w:hAnsi="Times New Roman"/>
          <w:sz w:val="18"/>
          <w:szCs w:val="18"/>
          <w:color w:val="auto"/>
        </w:rPr>
        <w:t xml:space="preserve"> of the Disclosure Letter.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8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4.6(i)</w:t>
      </w:r>
      <w:r>
        <w:rPr>
          <w:rFonts w:ascii="Times New Roman" w:cs="Times New Roman" w:eastAsia="Times New Roman" w:hAnsi="Times New Roman"/>
          <w:sz w:val="18"/>
          <w:szCs w:val="18"/>
          <w:color w:val="auto"/>
        </w:rPr>
        <w:t xml:space="preserve"> of the Disclosure Letter, to the Knowledge of each Credit Party, there is no product or other technology of any third party that could reasonably be expected to infringe a Patent within the Current Company IP.</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4.6(k)</w:t>
      </w:r>
      <w:r>
        <w:rPr>
          <w:rFonts w:ascii="Times New Roman" w:cs="Times New Roman" w:eastAsia="Times New Roman" w:hAnsi="Times New Roman"/>
          <w:sz w:val="18"/>
          <w:szCs w:val="18"/>
          <w:color w:val="auto"/>
        </w:rPr>
        <w:t xml:space="preserve"> of the Disclosure Letter, in each case where an issued Patent within the Current Company IP that is material to the research, development, manufacture, production, use, commercialization, marketing, importing, storage, transport, packaging, labelling, promotion, advertising, offer for sale, distribution or sale of the Product in the Territory is owned or co-owned by any Credit Party or its Subsidiaries by assignment, the assignment has been duly recorded with the U.S. Patent and Trademark Office and foreign patent and trademark offices and agencies anywhere in the world in which foreign counterparts are registered, filed or issued.</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each Credit Party, threatened (in writing) claims against Parent or any of its Subsidiaries alleging (i) that any research, development, manufacture, production, use, commercialization, marketing, importing, storage, transport, packaging, labelling, promotion, advertising, offer for sale, distribution or sale of the Product in the Territory infringes or violates (or in the past infringed or violated), or form a reasonable basis for a claim of infringement or violation of, any of the rights of any third parties in or to any Intellectual Property (“</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or constitutes a misappropriation of (or in the past constituted a misappropriation of) any Third Party IP, or (ii) that any Current Company IP is invalid, unpatentable or unenforceable (other than from patent and trademark offices through the normal prosecution practices).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each Credit Party, the manufacture, production, use, commercialization, marketing, importing, storage, transport, offer for sale, distribution or sale of the Product in the Territory (i) has not in the past infringed or violated or formed a reasonable basis for a claim of infringement or violation of, and does not infringe or violate or form a reasonable basis for a claim of infringement or violation of, any of the rights of any third parties in or to any Third Party IP, and (ii) has not constituted a misappropriation of, and does not constitute a misappropriation of, any Third Party IP.</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4.6(n)</w:t>
      </w:r>
      <w:r>
        <w:rPr>
          <w:rFonts w:ascii="Times New Roman" w:cs="Times New Roman" w:eastAsia="Times New Roman" w:hAnsi="Times New Roman"/>
          <w:sz w:val="18"/>
          <w:szCs w:val="18"/>
          <w:color w:val="auto"/>
        </w:rPr>
        <w:t xml:space="preserve"> of the Disclosure Letter, to the Knowledge of each Credit Party, there are no settlements, covenants not to sue, consents, judgments, orders or similar obligations which: (i) restrict the rights of any Credit Party or any of its Subsidiaries to use any Intellectual Property relating to the research, development, manufacture, production, use, commercialization, marketing, importing, storage, transport, packaging, labelling, promotion, advertising, offer for sale, distribution or sale of the Product in the Territory (in order to accommodate any Third Party IP or otherwise), or (ii) permit any third parties to use any Company IP, in each case existing as of the Effective Date and each applicable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firstLine="1304"/>
        <w:spacing w:after="0" w:line="261" w:lineRule="auto"/>
        <w:tabs>
          <w:tab w:leader="none" w:pos="17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4.6(o)</w:t>
      </w:r>
      <w:r>
        <w:rPr>
          <w:rFonts w:ascii="Times New Roman" w:cs="Times New Roman" w:eastAsia="Times New Roman" w:hAnsi="Times New Roman"/>
          <w:sz w:val="18"/>
          <w:szCs w:val="18"/>
          <w:color w:val="auto"/>
        </w:rPr>
        <w:t xml:space="preserve"> of the Disclosure Letter, to the Knowledge of each Credit Party, (i) there is no, nor has there been any, infringement or violation by any Person of any of the Company IP existing as of the Effective Date and each applicable Closing Date or any of the rights therein, and (ii) there is no, nor has there been any, misappropriation by any Person of any of the Company IP existing as of the Effective Date and each applicable Closing Date or the subject matter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each of its Subsidiaries has taken all commercially reasonable measures customary in the health and life sciences industry, to protect the confidentiality and value of all trade secrets owned or licensed by such Credit Party or any of its Subsidiaries or used or held for use by such Credit Party or any of its Subsidiaries, in each case relating to the research, development, manufacture, production, use, commercialization, marketing, importing, storage, transport, packaging, labelling, promotion, advertising, offer for sale, distribution or sale of the Product in the Territory. Any disclosure by a Credit Party or any of its Subsidiaries of any such trade secrets to any third party has been pursuant to the terms of a written agreement (including appropriate confidentiality, access, use and non-disclosure provisions) with such third party, and no Credit Party or any of its Subsidiaries has suffered any material data breach or other incident that has resulted in any loss, unauthorized access, use, disclosure or modification of any such trade secrets.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4.6(q)</w:t>
      </w:r>
      <w:r>
        <w:rPr>
          <w:rFonts w:ascii="Times New Roman" w:cs="Times New Roman" w:eastAsia="Times New Roman" w:hAnsi="Times New Roman"/>
          <w:sz w:val="18"/>
          <w:szCs w:val="18"/>
          <w:color w:val="auto"/>
        </w:rPr>
        <w:t xml:space="preserve"> of the Disclosure Letter, to the Knowledge of each Credit Party, the Product made, used or sold in the Territory under the Patents within the Current Company IP has been marked with the proper patent notice.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4.6(r)</w:t>
      </w:r>
      <w:r>
        <w:rPr>
          <w:rFonts w:ascii="Times New Roman" w:cs="Times New Roman" w:eastAsia="Times New Roman" w:hAnsi="Times New Roman"/>
          <w:sz w:val="18"/>
          <w:szCs w:val="18"/>
          <w:color w:val="auto"/>
        </w:rPr>
        <w:t xml:space="preserve"> of the Disclosure Letter, to the Knowledge of each Credit Party, at the time of any shipment of the Product occurring prior to the Effective Date or the applicable Closing Date, the units thereof so shipped complied in all material respects with their relevant specifications and were developed and manufactured in accordance with then applicable Good Manufacturing Practices, Good Clinical Practices, Good Laboratory Practices, and other applicable Requirements of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Documents create in favor of the Collateral Agent, for the benefit of Lenders and the other Secured Parties, a valid and continuing and, upon the making of the filings and the taking of the actions required under the terms of the Loan Documents (except to the extent not required to be perfected pursuant to the terms of the Loan Documents), perfected Lien on and security interest in the Collateral (in each case, solely to the extent perfection is available under Requirements of Law through the making of such filings and taking of such actions), securing the payment of the Obligations, and having priority over all other Liens on and security interests in the Collateral (except Permitted Liens).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Adverse Proceedings, Compliance with Laws and Settlement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17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Tranche A Closing Date: (i)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(i) there are no Adverse Proceedings pending or, to the Knowledge of such Credit Party, threatened in writing, at law, in equity, in arbitration or before any Governmental Authority, by or against Parent or any of its Subsidiaries; and (ii) neither Borrower nor any of its Subsidiaries (A) is in violation of any Requirements of Law, excluding any Requirement of Law which is being contested in good faith by appropriate proceedings, or (B) is subject to or in default with respect to any final judgments, orders, writs, injunctions, settlement agreements, decrees, rules or regulations of any court or any federal, state, municipal or other governmental department, commission, board, bureau, agency, instrumentality or other Governmental Authority, domestic or foreign.</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Tranche B Closing Date: (i)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there are no Adverse Proceedings pending or, to the Knowledge of such Credit Party, threatened in writing, at law, in equity, in arbitration or before any Governmental Authority, by or against Parent or any of its Subsidiaries that either individually or in the aggregate, could reasonably be expected to result in a Material Adverse Change; and (ii) neither Parent nor any of its Subsidiaries (A) is in violation of any Requirements of Law (including Environmental Laws), excluding any Requirement of Law which is being contested in good faith by appropriate proceedings, that, individually or in the aggregate, could reasonably be expected to result in a Material Adverse Change, or (B) is subject to or in default with respect to any final judgments, orders, writs, injunctions, settlement agreements, decrees, rules or regulations of any court or any federal, state, municipal or other governmental department, commission, board, bureau, agency, instrumentality or other Governmental Authority, domestic or foreign, that, individually or in the aggregate, could reasonably be expected to result in a Material Adverse Change.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ind w:right="20" w:firstLine="1304"/>
        <w:spacing w:after="0" w:line="282" w:lineRule="auto"/>
        <w:tabs>
          <w:tab w:leader="none" w:pos="17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(and, to Parent’s Knowledge, each other party thereto) is in compliance in all material respects with the terms of all settlement agreements (relating to any Adverse Proceeding) to which Parent or any Subsidiary is a party.</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b w:val="1"/>
          <w:bCs w:val="1"/>
          <w:color w:val="auto"/>
        </w:rPr>
        <w:t>Exchange Act Documents; Financial Statements; Financial Condition; No Material Adverse Change; Books and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7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Act Documents filed by Parent with the SEC since December 31, 2024,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forward-looking statements, estimates, budgets and general economic or industry data of a general nature),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projected financial information, Parent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Parent or any Subsidiary, and neither Parent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thereto) of Parent and its Subsidiaries included in the Exchange Act Documents present fairly in all material respects the consolidated financial condition of Parent and such Subsidiaries and their consolidated results of operations as of the dates indicated and the results of their operations and the changes in their cash flows for the periods specified. Such financial statements have been prepared in conformity with Applicable Accounting Standards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Exchange Act Documents present fairly in all material respects the information required to be stated therein.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acknowledges that its management is responsible for the preparation and fair presentation of the financial statements of Parent and each of its Subsidiaries delivered to the Collateral Agent pursuant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in each case, in conformance, in all material respects, with Applicable Accounting Standards. Parent has, suitable for a company of its size and stage of development, designed, implemented and maintained internal controls relevant to the preparation and fair presentation of financial statements that are free from material misstatement, whether due to fraud or error.</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has not occurred (i) any change or event that has had or could reasonably be expected to have, either alone or in conjunction with any other change(s), event(s) or failure(s), a Material Adverse Change, or (ii) any Transfer by Parent or any of its Subsidiaries, voluntary or involuntary, of any material part of the business, assets or property of Parent or any Subsidiary, and no purchase or other acquisition by any of them of any business, assets or property (including any Equity Interests of any other Person) material to Parent or any Subsidiary, in each case, which is not reflected in the financial statements of Parent and its Subsidiaries included in the Exchange Act Documents (or in the notes thereto) and has not otherwise been disclosed in writing to the Collateral Agent or Lenders on the Effective Date or prior to the applicable Closing Date.</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7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Parent and each of its Subsidiaries contain full, true and correct entries of all dealings and transactions in relation to its business and activities in conformity in all material respects with Applicable Accounting Standards and Requirements of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4.9 Solvency</w:t>
      </w:r>
      <w:r>
        <w:rPr>
          <w:rFonts w:ascii="Times New Roman" w:cs="Times New Roman" w:eastAsia="Times New Roman" w:hAnsi="Times New Roman"/>
          <w:sz w:val="18"/>
          <w:szCs w:val="18"/>
          <w:color w:val="auto"/>
        </w:rPr>
        <w:t>. Each Credit Party and its Subsidiaries, on a consolidated basis, are Solvent. Without limiting the generality of the foregoing,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 has been no proposal made or resolution adopted by any competent corporate body for the dissolution or liquidation of any Credit Party, nor do any circumstances exist which may result in the dissolution or liquidation of any Credit Party (other than in respect of a dissolution or liquidation expressly permitted under </w:t>
      </w:r>
      <w:r>
        <w:rPr>
          <w:rFonts w:ascii="Times New Roman" w:cs="Times New Roman" w:eastAsia="Times New Roman" w:hAnsi="Times New Roman"/>
          <w:sz w:val="18"/>
          <w:szCs w:val="18"/>
          <w:u w:val="single" w:color="auto"/>
          <w:color w:val="auto"/>
        </w:rPr>
        <w:t>Section 6.3(a)(iii)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4.10 Payment of Taxes</w:t>
      </w:r>
      <w:r>
        <w:rPr>
          <w:rFonts w:ascii="Times New Roman" w:cs="Times New Roman" w:eastAsia="Times New Roman" w:hAnsi="Times New Roman"/>
          <w:sz w:val="18"/>
          <w:szCs w:val="18"/>
          <w:color w:val="auto"/>
        </w:rPr>
        <w:t>. All U.S. federal, state, local and non-U.S. income and other material Tax returns and reports of each Credit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of its Subsidiaries required to be filed by any of them have been timely filed (or an extension has been obtained for the filing thereof) and are correct in all material respects, and all U.S. federal, state, local and non-U.S. Taxes which are due and payable by any Credit Party or any of its Subsidiaries and all assessments, fees and other governmental charges upon any Credit Party or any of its Subsidiaries and upon their respective properties, assets, income, businesses and franchises which are due and payable by any Credit Party or any of its Subsidiaries have been paid when due and payable, except and only to the extent that (i) the validity or amount thereof is being contested in good faith by appropriate proceedings and the applicable Credit Party has set aside on its books adequate reserves therefor in conformity with Applicable Accounting Standards, or (ii) the failure to timely file such Tax returns or the failure to pay such Taxes, individually or in the aggregate, does not result and could not reasonably be expected to result in a Material Adverse Change. There is no proposed Tax assessment against any Credit Party or any of its Subsidiaries that would, if made, result in a Material Adverse Change.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4.11 Environmental Matters</w:t>
      </w:r>
      <w:r>
        <w:rPr>
          <w:rFonts w:ascii="Times New Roman" w:cs="Times New Roman" w:eastAsia="Times New Roman" w:hAnsi="Times New Roman"/>
          <w:sz w:val="18"/>
          <w:szCs w:val="18"/>
          <w:color w:val="auto"/>
        </w:rPr>
        <w:t>. Neither Parent nor any of its Subsidiaries nor any of their respective Facilities or operations is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written order, consent decree or settlement agreement with any Person relating to any Environmental Law, any Environmental Claim, or any Hazardous Materials Activity that, individually or in the aggregate, could reasonably be expected to result in a Material Adverse Change. There are and, to the Knowledge of such Credit Party, have been, no conditions, occurrences, or Hazardous Materials Activities that would reasonably be expected to form the basis of an Environmental Claim against Parent or any of its Subsidiaries that, individually or in the aggregate, could reasonably be expected to result in a Material Adverse Change. To the Knowledge of such Credit Party, no predecessor of Parent or any of its Subsidiaries has filed any notice under any Environmental Law indicating past or present treatment of Hazardous Materials at any Facility, which would reasonably be expected to form the basis of an Environmental Claim against Parent or any of its Subsidiaries that, individually or in the aggregate, could reasonably be expected to result in a Material Adverse Change (but, for the avoidance of doubt, neither Parent nor Borrower nor any of their respective Subsidiaries has undertaken any investigation of or made any inquiries to, or relating to, any of its or its Subsidiaries’ predecessors), and neither Parent’s nor any of its Subsidiaries’ operations involves the generation, transportation, treatment, storage or disposal of hazardous waste, as defined under 40 C.F.R. Parts 260 – 270 or any foreign or United States state equivalents, which would reasonably be expected to form the basis of an Environmental Claim against Parent or any of its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that, individually or in the aggregate, has resulted in, or could reasonably be expected to result in, a Material Adverse Change.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4.12 Material Contracts</w:t>
      </w:r>
      <w:r>
        <w:rPr>
          <w:rFonts w:ascii="Times New Roman" w:cs="Times New Roman" w:eastAsia="Times New Roman" w:hAnsi="Times New Roman"/>
          <w:sz w:val="18"/>
          <w:szCs w:val="18"/>
          <w:color w:val="auto"/>
        </w:rPr>
        <w:t>. After giving effect to the consummation of the transactions contemplated by this Agreement, except as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of the Disclosure Letter, each Material Contract is a valid and binding obligation of the applicable Credit Party and, to the Knowledge of such Credit Party, each other party thereto, and is in full force and effect, and neither the applicable Credit Party nor, to the Knowledge of such Credit Party,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or result in the invalidation thereof. No Credit Party or any of its Subsidiaries has received any written notice from any party to any Material Contract asserting or threatening to assert, circumstances that could reasonably be expected to result in the cancellation, termination or invalidation of any Material Contract (or any provision thereof) or the acceleration of such Credit Party’s or Subsidiary’s obligations thereunder.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3" w:name="page124"/>
    <w:bookmarkEnd w:id="12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4.13 Regulatory Compliance</w:t>
      </w:r>
      <w:r>
        <w:rPr>
          <w:rFonts w:ascii="Times New Roman" w:cs="Times New Roman" w:eastAsia="Times New Roman" w:hAnsi="Times New Roman"/>
          <w:sz w:val="18"/>
          <w:szCs w:val="18"/>
          <w:color w:val="auto"/>
        </w:rPr>
        <w:t>. No Credit Party is or is required to be registered as, or is a company “controlled” by, an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as defined in, or is subject to regulation under, the Investment Company Act of 1940. Each Credit Party has complied in all material respects with the Federal Fair Labor Standards Act (and any foreign or United States state equivalents). Except as could not, either individually or in the aggregate, reasonably be expected to result in a Material Adverse Change, each Plan is in compliance with the applicable provisions of ERISA, the IRC and other U.S. federal or state or foreign Requirements of Law, respectively. (i) No ERISA Event has occurred or is reasonably expected to occur; (ii) neither any Credit Party nor any ERISA Affiliate has incurred, or reasonably expects to incur, any liability (and no event has occurred which, with the giving of notice under Section 4219 of ERISA, would result in such liability) under Section 4201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with respect to a Multiemployer Plan; and (iii) neither any Credit Party nor any ERISA Affiliate has engaged in a transaction that would be subject to Section 4069 or 4212(c) of ERISA, except, with respect to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could not reasonably be expected, individually or in the aggregate, to result in a Material Adverse Change.</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4.14 Margin Stock</w:t>
      </w:r>
      <w:r>
        <w:rPr>
          <w:rFonts w:ascii="Times New Roman" w:cs="Times New Roman" w:eastAsia="Times New Roman" w:hAnsi="Times New Roman"/>
          <w:sz w:val="18"/>
          <w:szCs w:val="18"/>
          <w:color w:val="auto"/>
        </w:rPr>
        <w:t>. No Credit Party is engaged principally, or as one of its important activities, in extending credit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immediate or ultimate, purchasing or carrying Margin Stock. No Credit Party owns any Margin Stock. No Credit Party or any of its Subsidiaries has taken or permitted to be taken any action that might cause any Loan Document to violate Regulation T, U or X of the Federal Reserve Board.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4.15 Subsidiaries; 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Letter includes a complete and accurate list as of the applicable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of Parent and each of its Subsidiaries, setting forth (a) its name and jurisdiction of incorporation, organization or formation, (b) in the case of each Credit Party (other than the Parent), the number of authorized and issued shares (or equivalent) of each class of its Equity Interests outstanding, and (c) the percentage of its outstanding shares of each class owned (directly or indirectly) by Parent or any of its Subsidiaries and the certificate numbers(s) for the same (if any), and (d) the number and effect, if exercised, of all of its outstanding options, warrants, rights of conversion or purchase and all other similar rights with respect thereto. Except as set forth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no Credit Party is a Registered Organization.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4.16 Employee Matters</w:t>
      </w:r>
      <w:r>
        <w:rPr>
          <w:rFonts w:ascii="Times New Roman" w:cs="Times New Roman" w:eastAsia="Times New Roman" w:hAnsi="Times New Roman"/>
          <w:sz w:val="18"/>
          <w:szCs w:val="18"/>
          <w:color w:val="auto"/>
        </w:rPr>
        <w:t>. Neither Parent nor any of its Subsidiaries is engaged in any unfair labor practice that could reasonably be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result in a Material Adverse Change. There is (a) no unfair labor practice complaint pending against Parent or any of its Subsidiaries or, to the Knowledge of Parent, threatened in writing against any of them before the National Labor Relations Board, and no grievance or arbitration proceeding arising out of or under any collective bargaining agreement that is pending against Parent or any of its Subsidiaries or, to the Knowledge of Parent, threatened in writing against any of them, (b) no strike or work stoppage in existence or, to the Knowledge of Parent, threatened in writing involving Parent or any of its Subsidiaries, and (c) to the Knowledge of Parent, no union representation question existing with respect to the employees of Parent or any of its Subsidiaries and, to the Knowledge of Parent, no union organization activity that is taking place that in each case specified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ind w:right="20" w:firstLine="8"/>
        <w:spacing w:after="0" w:line="260" w:lineRule="auto"/>
        <w:tabs>
          <w:tab w:leader="none" w:pos="248" w:val="left"/>
        </w:tabs>
        <w:numPr>
          <w:ilvl w:val="0"/>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individually or taken together with any other matter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could reasonably be expected to result in a Material Adverse Change.</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4.17 Full Disclosure</w:t>
      </w:r>
      <w:r>
        <w:rPr>
          <w:rFonts w:ascii="Times New Roman" w:cs="Times New Roman" w:eastAsia="Times New Roman" w:hAnsi="Times New Roman"/>
          <w:sz w:val="18"/>
          <w:szCs w:val="18"/>
          <w:color w:val="auto"/>
        </w:rPr>
        <w:t>. None of the documents, certificates or written statements (excluding any projections and forward-looking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estimates, budgets and general economic or industry data of a general nature) furnished or otherwise made available to the Collateral Agent or any Lender by or on behalf of any Credit Party for use in connection with the transactions contemplated hereby (in each case, taken as a whole and as modified or supplemented by other information so furnished promptly after the same becomes available, including the information in the Exchange Act Documents)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projected financial information, Parent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Parent or any Subsidiary, and neither Parent nor any Subsidiary can give any assurance that such projections will be attained, that actual results may differ in a material manner from such projections and any failure to meet such projections shall not be deemed to be a breach of any representation or covenant herein). To the Knowledge of Parent,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Collateral Agent or any Lender for use in connection with the transactions contemplated hereby.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4" w:name="page125"/>
    <w:bookmarkEnd w:id="124"/>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4.18</w:t>
      </w:r>
      <w:r>
        <w:rPr>
          <w:sz w:val="20"/>
          <w:szCs w:val="20"/>
          <w:color w:val="auto"/>
        </w:rPr>
        <w:tab/>
      </w:r>
      <w:r>
        <w:rPr>
          <w:rFonts w:ascii="Times New Roman" w:cs="Times New Roman" w:eastAsia="Times New Roman" w:hAnsi="Times New Roman"/>
          <w:sz w:val="17"/>
          <w:szCs w:val="17"/>
          <w:b w:val="1"/>
          <w:bCs w:val="1"/>
          <w:color w:val="auto"/>
        </w:rPr>
        <w:t>Anti-Corruption Laws; Anti-Money Laundering Laws; Sanctions; Export and Import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22"/>
        <w:spacing w:after="0" w:line="253" w:lineRule="auto"/>
        <w:tabs>
          <w:tab w:leader="none" w:pos="17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its Subsidiaries or, to the Knowledge of Parent, any director, officer, agent or employee of Parent or any Subsidiary of Parent has, at any time in the last five (5) years, (i) used any corporate funds of Parent or any Subsidiary of Parent (including Borrower) for any unlawful or improper contribution, gift, entertainment or other unlawful or improper expense relating to political activity, (ii) made any direct or indirect unlawful or improper payment to any foreign or domestic government official or employee or any Person acting in an official capacity from corporate funds of Parent or any Subsidiary of Parent (including Borrower),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the U.K. Bribery Act of 2010 (“</w:t>
      </w:r>
      <w:r>
        <w:rPr>
          <w:rFonts w:ascii="Times New Roman" w:cs="Times New Roman" w:eastAsia="Times New Roman" w:hAnsi="Times New Roman"/>
          <w:sz w:val="18"/>
          <w:szCs w:val="18"/>
          <w:b w:val="1"/>
          <w:bCs w:val="1"/>
          <w:color w:val="auto"/>
        </w:rPr>
        <w:t>UKBA</w:t>
      </w:r>
      <w:r>
        <w:rPr>
          <w:rFonts w:ascii="Times New Roman" w:cs="Times New Roman" w:eastAsia="Times New Roman" w:hAnsi="Times New Roman"/>
          <w:sz w:val="18"/>
          <w:szCs w:val="18"/>
          <w:color w:val="auto"/>
        </w:rPr>
        <w:t>”) or any other applicable anti-corruption laws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or (iv) made any bribe, improper rebate, payoff, influence payment, kickback or other unlawful or improper payment, and no part of the proceeds of any Credit Extension will be used, directly or indirectly, for any payments to any governmental official or employee, political party, official of a political party, candidate for political office or anyone else acting in an official capacity, in order to obtain, retain or direct business, or to obtain any improper advantage, in violation of the FCPA, UKBA or any other Anti-Corruption Laws. No action, suit or proceeding by or before any Governmental Authority or any arbitrator involving Parent or any of its Subsidiaries, with respect to Anti-Corruption Laws is pending or to the Knowledge of Parent, is or has been threatened in writing nor is there a basis for such action, suit, or proceeding.</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operations of Parent and its Subsidiaries are and have been conducted at all times in the last five (5) years in compliance with applicable financial recordkeeping and reporting requirements of the Bank Secrecy Act of 1970 (as amended by Title III of the Uniting and Strengthening America by Providing Appropriate Tools Required to Intercept and Obstruct Terrorism (USA PATRIOT) Act of 2001) and the anti-money laundering laws and counterterrorist financing rules and regulations of each jurisdiction (foreign or domestic) in which Parent or any of its Subsidiaries is subject to such jurisdiction’s Requirements of Law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(ii) no action, suit or proceeding by or before any Governmental Authority or any arbitrator involving Parent or any of its Subsidiaries with respect to the Anti-Money Laundering Laws is pending or to the Knowledge of Parent, threatened in writing.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its Subsidiaries or, to the Knowledge of Parent, any director, officer, agent or employee of Parent or any Subsidiary of Parent is, or is fifty percent (50.0%) or more owned or otherwise controlled by individuals or entities that are, the target or subject of any economic, trade or financial sanctions or restrictive measures administered and enforced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United Nations Security Council, the European Union and each of its member states or His Majesty’s Treasury of the United Kingdom, or other relevant Governmental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Neither Parent nor its Subsidiaries: (i) has assets located in, or otherwise directly or indirectly derives revenues from or engages in, investments, dealings, activities, or transactions in or with, any Sanctioned Country; or (ii) directly or indirectly derives revenues from, conducts any business or engages in investments, dealings, activities, or transactions with, any Blocked Person, including the making or receiving of any contribution of funds, goods or services to or for the benefit of any Blocked Person. Parent and its Subsidiaries will not, directly or indirectly (including through an agent or any other Person), use the proceeds of any Credit Extension, or lend, contribute or otherwise make available such proceeds to any Subsidiary, joint venture partner or other Person, for (x) the purpose of financing the activities of any Person that is the target or subject of Sanctions or is in any Sanctioned Country, (y) use in any Sanctioned Country, or (z) any purpose that could cause any Person to be in violation of Sanctions. No action, suit or proceeding by or before any Governmental Authority or any arbitrator involving Parent or any of its Subsidiaries, with respect to Sanctions is pending or to the Knowledge of Parent, threatened in writing, nor is there a basis for such action, suit or proceeding.</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not, directly or, to the Knowledge of Parent, indirectly (including through an agent or any other Person), use the proceeds of any Credit Extension, or lend, contribute or otherwise make available the proceeds of any Credit Extension to any Subsidiary, joint venture partner or other Person, (i) for any payments to any government official or employee, political party, official of a political party, candidate for political office or any other Person, in order to obtain, retain or direct business, or to obtain any improper advantage, in violation of the FCPA, UKBA or any other Anti-Corruption Laws, (ii) in violation of any Anti-Money Laundering Laws, or (iii) in violation of Sanctions.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5" w:name="page126"/>
    <w:bookmarkEnd w:id="125"/>
    <w:p>
      <w:pPr>
        <w:jc w:val="both"/>
        <w:ind w:firstLine="1304"/>
        <w:spacing w:after="0" w:line="266" w:lineRule="auto"/>
        <w:tabs>
          <w:tab w:leader="none" w:pos="17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its Subsidiaries, and to the Knowledge of Parent, their respective directors, officers, agents and employees, are and have been in compliance in all respects with Sanctions. Parent and its Subsidiaries have instituted and maintain policies and procedures reasonably designed to ensure compliance with Sanctions, Anti-Money Laundering Laws and Anti-Corruption Laws.</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are and have been in compliance in all material respects with Export and Import Laws.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4.19</w:t>
      </w:r>
      <w:r>
        <w:rPr>
          <w:sz w:val="20"/>
          <w:szCs w:val="20"/>
          <w:color w:val="auto"/>
        </w:rPr>
        <w:tab/>
      </w:r>
      <w:r>
        <w:rPr>
          <w:rFonts w:ascii="Times New Roman" w:cs="Times New Roman" w:eastAsia="Times New Roman" w:hAnsi="Times New Roman"/>
          <w:sz w:val="17"/>
          <w:szCs w:val="17"/>
          <w:b w:val="1"/>
          <w:bCs w:val="1"/>
          <w:color w:val="auto"/>
        </w:rPr>
        <w:t>Health Care Matters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67" w:lineRule="auto"/>
        <w:tabs>
          <w:tab w:leader="none" w:pos="17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Health Care Laws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each Credit Party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such Credit Party, each of its Subsidiaries and each officer, Affiliate, and employee acting on behalf of such Credit Party or any of its Subsidiaries, is in compliance in all material respects with all Health Care Laws applicable to such Credit Party or Subsidiary.</w:t>
      </w:r>
    </w:p>
    <w:p>
      <w:pPr>
        <w:spacing w:after="0" w:line="17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FDA Laws</w:t>
      </w:r>
      <w:r>
        <w:rPr>
          <w:rFonts w:ascii="Times New Roman" w:cs="Times New Roman" w:eastAsia="Times New Roman" w:hAnsi="Times New Roman"/>
          <w:sz w:val="18"/>
          <w:szCs w:val="18"/>
          <w:color w:val="auto"/>
        </w:rPr>
        <w:t>. Each Credit Party and, to the Knowledge of such Credit Party, each of its Subsidiaries,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material respects with all applicable FDA Laws, including all applicable requirements of the Food Drug and Cosmetic Act (21 U.S.C. § 301 et seq.) (the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xml:space="preserve">”) and the regulations promulgated thereunder and applicable FDA Guidance Documents, relating to research, development, testing, approval, post-approval monitoring, post-approval requirements, post-approval commitments, reporting, manufacture, production, packaging, labeling, use, commercialization, marketing, promotion, advertising, importing, exporting, storage, transport, offer for sale, distribution or sale of the Product in the Territory. Any Product distributed or sold in the Territory at all times during the past five (5) years has been (i) manufactured in all material respects in accordance with current Good Manufacturing Practices (as applicable), and (ii) if and to the extent such Product is required to be approved by the FDA pursuant to the FDCA in order to be legally marketed in the Territory for such Product’s intended uses, such Product has been approved for such intended uses, meets in all material respects any additional conditions of approval or licensure by the FDA (as applicable), and no inquiries regarding material issues have been initiated by FDA, except in each case referred to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the extent that any failure to ensure the foregoing could not, individually or in the aggregate, reasonably be expected to result in a Material Adverse Change.</w:t>
      </w:r>
    </w:p>
    <w:p>
      <w:pPr>
        <w:spacing w:after="0" w:line="191" w:lineRule="exact"/>
        <w:rPr>
          <w:rFonts w:ascii="Times New Roman" w:cs="Times New Roman" w:eastAsia="Times New Roman" w:hAnsi="Times New Roman"/>
          <w:sz w:val="18"/>
          <w:szCs w:val="18"/>
          <w:color w:val="auto"/>
        </w:rPr>
      </w:pPr>
    </w:p>
    <w:p>
      <w:pPr>
        <w:ind w:firstLine="1304"/>
        <w:spacing w:after="0" w:line="284" w:lineRule="auto"/>
        <w:tabs>
          <w:tab w:leader="none" w:pos="17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Applicability of Controlled Substances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does not contain a controlled substance (as that term is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Act (21 U.S.C. § 801 et seq.)).</w:t>
      </w:r>
    </w:p>
    <w:p>
      <w:pPr>
        <w:spacing w:after="0" w:line="15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Material Statements</w:t>
      </w:r>
      <w:r>
        <w:rPr>
          <w:rFonts w:ascii="Times New Roman" w:cs="Times New Roman" w:eastAsia="Times New Roman" w:hAnsi="Times New Roman"/>
          <w:sz w:val="18"/>
          <w:szCs w:val="18"/>
          <w:color w:val="auto"/>
        </w:rPr>
        <w:t>. Within the past four (4) years, neither any Credit Party, nor, to the Knowledge of each Credit Party,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or any officer, Affiliate or employee of any Credit Party or Subsidiary in its capacity as a Subsidiary or as an officer, Affiliate or employee of a Credit Party or Subsidiary (as applicable), nor, to the Knowledge of each Credit Party, any agent of any Credit Party or Subsidiary, (i) has made an untrue statement of a material fact or a fraudulent statement to any Governmental Authority, (ii) has failed to disclose a material fact to any Governmental Authority, or (iii) has otherwise committed an act, made a statement or failed to make a statement that, at the time such statement or disclosure was made (or, in the case of such failure, should have been made) or such act was committed, could reasonably be expected to constitute a material violation of any Health Care Law.</w:t>
      </w:r>
    </w:p>
    <w:p>
      <w:pPr>
        <w:spacing w:after="0" w:line="18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Proceedings; Audits</w:t>
      </w:r>
      <w:r>
        <w:rPr>
          <w:rFonts w:ascii="Times New Roman" w:cs="Times New Roman" w:eastAsia="Times New Roman" w:hAnsi="Times New Roman"/>
          <w:sz w:val="18"/>
          <w:szCs w:val="18"/>
          <w:color w:val="auto"/>
        </w:rPr>
        <w:t>. Without limiting the generality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except as has been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w:t>
      </w:r>
    </w:p>
    <w:p>
      <w:pPr>
        <w:spacing w:after="0" w:line="2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Letter: (i) to the Knowledge of each Credit Party, there is no Adverse Proceeding pending, or threatened in writing, against any Credit Party or any of its Subsidiaries relating to any allegations of non-compliance with any Health Care Laws , Data Protection Laws or FDA Laws; and (ii) to the Knowledge of each Credit Party, there are no facts, circumstances or conditions that, individually or in the aggregate, could reasonably be expected to form the basis for any allegations of non-compliance with any Health Care Laws, Data Protection Laws or FDA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ind w:firstLine="1304"/>
        <w:spacing w:after="0" w:line="258" w:lineRule="auto"/>
        <w:tabs>
          <w:tab w:leader="none" w:pos="16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Recalls, Safety Notices, Etc</w:t>
      </w:r>
      <w:r>
        <w:rPr>
          <w:rFonts w:ascii="Times New Roman" w:cs="Times New Roman" w:eastAsia="Times New Roman" w:hAnsi="Times New Roman"/>
          <w:sz w:val="18"/>
          <w:szCs w:val="18"/>
          <w:color w:val="auto"/>
        </w:rPr>
        <w:t>. Neither any Credit Party nor any of its Subsidiaries has initiated or otherwise engaged in any recalls,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field notifications, safety warnings, “dear doctor” letters, investigator notices, safety alerts or other notices of action, including as a result of any Risk Evaluation and Mitigation Strategy proposed or enforced by the FDA, relating to an alleged lack of safety or regulatory compliance of Product. Neither any Credit Party nor any of its Subsidiaries has a reasonable expectation that there are grounds for imposition of a clinical hold, as described in 21 C.F.R. § 312.42.</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Preclinical Studies / Clinical Trials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pre-clinical and clinical studies relating to the Product conducted by or on behalf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Party or any of its Subsidiaries have been, or are being, conducted in material compliance with all applicable Requirements of Law, including the requirements of Good Laboratory Practices and Good Clinical Practice, including regulations under the Common Rule, including regulations under 45 C.F.R. part 46, and guidance documents issued by the Office for Human Research Protection, the Animal Welfare Act and applicable experimental protocols, procedures and controls (and any applicable foreign or United States state equivalents), and, for the avoidance of doubt, all applicable foreign (and United States state) equivalents. No clinical trial conducted by or on behalf of any Credit Party or any of its Subsidiaries has been terminated or suspended by any Regulatory Agency and neither any Credit Party nor any of its Subsidiaries has received any notice that the FDA, any other Governmental Authority or any institutional review board, ethics committee or safety monitoring committee has recommended, initiated or threatened in writing to initiate any action to suspend or terminate any clinical trial conducted by or on behalf of any Credit Party or any of its Subsidiaries or to otherwise restrict the preclinical research on or clinical study of the Product.</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Advertising / Promotion</w:t>
      </w:r>
      <w:r>
        <w:rPr>
          <w:rFonts w:ascii="Times New Roman" w:cs="Times New Roman" w:eastAsia="Times New Roman" w:hAnsi="Times New Roman"/>
          <w:sz w:val="18"/>
          <w:szCs w:val="18"/>
          <w:color w:val="auto"/>
        </w:rPr>
        <w:t>. Each Credit Party and, to the Knowledge of such Credit Party, each of its Subsidiaries, officers,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agents has advertised, promoted, marketed and distributed the Product in compliance in all material respects with FDA Laws and other Requirements of Law. Except as set forth on </w:t>
      </w:r>
      <w:r>
        <w:rPr>
          <w:rFonts w:ascii="Times New Roman" w:cs="Times New Roman" w:eastAsia="Times New Roman" w:hAnsi="Times New Roman"/>
          <w:sz w:val="18"/>
          <w:szCs w:val="18"/>
          <w:u w:val="single" w:color="auto"/>
          <w:color w:val="auto"/>
        </w:rPr>
        <w:t>Schedule 4.19(h)</w:t>
      </w:r>
      <w:r>
        <w:rPr>
          <w:rFonts w:ascii="Times New Roman" w:cs="Times New Roman" w:eastAsia="Times New Roman" w:hAnsi="Times New Roman"/>
          <w:sz w:val="18"/>
          <w:szCs w:val="18"/>
          <w:color w:val="auto"/>
        </w:rPr>
        <w:t xml:space="preserve"> of the Disclosure Letter, neither any Credit Party nor, to the Knowledge of such Credit Party, any of its Subsidiaries, officers, employees or agents has received any notice (including any notice under 21 C.F.R. § 316.36) of or is subject to any civil, criminal or administrative action, suit, demand, claim, complaint, hearing, investigation, demand letter, warning letter, untitled letter, proceeding or request for information from the FDA or any other Governmental Authority concerning noncompliance with any FDA Laws or other Requirements of Law with regard to advertising, promoting, marketing or distributing the Product.</w:t>
      </w:r>
    </w:p>
    <w:p>
      <w:pPr>
        <w:spacing w:after="0" w:line="18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Recordkeeping / Reporting</w:t>
      </w:r>
      <w:r>
        <w:rPr>
          <w:rFonts w:ascii="Times New Roman" w:cs="Times New Roman" w:eastAsia="Times New Roman" w:hAnsi="Times New Roman"/>
          <w:sz w:val="18"/>
          <w:szCs w:val="18"/>
          <w:color w:val="auto"/>
        </w:rPr>
        <w:t>. Each Credit Party and, to the Knowledge of such Credit Party, each of its Subsidiaries, has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relating to the research, development, testing, manufacture, recall, production, handling, labeling, packaging, storage, supply, promotion, distribution, marketing, commercialization, import, export and sale of the Product in compliance in all material respects with FDA Laws, Health Care Laws and other applicable Requirements of Law, and each Credit Party and, to the Knowledge of such Credit Party, each of its Subsidiaries, has submitted to the FDA and other Regulatory Authorities in a timely manner all notices and annual or other reports required to be made by it, including adverse experience reports and annual reports (including annual reports specific to holders of Orphan Drug designations), for the Product save to the extent that could not reasonably be expected to have a materially adverse impact on such Credit Party’s or Subsidiary’s rights in respect of the Product.</w:t>
      </w:r>
    </w:p>
    <w:p>
      <w:pPr>
        <w:spacing w:after="0" w:line="182"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Prohibited Transactions; No Whistleblowers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within the past six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to the Knowledge of each Credit Party, neither any Credit Party, any Subsidiary, any of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or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each Credit Party, there are no actions pending or threatened (in writing) against any Credit Party or any of its Subsidiaries or any of their respective Affiliates under any foreign, federal or state whistleblower statute, including under the False Claims Act of 1863 (31 U.S.C. § 3729 et seq.).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7" w:name="page128"/>
    <w:bookmarkEnd w:id="127"/>
    <w:p>
      <w:pPr>
        <w:jc w:val="both"/>
        <w:ind w:firstLine="1304"/>
        <w:spacing w:after="0" w:line="254" w:lineRule="auto"/>
        <w:tabs>
          <w:tab w:leader="none" w:pos="169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Exclusion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neither any Credit Party nor, to the Knowledge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Party, any Subsidiary or any officer, Affiliate or employee having authority to act on behalf of any Credit Party or any Subsidiary, is or, to the Knowledge of such Credit Party, has been threatened in writing to be: (i) “suspended” or “debarred” from selling any products to the U.S. government or its agencies pursuant to the Federal Acquisition Regulation relating to debarment and suspension applicable to federal government agencies generally (42 C.F.R. Subpart 9.4), or other U.S. Requirements of Law; (ii) debarred, disqualified, suspended or excluded from participation in Medicare, Medicaid or any other Governmental Payor Program (including pursuant to 42 U.S.C. § 1320a-7 and related regulations, and for violations of 42 U.S.C. § 1320a-7b) or is listed on the General Services Administration list of excluded parties, to the extent applicable; (iii) debarred by the FDA; or (iv) a party to any other action or proceeding by any Governmental Authority that would prohibit the applicable Credit Party or Subsidiary from distributing or selling the Product in the Territory or providing any services to any governmental or other purchaser pursuant to any Health Care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Health Information</w:t>
      </w:r>
      <w:r>
        <w:rPr>
          <w:rFonts w:ascii="Times New Roman" w:cs="Times New Roman" w:eastAsia="Times New Roman" w:hAnsi="Times New Roman"/>
          <w:sz w:val="18"/>
          <w:szCs w:val="18"/>
          <w:color w:val="auto"/>
        </w:rPr>
        <w:t>. Each Credit Party and, to the Knowledge of such Credit Party, each of its Subsidiaries, to the extent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 material compliance with all applicable Data Protection Laws. Each Credit Party and, to the Knowledge of such Credit Party, each of its Subsidiaries, to the extent applicable, has implemented adequate policies and procedures that comply with Data Protection Laws as well as training that is reasonable and customary in the pharmaceutical industry, designed to satisfy the requirements of all applicable Requirements of Law (including HIPAA, Section 5 of the FTC Act, Israeli Data Protection Law, GDPR and CCPA, as applicable) and is otherwise designed to assure continued compliance and to detect non-compliance. [Neither any Credit Party nor, to the Knowledge of such Credit Party, any Subsidiary that is not a Credit Party, is a “covered entity” or “business associate” as defined in HIPAA (45 C.F.R. § 160.103).</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Corporate Integrity Agreement</w:t>
      </w:r>
      <w:r>
        <w:rPr>
          <w:rFonts w:ascii="Times New Roman" w:cs="Times New Roman" w:eastAsia="Times New Roman" w:hAnsi="Times New Roman"/>
          <w:sz w:val="18"/>
          <w:szCs w:val="18"/>
          <w:color w:val="auto"/>
        </w:rPr>
        <w:t>. Neither any Credit Party or Subsidiary or any of their respective Affiliates, nor any officer,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employee or, to the Knowledge of such Credit Party, agent (as those terms are defined in 42 C.F.R. § 1001.1001) of any Credit Party or Subsidiary, is a party to or has any ongoing reporting or disclosure obligations under, or is otherwise subject to, any corporate integrity agreement, monitoring agreement, deferred prosecution agreement, consent decree, settlement order or other similar agreements, or any order, in each case imposed by any U.S. Governmental Authority, concerning compliance with any laws, rules or regulations, issued under or in connection with a Governmental Payor Program.</w:t>
      </w:r>
    </w:p>
    <w:p>
      <w:pPr>
        <w:spacing w:after="0" w:line="182" w:lineRule="exact"/>
        <w:rPr>
          <w:rFonts w:ascii="Times New Roman" w:cs="Times New Roman" w:eastAsia="Times New Roman" w:hAnsi="Times New Roman"/>
          <w:sz w:val="18"/>
          <w:szCs w:val="18"/>
          <w:color w:val="auto"/>
        </w:rPr>
      </w:pPr>
    </w:p>
    <w:p>
      <w:pPr>
        <w:ind w:firstLine="1304"/>
        <w:spacing w:after="0" w:line="284" w:lineRule="auto"/>
        <w:tabs>
          <w:tab w:leader="none" w:pos="17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ESG Policies</w:t>
      </w:r>
      <w:r>
        <w:rPr>
          <w:rFonts w:ascii="Times New Roman" w:cs="Times New Roman" w:eastAsia="Times New Roman" w:hAnsi="Times New Roman"/>
          <w:sz w:val="18"/>
          <w:szCs w:val="18"/>
          <w:color w:val="auto"/>
        </w:rPr>
        <w:t>. Each Credit Party and, to the Knowledge of such Credit Party, each of its Subsidiaries, to the extent applicable,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best efforts to follow Nasdaq’s global environmental, social and governance (ESG) reporting guide dated May 2019.</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4.20</w:t>
      </w:r>
      <w:r>
        <w:rPr>
          <w:sz w:val="20"/>
          <w:szCs w:val="20"/>
          <w:color w:val="auto"/>
        </w:rPr>
        <w:tab/>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7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4.20(a)</w:t>
      </w:r>
      <w:r>
        <w:rPr>
          <w:rFonts w:ascii="Times New Roman" w:cs="Times New Roman" w:eastAsia="Times New Roman" w:hAnsi="Times New Roman"/>
          <w:sz w:val="18"/>
          <w:szCs w:val="18"/>
          <w:color w:val="auto"/>
        </w:rPr>
        <w:t xml:space="preserve"> of the Disclosure Letter, each Credit Party and each Subsidiary involved in any research, development, manufacture, production, use, commercialization, marketing, importing, storage, transport, offer for sale, distribution or sale of Product in the Territory has all Regulatory Approvals material to the conduct of its business and operations.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each Subsidiary and, to the Knowledge of such Credit Party, each licensee of a Credit Party or a Subsidiary of any Intellectual Property relating to Product, is in compliance with, and at all times during the past five (5) years, has complied with all applicable foreign, federal, state and local laws, rules and regulations governing the research, development, testing, approval, designations, marketing, exclusivity, post-approval monitoring, post-approval requirements, post-approval commitments, reporting, manufacture, production, packaging, labeling, use, commercialization, marketing, promotion, advertising, importing, exporting, storage, transport, offer for sale, distribution or sale of Product in the Territory, including all such regulations promulgated by each applicable Regulatory Agency (including the FDA and applicable foreign or United States state equivalents), except where any instance of failure to comply with any such laws, rules or regulations could not, whether individually or taken together with any other such failures, reasonably be expected to result in a Material Adverse Change. Except as set forth on </w:t>
      </w:r>
      <w:r>
        <w:rPr>
          <w:rFonts w:ascii="Times New Roman" w:cs="Times New Roman" w:eastAsia="Times New Roman" w:hAnsi="Times New Roman"/>
          <w:sz w:val="18"/>
          <w:szCs w:val="18"/>
          <w:u w:val="single" w:color="auto"/>
          <w:color w:val="auto"/>
        </w:rPr>
        <w:t>Schedule 4.20(b)</w:t>
      </w:r>
      <w:r>
        <w:rPr>
          <w:rFonts w:ascii="Times New Roman" w:cs="Times New Roman" w:eastAsia="Times New Roman" w:hAnsi="Times New Roman"/>
          <w:sz w:val="18"/>
          <w:szCs w:val="18"/>
          <w:color w:val="auto"/>
        </w:rPr>
        <w:t xml:space="preserve"> of the Disclosure Letter, no Credit Party or its Subsidiaries has received any written notice from any Regulatory Agency citing action or inaction by any Credit Party or any of its Subsidiaries that would constitute a violation of any applicable foreign, federal, state or local laws, rules or regulations, including a Warning Letter or Untitled Letter from FDA.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8" w:name="page129"/>
    <w:bookmarkEnd w:id="128"/>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8"/>
          <w:szCs w:val="18"/>
          <w:b w:val="1"/>
          <w:bCs w:val="1"/>
          <w:color w:val="auto"/>
        </w:rPr>
        <w:t>Supply and Manufacturing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6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4.21(a)</w:t>
      </w:r>
      <w:r>
        <w:rPr>
          <w:rFonts w:ascii="Times New Roman" w:cs="Times New Roman" w:eastAsia="Times New Roman" w:hAnsi="Times New Roman"/>
          <w:sz w:val="18"/>
          <w:szCs w:val="18"/>
          <w:color w:val="auto"/>
        </w:rPr>
        <w:t xml:space="preserve"> of the Disclosure Letter, to the Knowledge of each Credit Party, the Product at all times has been manufactured in sufficient quantities and of a sufficient quality to satisfy demand of the Product in the Specified Territory, without the occurrence of any event or any series of related events causing inventory of the Product to have become exhausted prior to satisfying such demand. To the Knowledge of each Credit Party, no event or circumstance (or series of related events or circumstances) has occurred that has caused or could reasonably be expected to cause inventory of the Product to become exhausted in any calendar year prior to satisfying the sales demand (if any) of the Product in the Specified Territory in such calendar year.</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4.21(b)</w:t>
      </w:r>
      <w:r>
        <w:rPr>
          <w:rFonts w:ascii="Times New Roman" w:cs="Times New Roman" w:eastAsia="Times New Roman" w:hAnsi="Times New Roman"/>
          <w:sz w:val="18"/>
          <w:szCs w:val="18"/>
          <w:color w:val="auto"/>
        </w:rPr>
        <w:t xml:space="preserve"> of the Disclosure Letter, to the Knowledge of each Credit Party, no event or circumstance (or series of related events or circumstances) has occurred or, in the reasonable business judgment of Parent, is reasonably likely to occur, that would cause or could reasonably be expected to cause either JELMYTO® or ZUSDURI® not to be manufactured in any calendar year in sufficient quantities to satisfy or exceed the greater of (i) the net sales amount for such calendar year set forth in the Product Revenue Forecast, and (ii) solely in the case of JELMYTO®, the expected needs of patients with the disease or condition for which JELMYTO® was designated as an Orphan Drug for such calendar year, as reasonably determined by Responsible Officers of the Credit Parties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calendar year occurs during the full 7-year term of orphan drug exclusive approval granted under 21 C.F.R. §316.34 ending April 15, 2027).</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4.21(c)</w:t>
      </w:r>
      <w:r>
        <w:rPr>
          <w:rFonts w:ascii="Times New Roman" w:cs="Times New Roman" w:eastAsia="Times New Roman" w:hAnsi="Times New Roman"/>
          <w:sz w:val="18"/>
          <w:szCs w:val="18"/>
          <w:color w:val="auto"/>
        </w:rPr>
        <w:t xml:space="preserve"> of the Disclosure Letter, to the Knowledge of each Credit Party, (i) no manufacturer (including a contract manufacturer) or producer of the Product has been or is currently subject to a Regulatory Agency shutdown, restriction or import or export prohibition, (ii) no manufacturer (including a contract manufacturer) or producer of the Product has received in the past five (5) years or is currently subject to (1) a FDA Form 483 or (2) other written Regulatory Agency notice of inspectional observations, warning letter, untitled letter or request to make changes to the Product that could reasonably be expected to impact the Product, in either case of </w:t>
      </w:r>
      <w:r>
        <w:rPr>
          <w:rFonts w:ascii="Times New Roman" w:cs="Times New Roman" w:eastAsia="Times New Roman" w:hAnsi="Times New Roman"/>
          <w:sz w:val="18"/>
          <w:szCs w:val="18"/>
          <w:u w:val="single" w:color="auto"/>
          <w:color w:val="auto"/>
        </w:rPr>
        <w:t>sub-clause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with respect to any material facility manufacturing or producing the Product for import, distribution or sale in the Territory, and (iii) with respect to each such FDA Form 483 received or other written Regulatory Agency notice (if any), all scientific and technical violations or other issues relating to good manufacturing practice requirements documented therein, and any disputes regarding any such violations or issues, have been corrected or otherwise resolved.</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4.21(d)</w:t>
      </w:r>
      <w:r>
        <w:rPr>
          <w:rFonts w:ascii="Times New Roman" w:cs="Times New Roman" w:eastAsia="Times New Roman" w:hAnsi="Times New Roman"/>
          <w:sz w:val="18"/>
          <w:szCs w:val="18"/>
          <w:color w:val="auto"/>
        </w:rPr>
        <w:t xml:space="preserve"> of the Disclosure Letter, no Credit Party or any of its Subsidiaries has received any notice from any party to any Manufacturing Agreement containing any indication by or intent or threat in writing of, such party to reduce or cease, in any material respect, the supply of the Product or the active pharmaceutical ingredient incorporated therein in the Territory or any other raw materials needed to fulfill its contractual obligations related to the Product in any Manufacturing Agreement through calendar year 2031 (or such earlier date in accordance with the terms and conditions of such Manufacturing Agreement,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9" w:name="page130"/>
    <w:bookmarkEnd w:id="129"/>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7"/>
          <w:szCs w:val="17"/>
          <w:b w:val="1"/>
          <w:bCs w:val="1"/>
          <w:color w:val="auto"/>
        </w:rPr>
        <w:t>Cybersecurity and Data Protection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3" w:lineRule="auto"/>
        <w:tabs>
          <w:tab w:leader="none" w:pos="17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4.22(a)</w:t>
      </w:r>
      <w:r>
        <w:rPr>
          <w:rFonts w:ascii="Times New Roman" w:cs="Times New Roman" w:eastAsia="Times New Roman" w:hAnsi="Times New Roman"/>
          <w:sz w:val="18"/>
          <w:szCs w:val="18"/>
          <w:color w:val="auto"/>
        </w:rPr>
        <w:t xml:space="preserve"> of the Disclosure Letter, the information technology systems (including software and hardware) used in the business of each of Parent and its Subsidiaries, including any technology systems made available by Parent or any of its Subsidiaries to any medical partners, physicians, patients, payors, patient assistance programs, or other third parties in connection with the Product, (altogether,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operate and perform in all material respects as required to permit each of Parent and its Subsidiaries to conduct their respective businesses as presently conducted in their respective Specified Territory. Parent and each of its Subsidiaries has implemented and maintains reasonable and appropriate security controls and safeguards designed to protect the confidentiality, integrity, and availability of Sensitive Information and designed to protect the Systems. To the Knowledge of each Credit Party, no System contains any material ransomware, disabling codes or instructions, spyware, Trojan horses, worms, viruses or other software routines that are designed or intended to delete, destroy, disable, disrupt, impair, interfere with, perform unauthorized modifications to, or provide unauthorized access to any data, files, software, system, network or other device. Parent and its Subsidiaries have and maintain back-up systems, consistent with the industry in which Parent and each of its Subsidiaries operate and the size and condition of Parent and each of its Subsidiaries, designed to provide continuing availability of the material functionality provided by the Systems in the event of any malfunction of, or other event interrupting access to or the functionality of, such Systems. Parent and each of its Subsidiaries use commercially reasonable efforts to maintain System security, including promptly implementing material security patches that are generally available for the Systems.</w:t>
      </w:r>
    </w:p>
    <w:p>
      <w:pPr>
        <w:spacing w:after="0" w:line="187" w:lineRule="exact"/>
        <w:rPr>
          <w:rFonts w:ascii="Times New Roman" w:cs="Times New Roman" w:eastAsia="Times New Roman" w:hAnsi="Times New Roman"/>
          <w:sz w:val="18"/>
          <w:szCs w:val="18"/>
          <w:color w:val="auto"/>
        </w:rPr>
      </w:pPr>
    </w:p>
    <w:p>
      <w:pPr>
        <w:jc w:val="both"/>
        <w:ind w:firstLine="1322"/>
        <w:spacing w:after="0" w:line="253" w:lineRule="auto"/>
        <w:tabs>
          <w:tab w:leader="none" w:pos="171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4.22(b)</w:t>
      </w:r>
      <w:r>
        <w:rPr>
          <w:rFonts w:ascii="Times New Roman" w:cs="Times New Roman" w:eastAsia="Times New Roman" w:hAnsi="Times New Roman"/>
          <w:sz w:val="18"/>
          <w:szCs w:val="18"/>
          <w:color w:val="auto"/>
        </w:rPr>
        <w:t xml:space="preserve"> of the Disclosure Letter, Parent and each of its Subsidiaries has implemented and maintains a commercially reasonable enterprise-wide privacy and information security program (altogether, “</w:t>
      </w:r>
      <w:r>
        <w:rPr>
          <w:rFonts w:ascii="Times New Roman" w:cs="Times New Roman" w:eastAsia="Times New Roman" w:hAnsi="Times New Roman"/>
          <w:sz w:val="18"/>
          <w:szCs w:val="18"/>
          <w:b w:val="1"/>
          <w:bCs w:val="1"/>
          <w:color w:val="auto"/>
        </w:rPr>
        <w:t>Security Program</w:t>
      </w:r>
      <w:r>
        <w:rPr>
          <w:rFonts w:ascii="Times New Roman" w:cs="Times New Roman" w:eastAsia="Times New Roman" w:hAnsi="Times New Roman"/>
          <w:sz w:val="18"/>
          <w:szCs w:val="18"/>
          <w:color w:val="auto"/>
        </w:rPr>
        <w:t>”), with plans, policies and procedures for privacy and physical and cyber security (including for disaster recovery, business continuity, encryption, data back-up, Systems access controls, workstation use and security, incident detection and incident response). The Security Program includes commercially reasonable and appropriate administrative, technical and physical safeguards designed to protect the integrity and availability of the Systems consistent with the industry in which Parent and each of its Subsidiaries operate and the size and condition of Parent and its Subsidiaries, and designed to protect against (i) any unauthorized, accidental, or unlawful access to or acquisition, use, disclosure, transmission, retention, processing, loss, destruction, corruption or modification of Personal Data that would require notification to any affected individuals or any Governmental Authority under any applicable Data Protection Laws (each, a “</w:t>
      </w:r>
      <w:r>
        <w:rPr>
          <w:rFonts w:ascii="Times New Roman" w:cs="Times New Roman" w:eastAsia="Times New Roman" w:hAnsi="Times New Roman"/>
          <w:sz w:val="18"/>
          <w:szCs w:val="18"/>
          <w:b w:val="1"/>
          <w:bCs w:val="1"/>
          <w:color w:val="auto"/>
        </w:rPr>
        <w:t>Personal Data Breach</w:t>
      </w:r>
      <w:r>
        <w:rPr>
          <w:rFonts w:ascii="Times New Roman" w:cs="Times New Roman" w:eastAsia="Times New Roman" w:hAnsi="Times New Roman"/>
          <w:sz w:val="18"/>
          <w:szCs w:val="18"/>
          <w:color w:val="auto"/>
        </w:rPr>
        <w:t>”), (ii) any unauthorized, accidental or unlawful access to or acquisition, use, disclosure, or loss of Sensitive Information that is not Personal Data, and (iii) any security incident that would result in unauthorized, accidental, or unlawful access to or acquisition, use, control, disruption, destruction, or modification of any of the Systems (including cyber-attacks) that could reasonably be expected to result in a material and adverse effect on the operation of Parent’s or any of its Subsidiaries’ business operations as currently conducted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collectively,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Incidents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304"/>
        <w:spacing w:after="0" w:line="255" w:lineRule="auto"/>
        <w:tabs>
          <w:tab w:leader="none" w:pos="17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each of its Subsidiaries have conducted commercially reasonable security audits or penetration tests at reasonable intervals on all Systems that maintain, store, access or process Sensitive Information, in each case consistent with the industry in which Parent and each of its Subsidiaries operate and the size and condition of Parent and its Subsidiaries, taken as a whole. Except as set forth on </w:t>
      </w:r>
      <w:r>
        <w:rPr>
          <w:rFonts w:ascii="Times New Roman" w:cs="Times New Roman" w:eastAsia="Times New Roman" w:hAnsi="Times New Roman"/>
          <w:sz w:val="18"/>
          <w:szCs w:val="18"/>
          <w:u w:val="single" w:color="auto"/>
          <w:color w:val="auto"/>
        </w:rPr>
        <w:t>Schedule 4.22(c)</w:t>
      </w:r>
      <w:r>
        <w:rPr>
          <w:rFonts w:ascii="Times New Roman" w:cs="Times New Roman" w:eastAsia="Times New Roman" w:hAnsi="Times New Roman"/>
          <w:sz w:val="18"/>
          <w:szCs w:val="18"/>
          <w:color w:val="auto"/>
        </w:rPr>
        <w:t xml:space="preserve"> of the Disclosure Letter, Parent and each of its Subsidiaries have taken or are taking commercially reasonable steps, consistent with the industry in which Parent and each of its Subsidiaries operate and the size and condition of Parent and each of its Subsidiaries, to address and remediate all material vulnerabilities identified as “critical risk” or “high risk” in the applicable final report delivered to Parent or any of its Subsidiaries in connection with any such audits or penetration tests performed by a third party (including any third-party audits of the Systems).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5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each of its Subsidiaries have conducted commercially reasonable privacy and data security diligence, consistent with generally accepted practices within the industry in which Parent and each of its Subsidiaries operate and in material compliance with any applicable Data Protection Laws, on all applicable service providers (including any clinical trial investigators, contract research organizations, contract laboratories, contract manufacturers, suppliers, clinical data management organizations, back-office service providers, vendors, and contractors) that (i) collect, create, receive, access, maintain, store, or otherwise process Sensitive Information for or on behalf of Parent or any of its Subsidiaries, or (ii) access or maintain the Systems. Except as set forth on </w:t>
      </w:r>
      <w:r>
        <w:rPr>
          <w:rFonts w:ascii="Times New Roman" w:cs="Times New Roman" w:eastAsia="Times New Roman" w:hAnsi="Times New Roman"/>
          <w:sz w:val="18"/>
          <w:szCs w:val="18"/>
          <w:u w:val="single" w:color="auto"/>
          <w:color w:val="auto"/>
        </w:rPr>
        <w:t>Schedule 4.22(d)</w:t>
      </w:r>
      <w:r>
        <w:rPr>
          <w:rFonts w:ascii="Times New Roman" w:cs="Times New Roman" w:eastAsia="Times New Roman" w:hAnsi="Times New Roman"/>
          <w:sz w:val="18"/>
          <w:szCs w:val="18"/>
          <w:color w:val="auto"/>
        </w:rPr>
        <w:t xml:space="preserve"> of the Disclosure Letter, neither Parent nor any of its Subsidiaries has, in the past five (5) years, received any written notice from any such service provider that the service provider experienced a Security Incident.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4.22(e)</w:t>
      </w:r>
      <w:r>
        <w:rPr>
          <w:rFonts w:ascii="Times New Roman" w:cs="Times New Roman" w:eastAsia="Times New Roman" w:hAnsi="Times New Roman"/>
          <w:sz w:val="18"/>
          <w:szCs w:val="18"/>
          <w:color w:val="auto"/>
        </w:rPr>
        <w:t xml:space="preserve"> of the Disclosure Letter, and except as would not reasonably be expected to result in a Material Adverse Change, to the Knowledge of Parent neither Parent nor any of its Subsidiaries, has, in the past three (3) years, suffered (i) any Personal Data Breaches, or (ii) any other Security Incidents which, individually or together with any other Security Incidents, could reasonably be expected to have a material and adverse effect on Parent’s or any of its Subsidiaries’ business operations, such as a material disruption of development, manufacturing, or commercialization programs relating to the Product.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are in material compliance with the requirements of (i) their respective Security Programs, (ii) all applicable Data Protection Laws, (iii) their respective contractual obligations regarding privacy, security or notification of breaches of Personal Data, (iv) their respective contractual non-disclosure obligations, and (v) their respective publicly available privacy notices and policies.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jc w:val="both"/>
        <w:ind w:firstLine="1304"/>
        <w:spacing w:after="0" w:line="261" w:lineRule="auto"/>
        <w:tabs>
          <w:tab w:leader="none" w:pos="18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4.22(g)</w:t>
      </w:r>
      <w:r>
        <w:rPr>
          <w:rFonts w:ascii="Times New Roman" w:cs="Times New Roman" w:eastAsia="Times New Roman" w:hAnsi="Times New Roman"/>
          <w:sz w:val="18"/>
          <w:szCs w:val="18"/>
          <w:color w:val="auto"/>
        </w:rPr>
        <w:t xml:space="preserve"> of the Disclosure Letter, in the past six (6) years: (i) neither Parent nor any of its Subsidiaries has received any written third party claims or, to the Knowledge of Parent, any threat (in writing) of a third party claim, related to any Personal Data Breaches or other Security Incidents; and (ii) neither Parent nor any of its Subsidiaries has received any written notice of any claims or investigations (including investigations by any Governmental Authority) relating to any Personal Data Breaches or other Security Incidents.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4.23</w:t>
      </w:r>
      <w:r>
        <w:rPr>
          <w:sz w:val="20"/>
          <w:szCs w:val="20"/>
          <w:color w:val="auto"/>
        </w:rPr>
        <w:tab/>
      </w:r>
      <w:r>
        <w:rPr>
          <w:rFonts w:ascii="Times New Roman" w:cs="Times New Roman" w:eastAsia="Times New Roman" w:hAnsi="Times New Roman"/>
          <w:sz w:val="17"/>
          <w:szCs w:val="17"/>
          <w:b w:val="1"/>
          <w:bCs w:val="1"/>
          <w:color w:val="auto"/>
        </w:rPr>
        <w:t>Additional Representations and Warranties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173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consummation of the transactions contemplated by this Agreement, (i) there is no Indebtedness other than Permitted Indebtedness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Permitted Indebtedness, and (ii) all amounts due and owing by Parent under the Pre-Paid Forward Contract, if any, have been paid in full.</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Hedging Agreements.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required to be made to the Israeli Innovation Authority on account of any grants received by Parent or any of its Subsidiaries from the Israeli Innovation Authority for research and development funding or otherwise have been paid in full, and Parent and its Subsidiaries have full freedom to Transfer technology funded with any such grants and manufacture products developed with any such technology anywhere in the Territory.</w:t>
      </w:r>
    </w:p>
    <w:p>
      <w:pPr>
        <w:spacing w:after="0" w:line="176"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Credit Party covenants and agrees that, until payment in full of all Obligations (other than contingent indemnification obligations to the extent no claim giving rise thereto has been asserted), each Credit Party shall, and shall cause each of its Subsidiaries to:</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 Maintenance of Existence</w:t>
      </w:r>
      <w:r>
        <w:rPr>
          <w:rFonts w:ascii="Times New Roman" w:cs="Times New Roman" w:eastAsia="Times New Roman" w:hAnsi="Times New Roman"/>
          <w:sz w:val="18"/>
          <w:szCs w:val="18"/>
          <w:color w:val="auto"/>
        </w:rPr>
        <w:t>. (a) Preserve, renew and maintain in full force and effect its and all its Subsidiaries’ legal existence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Requirements of Law in their respective jurisdictions of organization, incorporation or formation; (b) take all commercially reasonable action to maintain all rights, privileges (including its good standing), permits, licenses and franchises necessary or desirable for it and all of its Subsidiaries in the ordinary course of its business, except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Parent or Borrower)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 to the extent that failure to do so could not reasonably be expected to result in a Material Adverse Change or (ii) pursuant to a transaction permitted by this Agreement; and (c) comply with all Requirements of Law of any Governmental Authority to which it is subject, except where the failure to do so could not reasonably be expected to result, individually or in the aggregate, in a Material Adverse Change.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Financial Statements, Notices, Reports</w:t>
      </w:r>
      <w:r>
        <w:rPr>
          <w:rFonts w:ascii="Times New Roman" w:cs="Times New Roman" w:eastAsia="Times New Roman" w:hAnsi="Times New Roman"/>
          <w:sz w:val="18"/>
          <w:szCs w:val="18"/>
          <w:color w:val="auto"/>
        </w:rPr>
        <w:t>. Deliver to the Collateral Agent:</w:t>
      </w:r>
    </w:p>
    <w:p>
      <w:pPr>
        <w:spacing w:after="0" w:line="229" w:lineRule="exact"/>
        <w:rPr>
          <w:sz w:val="20"/>
          <w:szCs w:val="20"/>
          <w:color w:val="auto"/>
        </w:rPr>
      </w:pPr>
    </w:p>
    <w:p>
      <w:pPr>
        <w:ind w:left="1800" w:hanging="496"/>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52" w:lineRule="auto"/>
        <w:tabs>
          <w:tab w:leader="none" w:pos="217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As soon as available, but in any event within ninety (90) days after the end of each fiscal year of Parent (or such earlier date on which Parent is required to file a Form 10-K under the Exchange Act, as applicable), beginning with the fiscal year ending December 31, 2025, a consolidated balance sheet of Parent and its Subsidiaries as of the end of such fiscal year, and the related consolidated statements of income, cash flows and stockholders’ equity for such fiscal year, all prepared in accordance with Applicable Accounting Standards, with such consolidated financial statements to be audited and accompanied by (i) a report and opinion of Parent’s independent certified public accounting firm of recognized national standing (which report and opinion shall be prepared in accordance with Applicable Accounting Standards and shall not be subject to any qualification as to “going concern” or scope of audit), stating that such financial statements fairly present, in all material respects, the consolidated financial condition, results of operations and cash flows of Parent and its Subsidiaries as of the dates and for the periods specified in accordance with Applicable Accounting Standards, and (ii) if and only if Parent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Parent’s internal controls pursuant to Section 404 of the Sarbanes-Oxley Act of 2002 attesting to management’s assessment that such internal controls meet the requirements of the Sarbanes-Oxley Act of 2002;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Borrower shall be deemed to have made such delivery of such consolidated financial statements if such consolidated financial statements shall have been made available within the time period specified above on the SEC’s EDGAR system (or any successor system adopted by the SEC);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left="660" w:firstLine="1130"/>
        <w:spacing w:after="0" w:line="252" w:lineRule="auto"/>
        <w:tabs>
          <w:tab w:leader="none" w:pos="2194"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but in any event within forty-five (45) days after the end of each of the first three (3) fiscal quarters of each fiscal year of Parent (or such earlier date on which Parent is required to file a Form 10-Q under the Exchange Act, if applicable), beginning with the fiscal quarter ending March 31, 2026, a consolidated balance sheet of Parent and its Subsidiaries as of the end of such fiscal quarter, and the related consolidated statements of income and cash flows and for such fiscal quarter and (in respect of the second and third fiscal quarters of such fiscal year) for the then-elapsed portion of Parent’s fiscal year, all prepared in accordance with Applicable Accounting Standards, subject to normal year-end audit adjustments and the absence of disclosures normally made in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Parent as, to his or her knowledge, fairly presenting, in all material respects, the consolidated financial condition, results of operations and cash flows of Parent and its Subsidiaries as of the dates and for the periods specified in accordance with Applicable Accounting Standards consistently applied, and on a basis consistent with the audited consolidated financial statements referred to under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 xml:space="preserve">, subject to normal year-end audit adjustments and the absence of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certification by a Responsible Officer of Parent shall be deemed to have made if a similar certification is required under the Sarbanes-Oxley Act of 2002 and such certification shall have been made available within the time period specified above on the SEC’s EDGAR system (or any successor system adopted by the SEC);</w:t>
      </w:r>
    </w:p>
    <w:p>
      <w:pPr>
        <w:spacing w:after="0" w:line="195" w:lineRule="exact"/>
        <w:rPr>
          <w:rFonts w:ascii="Times New Roman" w:cs="Times New Roman" w:eastAsia="Times New Roman" w:hAnsi="Times New Roman"/>
          <w:sz w:val="18"/>
          <w:szCs w:val="18"/>
          <w:color w:val="auto"/>
        </w:rPr>
      </w:pPr>
    </w:p>
    <w:p>
      <w:pPr>
        <w:jc w:val="both"/>
        <w:ind w:left="660" w:firstLine="1130"/>
        <w:spacing w:after="0" w:line="254" w:lineRule="auto"/>
        <w:tabs>
          <w:tab w:leader="none" w:pos="233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Compliance Certificate</w:t>
      </w:r>
      <w:r>
        <w:rPr>
          <w:rFonts w:ascii="Times New Roman" w:cs="Times New Roman" w:eastAsia="Times New Roman" w:hAnsi="Times New Roman"/>
          <w:sz w:val="18"/>
          <w:szCs w:val="18"/>
          <w:color w:val="auto"/>
        </w:rPr>
        <w:t xml:space="preserve">. Upon delivery (or within five (5) Business Days following any deemed delivery) of financial statements pursuant to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5.2(a)(ii)</w:t>
      </w:r>
      <w:r>
        <w:rPr>
          <w:rFonts w:ascii="Times New Roman" w:cs="Times New Roman" w:eastAsia="Times New Roman" w:hAnsi="Times New Roman"/>
          <w:sz w:val="18"/>
          <w:szCs w:val="18"/>
          <w:color w:val="auto"/>
        </w:rPr>
        <w:t>, a duly completed Compliance Certificate signed by a Responsible Officer of Parent, certifying, among other things, that (A) such financial statements fairly present, in all material respects, the consolidated financial condition, results of operations and cash flows of Parent and its Subsidiaries as of the applicable dates and for the applicable periods in accordance with Applicable Accounting Standards consistently applied, and are not subject to any qualification as to “going concern” or scope of audit, and</w:t>
      </w:r>
    </w:p>
    <w:p>
      <w:pPr>
        <w:spacing w:after="0" w:line="3" w:lineRule="exact"/>
        <w:rPr>
          <w:rFonts w:ascii="Times New Roman" w:cs="Times New Roman" w:eastAsia="Times New Roman" w:hAnsi="Times New Roman"/>
          <w:sz w:val="18"/>
          <w:szCs w:val="18"/>
          <w:color w:val="auto"/>
        </w:rPr>
      </w:pPr>
    </w:p>
    <w:p>
      <w:pPr>
        <w:ind w:left="660" w:hanging="4"/>
        <w:spacing w:after="0" w:line="260" w:lineRule="auto"/>
        <w:tabs>
          <w:tab w:leader="none" w:pos="9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Default has occurred or, if such an Event of Default or Default has occurred, specifying the nature and extent thereof and any corrective action taken or proposed to be taken with respect thereto; and</w:t>
      </w:r>
    </w:p>
    <w:p>
      <w:pPr>
        <w:spacing w:after="0" w:line="181" w:lineRule="exact"/>
        <w:rPr>
          <w:rFonts w:ascii="Times New Roman" w:cs="Times New Roman" w:eastAsia="Times New Roman" w:hAnsi="Times New Roman"/>
          <w:sz w:val="18"/>
          <w:szCs w:val="18"/>
          <w:color w:val="auto"/>
        </w:rPr>
      </w:pPr>
    </w:p>
    <w:p>
      <w:pPr>
        <w:jc w:val="both"/>
        <w:ind w:left="660" w:firstLine="1130"/>
        <w:spacing w:after="0" w:line="255" w:lineRule="auto"/>
        <w:tabs>
          <w:tab w:leader="none" w:pos="2274"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As promptly as practicable (and in any event within five (5) Business Days) after the request therefor, such additional information regarding the operations, properties, business, liabilities or condition (financial or otherwise) of Parent or any of its Subsidiaries (including with respect to the Collateral), or compliance with the terms of this Agreement or any other Loan Documents, in each case in a form reasonably acceptable to the Collateral Agent, as the Collateral Agent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Borrower shall not be obligated to disclose any information that is (A) restricted by Requirements of Law or contractual agreement with a third-party (so long as such contractual restriction was not agreed to for the specific purpose of preventing disclosure under this Agreement) or (B) reasonably subject to the good faith assertion of attorney-client privilege or attorney work-product.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Defaults or Events of Default, ERISA Events, Withdrawal Events and Material Adverse Changes</w:t>
      </w:r>
      <w:r>
        <w:rPr>
          <w:rFonts w:ascii="Times New Roman" w:cs="Times New Roman" w:eastAsia="Times New Roman" w:hAnsi="Times New Roman"/>
          <w:sz w:val="18"/>
          <w:szCs w:val="18"/>
          <w:color w:val="auto"/>
        </w:rPr>
        <w:t>. Written notice as promptly as practicable (and in any event within five (5) Business Days) after a Responsible Officer of any Credit Party shall have obtained knowledge thereof, of (i) the receipt by Borrower or any of its Subsidiaries of any written notice from the FDA or any other Regulatory Agency of a pending recommendation or a final decision to withdraw marketing authorization for the Product in the U.S., or (ii) the occurrence of any (x) Default or Event of Default (including, for the avoidance of doubt, any Withdrawal Event or Material Adverse Change) or (y) ERISA Event.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jc w:val="both"/>
        <w:ind w:firstLine="1304"/>
        <w:spacing w:after="0" w:line="253" w:lineRule="auto"/>
        <w:tabs>
          <w:tab w:leader="none" w:pos="172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xml:space="preserve">. Prompt written notice (which shall be deemed given to the extent timely reported in a Form 8-K under the Exchange Act and available on the SEC’s EDGAR system (or any successor system adopted by the SEC)) of any legal action, litigation, investigation or proceeding pending or threatened in writing against Parent or any of its Subsidiaries (i) that could reasonably be expected to result in uninsured damages or costs to Parent or any of its Subsidiaries in an amount in excess of the materiality thresholds applied by Borrower in accordance with the Exchange Act and related regulations and standards for purposes of its Exchange Act reporting, or (ii) that alleges violations of any Health Care Laws, FDA Laws, Data Protection Laws or any other applicable statutes, rules, regulations, standards, guidelines, policies, orders, or applicable foreign equivalents, administered or issued by any U.S. or foreign Governmental Authority which, individually or together with any other such allegations, could reasonably be expected to result in a Material Adverse Change; and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provide such additional information (including a description in reasonable detail regarding any material development) as the Collateral Agent may reasonably request in relation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Credit Party shall be obligated to disclose any information that is reasonably subject to the assertion of attorney-client privilege or attorney work-product.</w:t>
      </w:r>
    </w:p>
    <w:p>
      <w:pPr>
        <w:spacing w:after="0" w:line="194"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and Anti-Money Laundering Laws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1" w:lineRule="auto"/>
        <w:tabs>
          <w:tab w:leader="none" w:pos="218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Party Information</w:t>
      </w:r>
      <w:r>
        <w:rPr>
          <w:rFonts w:ascii="Times New Roman" w:cs="Times New Roman" w:eastAsia="Times New Roman" w:hAnsi="Times New Roman"/>
          <w:sz w:val="18"/>
          <w:szCs w:val="18"/>
          <w:color w:val="auto"/>
        </w:rPr>
        <w:t>. Upon request by the Collateral Agent, certain information and documentation that identifies each Credit Party and its principals, which information includes the legal name and address of each Credit Party and its principals and such other information that will allow the Collateral Agent and each Lender to identify such party in accordance with Sanctions and Anti-Money Laundering Laws.</w:t>
      </w:r>
    </w:p>
    <w:p>
      <w:pPr>
        <w:spacing w:after="0" w:line="179" w:lineRule="exact"/>
        <w:rPr>
          <w:rFonts w:ascii="Times New Roman" w:cs="Times New Roman" w:eastAsia="Times New Roman" w:hAnsi="Times New Roman"/>
          <w:sz w:val="18"/>
          <w:szCs w:val="18"/>
          <w:color w:val="auto"/>
        </w:rPr>
      </w:pPr>
    </w:p>
    <w:p>
      <w:pPr>
        <w:jc w:val="both"/>
        <w:ind w:left="660" w:firstLine="1130"/>
        <w:spacing w:after="0" w:line="258" w:lineRule="auto"/>
        <w:tabs>
          <w:tab w:leader="none" w:pos="223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Blocked Person Notice</w:t>
      </w:r>
      <w:r>
        <w:rPr>
          <w:rFonts w:ascii="Times New Roman" w:cs="Times New Roman" w:eastAsia="Times New Roman" w:hAnsi="Times New Roman"/>
          <w:sz w:val="18"/>
          <w:szCs w:val="18"/>
          <w:color w:val="auto"/>
        </w:rPr>
        <w:t xml:space="preserve">. Notification to it and each Lender in writing promptly (but in any event within three (3) Business Days) upon any Responsible Officer of any Credit Party becoming aware that any Credit Party or any Subsidiary or Affiliate of any Credit Party is a Blocked Person or Credit Party or any Subsidiary or Affiliate of any Credit Party or any of their respective directors, officers, affiliates or employees is (i) is convicted on, (ii) pleads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(iii) is indicted on, or (iv) is arraigned and held over on charges involving money laundering or predicate crimes to money laundering.</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5.3 Taxes</w:t>
      </w:r>
      <w:r>
        <w:rPr>
          <w:rFonts w:ascii="Times New Roman" w:cs="Times New Roman" w:eastAsia="Times New Roman" w:hAnsi="Times New Roman"/>
          <w:sz w:val="18"/>
          <w:szCs w:val="18"/>
          <w:color w:val="auto"/>
        </w:rPr>
        <w:t>. Timely file all U.S. federal, state, local and non-U.S. income and other material Tax returns and reports or extensions therefor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timely pay all Taxes, assessments, deposits and contributions imposed upon it or any of its properties or assets or in respect of any of its income, businesses or franchises before any penalty or fine accrue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Tax or any claim for Taxes that has become due and payable and has or may become a Lien on any Collateral shall be required to be paid if (a) (i) it is being contested in good faith by appropriate proceedings promptly instituted and diligently conducted, so long as adequate reserves therefor have been set aside on its books and maintained in conformity with Applicable Accounting Standards, or (ii) to the extent that the failure to do so could not reasonably be expected to result in a Material Adverse Change, and (b) solely in the case of a Tax or claim that has or may become a Lien against any Collateral, such contest proceedings conclusively operate to stay the sale or forfeiture of any portion of any Collateral to satisfy such Tax or claim.</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5.4 Insurance</w:t>
      </w:r>
      <w:r>
        <w:rPr>
          <w:rFonts w:ascii="Times New Roman" w:cs="Times New Roman" w:eastAsia="Times New Roman" w:hAnsi="Times New Roman"/>
          <w:sz w:val="18"/>
          <w:szCs w:val="18"/>
          <w:color w:val="auto"/>
        </w:rPr>
        <w:t>. Maintain with financially sound and reputable independent insurance companies or underwriters, insurance with respect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properties and business against loss or damage of the kinds customarily insured against by Persons of comparable size engaged in the same or similar business, of such types and in such amounts (after giving effect to any self-insurance reasonable and customary for similarly situated Persons of comparable size engaged in the same or similar businesses as Parent and its Subsidiaries) as are customarily carried under similar circumstances by such other Persons. Subject to the timing requirements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(solely with respect to any such policies in effect as of the Tranche A Closing Date), any products liability or general liability insurance maintained in the United States regarding Collateral shall name the Collateral Agent, on behalf of the Lenders and the other Secured Parties, as additional insured or loss payee, as applicable (the additional insured clauses or endorsements for which, in form and substance reasonably satisfactory to the Collateral Agent). So long as no Event of Default shall have occurred and be continuing, Parent and its Subsidiaries may retain all or any portion of the proceeds of any insurance of Parent and its Subsidiaries (and each Lender shall promptly remit to Borrower any proceeds received by it with respect to any such insurance).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5.5 Operating Accounts</w:t>
      </w:r>
      <w:r>
        <w:rPr>
          <w:rFonts w:ascii="Times New Roman" w:cs="Times New Roman" w:eastAsia="Times New Roman" w:hAnsi="Times New Roman"/>
          <w:sz w:val="18"/>
          <w:szCs w:val="18"/>
          <w:color w:val="auto"/>
        </w:rPr>
        <w:t>. In the case of any Credit Party, promptly following the establishment of any new Collateral Account (but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movement of any cash or other funds into such Collateral Account), at or with any bank or other depository or financial institution located in the United States, subject such account to a Control Agreement or other appropriate instrument that is reasonably acceptable to the Collateral Agent. For each Collateral Account that each Credit Party at any time maintains in the United States, such Credit Party shall cause the applicable bank or other depository or financial institution located in the United States or Israel at or with which any Collateral Account is maintained to execute and deliver, and such Credit Party shall execute and deliver, to the Collateral Agent, a Control Agreement or other appropriate instrument with respect to such Collateral Account to perfect the Collateral Agent’s Lien, for the benefit of Lenders and the other Secured Parties, in such Collateral Account in accordance with the terms hereunder, which Control Agreement may not be terminated without the prior written consent of the Collateral Agent. The provisions of the previous two</w:t>
      </w:r>
    </w:p>
    <w:p>
      <w:pPr>
        <w:spacing w:after="0" w:line="5" w:lineRule="exact"/>
        <w:rPr>
          <w:sz w:val="20"/>
          <w:szCs w:val="20"/>
          <w:color w:val="auto"/>
        </w:rPr>
      </w:pPr>
    </w:p>
    <w:p>
      <w:pPr>
        <w:jc w:val="both"/>
        <w:ind w:firstLine="8"/>
        <w:spacing w:after="0" w:line="251" w:lineRule="auto"/>
        <w:tabs>
          <w:tab w:leader="none" w:pos="2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sentences shall not apply to (1) accounts exclusively used for payroll, payroll Taxes and other employee wage and benefit payments to or for the benefit of any Credit Party’s employees, (2) zero balance accounts,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within two (2) Business Days of any deposit made into any such zero balance account, such deposit is swept in full to an account subject to a Control Agreement, (3) accounts (including trust accounts) used exclusively for escrow, customs, insurance or fiduciary purposes, (4) merchant accounts, (5) accounts used exclusively for compliance with any Requirements of Law to the extent such Requirements of Law prohibit the granting of a Lien thereon, (6) accounts which constitute cash collateral in respect of a Permitted Lien and (7) any other account established and maintained in the ordinary course of business or in furtherance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general corporate purpose and designated as an Excluded Account by a Responsible Officer of Borrower or Parent in writing delivered to the Collateral Agent, the cash balance of which, individually or together with all other such accounts excluded pursuant to this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does not exceed $5,000,000 in the aggregate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cash balance of such account, individually or together with all other such accounts excluded pursuant to this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exceeds $5,000,000 at any time, (x) such account shall no longer be deemed to be an Excluded Account hereunder as of such time, with the effect that the accounts which remain as Excluded Accounts pursuant to this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are in compliance with the requirements for exclusion under this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and (y) such account shall be deemed to be a Collateral Account on such date and Borrower shall comply with the requirements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respect to such account (all such accounts in </w:t>
      </w:r>
      <w:r>
        <w:rPr>
          <w:rFonts w:ascii="Times New Roman" w:cs="Times New Roman" w:eastAsia="Times New Roman" w:hAnsi="Times New Roman"/>
          <w:sz w:val="18"/>
          <w:szCs w:val="18"/>
          <w:u w:val="single" w:color="auto"/>
          <w:color w:val="auto"/>
        </w:rPr>
        <w:t>sub-clauses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above, collectively, the “</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Notwithstanding the foregoing, the Credit Parties shall have until the date that is ninety (90) days (or such longer period as the Collateral Agent may agree in its sole discretion) following (i) the Tranche A Closing Date to comply with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(other than Excluded Accounts) of the Credit Parties in existence on the Tranche A Closing Date (or opened during such 90-day period (or such longer period as the Collateral Agent may agree in its sole discretion)) and (ii) the closing date of any Acquisition or other Investment to comply with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(other than Excluded Accounts) of the Credit Parties acquired in connection with such Acquisition or other Investment.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Compliance with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the Requirements of Law and all orders, writs, injunctions, decrees and judgments applicable to it or to its business or its assets or properties (including Environmental Laws, ERISA, Health Care Laws, FDA Laws, Data Protection Laws, the Federal Fair Labor Standards Act, and any foreign or United States state equivalents thereof), including in connection with governing the research, development, testing, approval, licensure, clearance, authorization, exclusivity, licensure, designation, post-approval (or post-licensure, post-authorization, or post-clearance, as applicable) monitoring or commitments, reporting, (including post-marketing safety reports, if any), manufacture, production, packaging, labeling, use, commercialization, marketing, promotion, advertising, importing, exporting, storage, transport, offer for sale, distribution or sale of the Product in the Territory, except, in each case, if the failure to comply therewith individually or taken together with any other such failures, could not reasonably be expected to result in a Material Adverse Change.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maintain policies and procedures reasonably designed to ensure compliance with applicable Sanctions, Anti-Money Laundering Laws, Export and Import Laws, Anti-Corruption Laws, Health Care Laws, and Data Protection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4" w:name="page135"/>
    <w:bookmarkEnd w:id="134"/>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(c)</w:t>
        <w:tab/>
        <w:t>Comply with all Sanctions, Anti-Money Laundering Laws, Export and Import Laws and Anti-Corruption Laws.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Protection of Intellectual Property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680" w:hanging="376"/>
        <w:spacing w:after="0"/>
        <w:tabs>
          <w:tab w:leader="none" w:pos="1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could not reasonably be expected to result in a Material Adverse Change or as expressly permitted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best efforts to: (i) protect, defend and maintain the validity and enforceability of the Company IP material to the research, development, manufacture, production, use, commercialization, marketing, import, storage, transport, offer for sale, distribution or sale of the Product in the Territory, including defending any future or current oppositions, interference proceedings, reissue proceedings, reexamination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derivative proceedings, post-grant review proceedings, cancellation proceedings, injunctions, lawsuits, paragraph IV patent certifications or lawsuits under the Hatch-Waxman Act, hearings, investigations, complaints, arbitrations, mediations, demands, International Trade Commission investigations, decrees, or any other disputes, disagreements, or claims, challenging the legality, validity, patentability, enforceability, inventorship or ownership of any such Company IP; (ii) maintain the confidential nature of any trade secrets and trade secret rights which are used in the research, development, manufacture, production, use, commercialization, marketing, importing, storage, transport, offer for sale, distribution or sale of the Product in the Territory; and (iii) not allow any Company IP material to the research, development, manufacture, production, use, commercialization, marketing, importing, storage, transport, offer for sale, distribution or sale of the Product in the Territory to be abandoned, disclaimed, forfeited or dedicated to the public by Parent or any of its Subsidiaries ((other than in accordance with its statutory term or the exercise of the Borrower’s normal prosecution practices and reasonable business judgment, e.g., the abandonment of a continuation application that is no longer needed to maintain the pendency of another patent application) or any Company IP Agreement to be terminated by any Credit Party or any of its Subsidiaries, as applicable, without the Collateral Agent’s prior written consent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such Company IP that is not owned by Parent or any of its Subsidiaries, the obligations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shall apply only to the extent Parent or any of its Subsidiaries have the right to take such actions or to cause any licensee or other third party to take such actions pursuant to applicable agreements or contractual rights.</w:t>
      </w:r>
    </w:p>
    <w:p>
      <w:pPr>
        <w:spacing w:after="0" w:line="190" w:lineRule="exact"/>
        <w:rPr>
          <w:rFonts w:ascii="Times New Roman" w:cs="Times New Roman" w:eastAsia="Times New Roman" w:hAnsi="Times New Roman"/>
          <w:sz w:val="18"/>
          <w:szCs w:val="18"/>
          <w:color w:val="auto"/>
        </w:rPr>
      </w:pPr>
    </w:p>
    <w:p>
      <w:pPr>
        <w:jc w:val="both"/>
        <w:ind w:firstLine="1304"/>
        <w:spacing w:after="0" w:line="251" w:lineRule="auto"/>
        <w:tabs>
          <w:tab w:leader="none" w:pos="17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Parent may otherwise determine in its reasonable business judgment, use all commercially reasonable efforts, either directly or indirectly, with respect to any licensee or licensor under the terms of any Credit Party’s (or any of its Subsidiary’s) agreement with the respective licensee or licensor, as applicable, to take commercially reasonable actions (including taking legal action to specifically enforce the applicable terms of any license agreement) and prepare, execute, deliver and file agreements, documents or instruments which are necessary to (A) prosecute and maintain the Company IP material to the research, development, manufacture, production, use, commercialization, marketing, importing, storage, transport, offer for sale, distribution or sale of the Product in the Territory and (B) diligently defend or assert the Company IP material to the research, development, manufacture, production, use, commercialization, marketing, importing, storage, transport, offer for sale, distribution or sale of the Product in the Territory against material infringement, misappropriation, violation or interference by any other Persons and, in the case of Copyrights, Trademarks and Patents within such material Company IP, against any claims of invalidity, unpatentability or unenforceability (including by bringing any legal action for infringement, dilution, violation, derivation or defending any counterclaim of invalidity or action of a non-Affiliate third party for declaratory judgment of non-infringement or non-interference); and (ii) use all commercially reasonable efforts to cause any licensee or licensor of any material Company IP not to, and such Credit Party shall not, disclaim, forfeit, dedicate to the public or abandon, or fail to take any action necessary to prevent the disclaimer, forfeiture or abandonment of such Company IP necessary to the research, development, manufacture, production, use, commercialization, marketing, importing, storage, transport, offer for sale, distribution or sale of the Product in the Territory, and (iii) use commercially reasonable efforts to cause any licensee or licensor of any Company IP not to disclaim, forfeit, dedicate to the public or abandon, or fail to take any action necessary to prevent the disclaimer, forfeiture or abandonment of Company IP otherwise material to the research, development, manufacture, production, use, commercialization, marketing, importing, storage, transport, offer for sale, distribution or sale of the Product in the Territory (other than in accordance with the applicable licensor’s normal prosecution practices and reasonable business judgment). Each Credit Party agrees to (1) notify the Collateral Agent in writing, promptly (and in any event within ten (10) Business Days) after a Credit Party or any of its Subsidiaries first becomes aware of, and thereafter (2) keep the Collateral Agent reasonably informed regarding, (x) of any infringement or violation of any of the rights of any Credit Party or its Subsidiary in or to any Company IP, or any misappropriation by any Person of any Company IP or any of the subject matter thereof, and (y) if the Product infringes or violates any Third-Party IP or constitutes a misappropriation of any Third-Party IP.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firstLine="1304"/>
        <w:spacing w:after="0" w:line="252" w:lineRule="auto"/>
        <w:tabs>
          <w:tab w:leader="none" w:pos="1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as contemplated by any Permitted License, use all commercially reasonable efforts to protect, defend and maintain, and assert against any biosimilar, bioequivalent or interchangeable version of the Product in the Territory, market, data and any other applicable regulatory exclusivity provided under Requirements of Law for the manufacture, production, use, commercialization, marketing, importing, storage, transport, offer for sale, distribution or sale of the Product in the Territory through the Term Loan Maturity Date, and use all commercially reasonable efforts to otherwise not allow for the manufacture, production, use, commercialization, marketing, importing, storage, transport, offer for sale, distribution or sale of any biosimilar, bioequivalent or interchangeable version of the Product in the Territory before the Term Loan Maturity Date, in each case if such biosimilar, bioequivalent or interchangeable version infringes or violates, or could reasonably be expected to infringe or violate, any of the rights of any Credit Party or its Subsidiary in or to any material Company IP, without the Collateral Agent’s prior written consent. Parent agrees to (i) promptly notify the Collateral Agent in writing of (provided, that, no Credit Party or third-party confidential information will be shared that violates trade secret protection or a court order), and (ii) keep the Collateral Agent reasonably informed, and (iii) at the reasonable request of the Collateral Agent in writing, consult with and consider in good faith any comments of the Collateral Agent, regarding, the commencement of, and any material filings or submission in, any opposition, interference proceeding, reissue proceeding, reexamination proceeding,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post-grant review proceeding, derivation proceeding, cancellation proceeding, injunction, lawsuit, hearing, investigation, complaint, arbitration, mediation, demand, International Trade Commission investigation, decree, or any other dispute, disagreement, or claim, in each case challenging the legality, validity, patentability, enforceability, inventorship or ownership of any material Company IP (including any claim in any Patent within the Company IP that is material to the research, development, manufacture, production, use, commercialization, marketing, importing, storage, transport, packaging, labelling, promotion, advertising, offer for sale, distribution or sale of the Product in the Territory).</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the Collateral Agent within thirty (30) days of entering or becoming bound by any Restricted License (other than over-the-counter software that is commercially available to the public). Each Credit Party shall take such commercially reasonable steps as the Collateral Agent reasonably requests to obtain the consent of, or waiver by, any Person whose consent or waiver is necessary for (i) any Restricted License to, without giving effect to Section 9-408 of the Code, be deemed “Collateral” and for the Collateral Agent to have a security interest in it that might otherwise be restricted or prohibited by Requirements of Law or by the terms of any such Restricted License, whether now existing or entered into in the future, and (ii) the Collateral Agent to have the ability in the event of a liquidation of any Collateral to dispose of such Collateral in accordance with the Collateral Agent’s rights and remedies under this Agreement and the other Loan Documents.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5.8 Books and Records</w:t>
      </w:r>
      <w:r>
        <w:rPr>
          <w:rFonts w:ascii="Times New Roman" w:cs="Times New Roman" w:eastAsia="Times New Roman" w:hAnsi="Times New Roman"/>
          <w:sz w:val="18"/>
          <w:szCs w:val="18"/>
          <w:color w:val="auto"/>
        </w:rPr>
        <w:t>. Maintain proper Books, in which entries that are full, true and correct in all material respects and are in conformity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Accounting Standards consistently applied shall be made of all material financial transactions and matters involving the assets, properties and business of such Credit Party (or such Subsidiary).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5.9 Access to Collateral; Audits</w:t>
      </w:r>
      <w:r>
        <w:rPr>
          <w:rFonts w:ascii="Times New Roman" w:cs="Times New Roman" w:eastAsia="Times New Roman" w:hAnsi="Times New Roman"/>
          <w:sz w:val="18"/>
          <w:szCs w:val="18"/>
          <w:color w:val="auto"/>
        </w:rPr>
        <w:t>. Allow the Collateral Agent, or its agents or representatives, at any time after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 Event of Default, during normal business hours and upon reasonable advance notice, to visit and inspect any of the Collateral or to inspect and copy and (at the sole discretion of the Collateral Agent) audit any Credit Party’s Books. The foregoing inspections and audits, if any, shall be at the relevant Credit Party’s expense.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5.10 Use of Proceeds</w:t>
      </w:r>
      <w:r>
        <w:rPr>
          <w:rFonts w:ascii="Times New Roman" w:cs="Times New Roman" w:eastAsia="Times New Roman" w:hAnsi="Times New Roman"/>
          <w:sz w:val="18"/>
          <w:szCs w:val="18"/>
          <w:color w:val="auto"/>
        </w:rPr>
        <w:t>. (a) (i) Use the proceeds of the Tranche A Loan solely to, in satisfaction of the condition precedent to the funding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Tranche A Loan set forth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hereof, pay the Lender Expenses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Prior Loan Agreement and repay in full all amounts owing in respect of each of the Prior Term Loan Notes in accordance with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of the Prior Loan Agreement, and otherwise to fund its general corporate and working capital requirements, and (ii) use the proceeds of the Tranche B Loan solely to fund its general corporate and working capital requirements; and (b) not use the proceeds of the Term Loans, directly or indirectly, for the purpose of purchasing or carrying any Margin Stock, for the purpose of reducing or retiring any Indebtedness that was originally incurred to purchase or carry any Margin Stock, for the purpose of extending credit to any other Person for the purpose of purchasing or carrying any Margin Stock or for any other purpose that might cause any Term Loan to be considered a “purpose credit” within the meaning of Regulation T, U or X of the Federal Reserve Board. If requested by the Collateral Agent, Borrower shall complete and sign Part I of a copy of Federal Reserve Form G-3 referred to in Regulation U and deliver such copy to the Collateral Agent.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5.11 Further Assurances</w:t>
      </w:r>
      <w:r>
        <w:rPr>
          <w:rFonts w:ascii="Times New Roman" w:cs="Times New Roman" w:eastAsia="Times New Roman" w:hAnsi="Times New Roman"/>
          <w:sz w:val="18"/>
          <w:szCs w:val="18"/>
          <w:color w:val="auto"/>
        </w:rPr>
        <w:t>. Subject to the limitations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promptly upon the reasonable written request of the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acknowledge and deliver such further documents and do such other acts and things in order to effectuate or carry out more effectively the purposes of this Agreement and the other Loan Documents at its expense, including after the Tranche A Closing Date taking such steps as are reasonably deemed necessary or desirable by the Collateral Agent to maintain, protect and enforce its Lien, for the benefit of Lenders and the other Secured Parties, on Collateral securing the Obligations created under the Collateral Documents and the other Loan Documents in accordance with the terms of the Collateral Documents and the other Loan Documents, subject to Permitted Liens.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Additional Collateral; Guarantors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1" w:lineRule="auto"/>
        <w:tabs>
          <w:tab w:leader="none" w:pos="17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Tranche A Closing Date, except as otherwise approved in writing by the Collateral Agent, each Credit Party (other than Borrower) shall, and each Credit Party shall cause each of its Subsidiaries (other than Excluded Subsidiaries), and Parent may at its election cause any Excluded Subsidiaries (and the Collateral Agent and Lenders shall cooperate with any such election) to guarantee the Obligations (and to execute and deliver to the Collateral Agent a joinder to the Security Agreement (in the form attached thereto)), and each Credit Party (other than Borrower) shall, and each Credit Party shall cause each of its Subsidiaries (other than Excluded Subsidiaries) to, grant to the Collateral Agent, for the benefit of Lenders and the other Secured Parties, a first priority security interest in and Lien upon (subject to Permitted Liens), and pledge to the Collateral Agent for the benefit of Lenders and the other Secured Parties, all of such Credit Party’s or Subsidiary’s properties and assets constituting Collateral, whether now existing or hereafter acquired or existing (including in connection with an Asset Acquisition), to secure such guaranty (and to execute and deliver to the Collateral Agent a joinder or pledge amendment to the Security Agreement (in the form(s) attached thereto),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Party’s obligations to take the foregoing actions with respect to any assets acquired as part of an Asset Acquisition and to cause any Subsidiaries incorporated, organized, formed or acquired (including by Stock Acquisition) after the Tranche A Closing Date, including all such Subsidiary’s properties and assets (including in connection with an Asset Acquisition), to take the foregoing actions shall, in each case, be subject to the timing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as applicable. Additionally, from and after the Tranche A Closing Date, each Credit Party shall, and shall cause each of its Subsidiaries (other than Excluded Subsidiaries) to,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such Credit Party’s or Subsidiary’s properties and assets constituting Collateral, whether now existing or hereafter acquired or existing (including in connection with an Asset Acquisition), to secure the payment and performance in full of all of the Obligations (and to execute and deliver to the Collateral Agent a joinder or pledge amendment to the Security Agreement (in the form(s) attached thereto),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Party’s obligations to take the foregoing actions with respect to any assets acquired as part of an Asset Acquisition and to cause any Subsidiaries incorporated, organized, formed or acquired (including by Stock Acquisition) after the Tranche A Closing Date, including all such Subsidiary’s properties and assets (including in connection with an Asset Acquisition), to take the foregoing actions shall, in each case, be subject to the timing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as applicable. Furthermore, except as otherwise approved in writing by the Collateral Agent, from and after the Tranche A Closing Date, each Credit Party shall, and shall cause each of its Subsidiaries (other than Excluded Subsidiaries) to,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the Equity Interests (other than Excluded Equity Interests) in each of its Subsidiaries (other than Excluded Subsidiaries) (and to execute and deliver to the Collateral Agent a joinder or pledge amendment to the Security Agreement (in the form(s) attached thereto), as applicable). In connection with each pledge of certificated Equity Interests required under the Loan Documents, the Credit Parties shall deliver, or cause to be delivered, to the Collateral Agent, in addition to a pledge amendment to the Security Agreement (in the form attached thereto), such certificate(s) together with stock powers or assignments, as applicable, properly endorsed for transfer to the Collateral Agent or duly executed in blank, in each case reasonably satisfactory to the Collateral Agent. In connection with each pledge of uncertificated Equity Interests required under the Loan Documents, the Credit Parties shall deliver, or cause to be delivered, to the Collateral Agent, in addition to a pledge amendment to the Security Agreement (in the form attached thereto), an executed uncertificated stock control agreement among the issuer, the registered owner and the Collateral Agent, substantially in the form attached to the Security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7" w:name="page138"/>
    <w:bookmarkEnd w:id="137"/>
    <w:p>
      <w:pPr>
        <w:jc w:val="both"/>
        <w:ind w:firstLine="1304"/>
        <w:spacing w:after="0" w:line="253" w:lineRule="auto"/>
        <w:tabs>
          <w:tab w:leader="none" w:pos="1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Credit Party acquires any fee title to real estate in the U.S. with a fair market value (reasonably determined in good faith by a Responsible Officer of such Credit Party) in excess of $5,000,000, unless otherwise agreed by the Collateral Agent, such Person shall execute or deliver, or cause to be executed or delivered, to the Collateral Agent, (i) within sixty (60) days after such acquisition, an appraisal complying with the Financial Institutions Reform, Recovery and Enforcement Act of 1989, (ii) within forty-five (45) days after receipt of notice from the Collateral Agent that such real estate is located in a Special Flood Hazard Area, Federal Flood Insurance, (iii) within sixty (60) days after such acquisition, a fully executed Mortgage, in form and substance reasonably satisfactory to the Collateral Agent, together with an A.L.T.A. lender’s title insurance policy issued by a title insurer reasonably satisfactory to the Collateral Agent, in form and substance (including any endorsements) and in an amount reasonably satisfactory to the Collateral Agent insuring that the Mortgage is a valid and enforceable first priority Lien on the respective property, free and clear of all defects, encumbrances and Liens (other than Permitted Liens), (iv) simultaneously with such acquisition, then-current A.L.T.A. surveys, certified to the Collateral Agent by a licensed surveyor sufficient to allow the issuer of the lender’s title insurance policy to issue such policy without a survey exception and (v) within sixty (60) days after such acquisition, an environmental site assessment prepared by a qualified firm reasonably acceptable to the Collateral Agent, in form and substance reasonably satisfactory to the Collateral Agent.</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3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becomes (or any New Subsidiary is) a Registered Organization, Borrower or such Credit Party shall (or shall cause such New Subsidiary to) promptly notify the Collateral Agent of such occurrence and provide the Collateral Agent with such Credit Party’s (or New Subsidiary’s) organizational identification number.</w:t>
      </w:r>
    </w:p>
    <w:p>
      <w:pPr>
        <w:spacing w:after="0" w:line="17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2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as a result of a change in law including any change to a provision of the IRC or future guidance from the IRS or United States Department of Treasury, either: (i) a Credit Party’s pledge of the stock of a Foreign Subsidiary or Foreign Subsidiary Holdco or (ii) a Foreign Subsidiary (in the event Borrower elected pursuant to </w:t>
      </w:r>
      <w:r>
        <w:rPr>
          <w:rFonts w:ascii="Times New Roman" w:cs="Times New Roman" w:eastAsia="Times New Roman" w:hAnsi="Times New Roman"/>
          <w:sz w:val="17"/>
          <w:szCs w:val="17"/>
          <w:u w:val="single" w:color="auto"/>
          <w:color w:val="auto"/>
        </w:rPr>
        <w:t>Section 5.12(a)</w:t>
      </w:r>
      <w:r>
        <w:rPr>
          <w:rFonts w:ascii="Times New Roman" w:cs="Times New Roman" w:eastAsia="Times New Roman" w:hAnsi="Times New Roman"/>
          <w:sz w:val="17"/>
          <w:szCs w:val="17"/>
          <w:color w:val="auto"/>
        </w:rPr>
        <w:t xml:space="preserve"> to cause such Foreign Subsidiary to be a Guarantor hereunder) or Foreign Subsidiary Holdco being a Guarantor hereunder would reasonably be expected to result in an income inclusion for any Credit Party under Section 956 of the IRC (or a successor or similar provision), or the United States Treasury Regulations promulgated thereunder which causes a material adverse tax consequence for a Credit Party, the parties hereto shall cooperate in good faith to amend this Agreement, the Security Agreement and any other applicable Loan Document to eliminate (or, if it is not possible to eliminate, mitigate) such material adverse tax consequence for such Credit Party. Further, if any Credit Party or any of its Subsidiaries at any time after the Tranche A Closing Date forms or acquires a Foreign Subsidiary or Foreign Subsidiary Holdco, the parties hereto shall cooperate in good faith to determine if either (x) a Credit Party’s pledge of the stock of such Foreign Subsidiary or Foreign Subsidiary Holdco or (y) such Foreign Subsidiary Holdco being a Guarantor hereunder would result in an income inclusion for any Credit Party under Section 956 of the IRC (or a successor or similar provision), or the United States Treasury Regulations promulgated thereunder which causes a material adverse tax consequence for a Credit Party. If such material adverse tax consequence for a Credit Party exists, the parties hereto shall cooperate in good faith to structure such pledge or guarantee in a manner that eliminates (or, if it is not possible to eliminate, mitigates to the point that it is not material) such material adverse tax consequence for such Credit Party. If it is not possible to eliminate (or mitigate) the material adverse tax consequence, then, as applicable, and solely if, at each instance, such pledge or guaranty, as applicable, is the cause of such material adverse tax consequence (A) a pledge of up to sixty-five percent (65.0%) of the issued and outstanding voting Equity Interests and one hundred percent (100%) the issued and outstanding non-voting Equity Interests of the Foreign Subsidiary or Foreign Subsidiary Holdco directly owned by a Credit Party shall be permitted and (B) a guarantee by a Foreign Subsidiary Holdco will not be required.</w:t>
      </w:r>
    </w:p>
    <w:p>
      <w:pPr>
        <w:spacing w:after="0" w:line="177" w:lineRule="exact"/>
        <w:rPr>
          <w:rFonts w:ascii="Times New Roman" w:cs="Times New Roman" w:eastAsia="Times New Roman" w:hAnsi="Times New Roman"/>
          <w:sz w:val="17"/>
          <w:szCs w:val="17"/>
          <w:color w:val="auto"/>
        </w:rPr>
      </w:pPr>
    </w:p>
    <w:p>
      <w:pPr>
        <w:jc w:val="both"/>
        <w:ind w:firstLine="1304"/>
        <w:spacing w:after="0" w:line="258" w:lineRule="auto"/>
        <w:tabs>
          <w:tab w:leader="none" w:pos="172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no event shall any Credit Party or any Subsidiary be required to enter into or deliver any foreign law-governed documents, file or record any documents or agreements (including any agreements relating to Intellectual Property) with any foreign Governmental Authority or take any other actions under foreign law with respect to Collateral held in any jurisdiction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the United States, Israel or the jurisdiction of such Credit Party or Subsidiary, or, solely upon the occurrence and during the continuance of an Event of Default and by written notice to the Credit Parties, as the Collateral Agent may in its sole discretion otherwise require.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5.13 Formation or Acquisition of Subsidiaries</w:t>
      </w:r>
      <w:r>
        <w:rPr>
          <w:rFonts w:ascii="Times New Roman" w:cs="Times New Roman" w:eastAsia="Times New Roman" w:hAnsi="Times New Roman"/>
          <w:sz w:val="18"/>
          <w:szCs w:val="18"/>
          <w:color w:val="auto"/>
        </w:rPr>
        <w:t>. If any Credit Party or any of its Subsidiaries at any time after the Tranche A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incorporates, organizes, forms or acquires (including by a Stock Acquisition) a Subsidiary (including by division) other than an Excluded Subsidiary (a “</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xml:space="preserve">”) or if any Credit Party makes an Asset Acquisition (other than an Asset Acquisition in the ordinary course of business), as promptly as practicable but in no event later than thirty (30) days after such incorporation, organization, formation or acquisition or Asset Acquisition: (a) without limiting the generality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such Credit Party will cause such New Subsidiary or Credit Party, as applicable, to the extent required or applicable to execute and deliver to the Collateral Agent a joinder to the Security Agreement (in the form attached thereto) and any relevant IP Agreement or other Collateral Documents, as applicable; (b) such Credit Party will deliver (or cause to be delivered) to the Collateral Agent (i) true, correct and complete copies of the Operating Documents of such New Subsidiary, (ii) a Secretary’s Certificate, certifying that the copies of the Operating Documents of such New Subsidiary are true, correct and complete (such Secretary’s Certificate to be in form and substance reasonably satisfactory to the Collateral Agent) and (iii) a good standing certificate for such New Subsidiary certified by the Secretary of State (or the equivalent thereof) of its jurisdiction of organization, incorporation or formation (where applicable in the subject jurisdiction); and (c) such Credit Party will cause such New Subsidiary to satisfy all requirements contained in this Agreement (including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each other Loan Document if and to the extent applicable to such New Subsidiary. The parties hereto agree that any New Subsidiary shall constitute a Credit Party for all purposes hereunder as of the date of the execution and delivery of any joinder contemplated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the date such New Subsidiary provides any guarantee of the Obligations as contemplated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Any document, agreement or instrument executed or issued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a Loan Document.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5.14 Post-Closing Requirements</w:t>
      </w:r>
      <w:r>
        <w:rPr>
          <w:rFonts w:ascii="Times New Roman" w:cs="Times New Roman" w:eastAsia="Times New Roman" w:hAnsi="Times New Roman"/>
          <w:sz w:val="18"/>
          <w:szCs w:val="18"/>
          <w:color w:val="auto"/>
        </w:rPr>
        <w:t>. Parent will, and will cause each of its Subsidiaries, as applicable, to take each of the actions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within the time period prescribed therefor on such schedule (or such longer period as the Collateral Agent may agree in its sole discretion), which shall include, among other things, that: (a) notwithstanding anything to the contrary in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Credit Parties shall have until the date that is thirty (30) days following the Tranche A Closing Date (or such longer period as the Collateral Agent may agree in its sole discretion) to comply with the provisions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with regards to naming the Collateral Agent, on behalf of the Lenders and the other Secured Parties, as additional insured or loss payee, on any products liability or general liability insurance in the United States regarding Collateral in effect on the Tranche A Closing Date; (b) notwithstanding anything to the contrary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Credit Parties shall have until the date that is ninety (90) days following the Tranche A Closing Date (or such longer period as the Collateral Agent may agree in its sole discretion) to comply with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of the Credit Parties in existence on the Tranche A Closing Date or opened during such 90-day period; and</w:t>
      </w:r>
    </w:p>
    <w:p>
      <w:pPr>
        <w:spacing w:after="0" w:line="3" w:lineRule="exact"/>
        <w:rPr>
          <w:sz w:val="20"/>
          <w:szCs w:val="20"/>
          <w:color w:val="auto"/>
        </w:rPr>
      </w:pPr>
    </w:p>
    <w:p>
      <w:pPr>
        <w:jc w:val="both"/>
        <w:ind w:firstLine="8"/>
        <w:spacing w:after="0" w:line="251" w:lineRule="auto"/>
        <w:tabs>
          <w:tab w:leader="none" w:pos="2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the Credit Parties shall have until the date that is thirty (30) days following the Tranche A Closing Date (or such longer period as the Collateral Agent may agree in its sole discretion) to comply with the provisions of </w:t>
      </w:r>
      <w:r>
        <w:rPr>
          <w:rFonts w:ascii="Times New Roman" w:cs="Times New Roman" w:eastAsia="Times New Roman" w:hAnsi="Times New Roman"/>
          <w:sz w:val="18"/>
          <w:szCs w:val="18"/>
          <w:u w:val="single" w:color="auto"/>
          <w:color w:val="auto"/>
        </w:rPr>
        <w:t>Section 6.2(b)(ii)</w:t>
      </w:r>
      <w:r>
        <w:rPr>
          <w:rFonts w:ascii="Times New Roman" w:cs="Times New Roman" w:eastAsia="Times New Roman" w:hAnsi="Times New Roman"/>
          <w:sz w:val="18"/>
          <w:szCs w:val="18"/>
          <w:color w:val="auto"/>
        </w:rPr>
        <w:t xml:space="preserve"> with regards to the location of the primary Books of any Credit Party or any of its Subsidiaries or the location of any material portion of the Collateral on the Tranche A Closing Date or during such 30-day period. All representations and warranties and covenants contained in this Agreement and the other Loan Documents shall be deemed modified to the extent necessary to take the actions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within the time periods set forth therein, rather than elsewhere provided in the Loan Documents, such that to the extent any such action set forth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is not overdue, the applicable Credit Party shall not be in breach of any representation or warranty or covenant contained in this Agreement or any other Loan Document applicable to such action for the period from the Tranche A Closing Date until the date on which such action is required to be fulfilled as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800" w:hanging="496"/>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 to the Collateral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14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receipt thereof, copies of all environmental audits, investigations, analyses and reports of any kind or character, whether prepared by personnel of Parent or any of its Subsidiaries or by independent consultants, governmental authorities or any other Persons, with respect to significant environmental matters at any Facility or with respect to any material Environmental Claims;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9" w:name="page140"/>
    <w:bookmarkEnd w:id="139"/>
    <w:p>
      <w:pPr>
        <w:jc w:val="both"/>
        <w:ind w:left="660" w:firstLine="1130"/>
        <w:spacing w:after="0" w:line="253" w:lineRule="auto"/>
        <w:tabs>
          <w:tab w:leader="none" w:pos="224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a Responsible Officer of any Credit Party or any of its Subsidiaries obtaining knowledge of the occurrence thereof, written notice describing in reasonable detail (A) any Release required to be reported to any federal, state, local or foreign governmental or regulatory agency under any applicable Environmental Laws, (B) any remedial action taken by (or on behalf of)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 and (C)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real property adjoining or in the vicinity of any Facility, Borrower shall have no duty to affirmatively investigate or make any efforts to become or stay informed regarding any such adjoining or nearby properties;</w:t>
      </w:r>
    </w:p>
    <w:p>
      <w:pPr>
        <w:spacing w:after="0" w:line="194" w:lineRule="exact"/>
        <w:rPr>
          <w:rFonts w:ascii="Times New Roman" w:cs="Times New Roman" w:eastAsia="Times New Roman" w:hAnsi="Times New Roman"/>
          <w:sz w:val="18"/>
          <w:szCs w:val="18"/>
          <w:color w:val="auto"/>
        </w:rPr>
      </w:pPr>
    </w:p>
    <w:p>
      <w:pPr>
        <w:jc w:val="both"/>
        <w:ind w:left="660" w:firstLine="1130"/>
        <w:spacing w:after="0" w:line="257" w:lineRule="auto"/>
        <w:tabs>
          <w:tab w:leader="none" w:pos="2401"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local or foreign governmental or regulatory agency,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w:t>
      </w:r>
    </w:p>
    <w:p>
      <w:pPr>
        <w:spacing w:after="0" w:line="185" w:lineRule="exact"/>
        <w:rPr>
          <w:rFonts w:ascii="Times New Roman" w:cs="Times New Roman" w:eastAsia="Times New Roman" w:hAnsi="Times New Roman"/>
          <w:sz w:val="18"/>
          <w:szCs w:val="18"/>
          <w:color w:val="auto"/>
        </w:rPr>
      </w:pPr>
    </w:p>
    <w:p>
      <w:pPr>
        <w:jc w:val="both"/>
        <w:ind w:left="660" w:firstLine="1130"/>
        <w:spacing w:after="0" w:line="254" w:lineRule="auto"/>
        <w:tabs>
          <w:tab w:leader="none" w:pos="225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 written notice describing in reasonable detail (A) any proposed acquisition of stock, assets, or property by Parent or any of its Subsidiaries that, individually or in the aggregate, could reasonably be expected to (x) expose Parent or any of its Subsidiaries to, or result in, Environmental Claims that could reasonably be expected to result in a Material Adverse Change or (y) affect the ability of Parent or any of its Subsidiaries to maintain in full force and effect all material Governmental Approvals required under any Environmental Laws for their respective operations and (B) any proposed action to be taken by Parent or any of its Subsidiaries to modify current operations, in each case of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in a manner that, individually or taken together with any other such proposed acquisitions or actions, could reasonably be expected to subject Parent or any of its Subsidiaries to any additional material obligations or requirements under any Environmental Laws; and</w:t>
      </w:r>
    </w:p>
    <w:p>
      <w:pPr>
        <w:spacing w:after="0" w:line="191" w:lineRule="exact"/>
        <w:rPr>
          <w:rFonts w:ascii="Times New Roman" w:cs="Times New Roman" w:eastAsia="Times New Roman" w:hAnsi="Times New Roman"/>
          <w:sz w:val="18"/>
          <w:szCs w:val="18"/>
          <w:color w:val="auto"/>
        </w:rPr>
      </w:pPr>
    </w:p>
    <w:p>
      <w:pPr>
        <w:ind w:left="660" w:firstLine="1130"/>
        <w:spacing w:after="0" w:line="282" w:lineRule="auto"/>
        <w:tabs>
          <w:tab w:leader="none" w:pos="219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reasonable promptness, such other documents and information as from time to time may be reasonably requested by the Collateral Agent in relation to any matters disclosed pursuant to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and shall cause each of its Subsidiaries to, promptly take any and all actions reasonably necessary to (i) cure any violation of applicable Environmental Laws by Parent or any of its Subsidiaries that, individually or in the aggregate, could reasonably be expected to result in a Material Adverse Change, and (ii) make an appropriate response to any Environmental Claim against Parent or any of its Subsidiaries and discharge any obligations it may have to any Person thereunder where failure to do so, individually or in the aggregate, could reasonably be expected to result in a Material Adverse Change.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5.16 Inventory; Returns; Maintenance of Properties</w:t>
      </w:r>
      <w:r>
        <w:rPr>
          <w:rFonts w:ascii="Times New Roman" w:cs="Times New Roman" w:eastAsia="Times New Roman" w:hAnsi="Times New Roman"/>
          <w:sz w:val="18"/>
          <w:szCs w:val="18"/>
          <w:color w:val="auto"/>
        </w:rPr>
        <w:t>. Keep all Inventory which constitutes the Product in good and marketable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from material defects and otherwise keep all Inventory which constitutes the Product in material compliance with all FDA Laws and all foreign or United States state equivalents, as applicable.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commercially reasonable repairs, renewals and replacements thereof except where failure to do so could not reasonably be expected to result in a Material Adverse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Regulatory Obligations; Maintenance of Regulatory Approvals; Manufacturing, Marketing and Distribution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16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Comply in all material respects with FDA post-approval requirements (and applicable foreign or United States state equivalents) for the Product in the Territory, and (ii) maintain all Regulatory Approvals required or otherwise material to manufacture, market and distribute the Product in the Territory.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calendar year commencing with calendar year 2026, maintain manufacturing capacity to sell each of JELMYTO® and ZUSDURI® in the Territory in sufficient quantities to satisfy or exceed either (x) the net sales amount thereof for such calendar year set forth in the Product Revenue Forecast or (y) solely in the case of JELMYTO®, the expected needs of patients with the disease or condition for which JELMYTO® was designated as an Orphan Drug for such calendar year in each case as reasonably determined by Responsible Officers of the Credit Parties in good faith;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such calendar year, if the net sales amount for JELMYTO® for such calendar year set forth in the Product Revenue Forecast would not be sufficient to meet reasonably anticipated demand for such calendar year, then maintain manufacturing capacity to sell JELMYTO® in the Territory in sufficient quantities to satisfy or exceed the needs of patients with the disease or condition for which JELMYTO® was designated as an Orphan Drug for such calendar year.</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Agent, as promptly as practicable after a Responsible Officer of any Credit Party shall have obtained knowledge thereof, written notice describing in reasonable detail any instance where the Credit Party or any of its Subsidiaries has a reasonable expectation that there are grounds for imposition of a clinical hold, as described in 21 C.F.R. § 312.42.</w:t>
      </w:r>
    </w:p>
    <w:p>
      <w:pPr>
        <w:spacing w:after="0" w:line="17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5.18 Material Contracts; Collateral Documents</w:t>
      </w:r>
      <w:r>
        <w:rPr>
          <w:rFonts w:ascii="Times New Roman" w:cs="Times New Roman" w:eastAsia="Times New Roman" w:hAnsi="Times New Roman"/>
          <w:sz w:val="18"/>
          <w:szCs w:val="18"/>
          <w:color w:val="auto"/>
        </w:rPr>
        <w:t>. Comply in all respects with all of its covenants, agreements, undertakings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arising under, and fulfill all of its obligations under, (a) 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each Material Contract to which it is a party, except as could not reasonably be expected to have a Material Adverse Change, and (b) each Collateral Document to which it is a party.</w:t>
      </w:r>
    </w:p>
    <w:p>
      <w:pPr>
        <w:spacing w:after="0" w:line="171"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Credit Party covenants and agrees that, until payment in full of all Obligations (other than contingent indemnification obligations to the extent no claim giving rise thereto has been asserted), such Credit Party shall not, and shall cause each of its Subsidiaries not to:</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6.1 Dispositions</w:t>
      </w:r>
      <w:r>
        <w:rPr>
          <w:rFonts w:ascii="Times New Roman" w:cs="Times New Roman" w:eastAsia="Times New Roman" w:hAnsi="Times New Roman"/>
          <w:sz w:val="18"/>
          <w:szCs w:val="18"/>
          <w:color w:val="auto"/>
        </w:rPr>
        <w:t>. Convey, sell, lease, transfer, exchange, assign, covenant not to sue, enter into a coexistence agreement, exclusively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nonexclusively license out, or otherwise dispose of (including any sale-leaseback or any transfer of assets pursuant to a plan of division), directly or indirectly and whether in one or a series of transactions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all or any part of its properties or assets constituting Collateral (including, for the avoidance of doubt, any Equity Interests constituting Collateral issued by any Subsidiary which are owned or otherwise held by such Credit Party) or any Company IP that does not constitute Collateral under the Loan Documents but is related to any research, development, manufacture, production, use, commercialization, marketing, importing, storage, transport, offer for sale, distribution or sale of the Product in the Territory; except, in each case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for Permitted Transfers not otherwise expressly prohibited under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Fundamental Changes; Location of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7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at least ten (10) days prior written notice to the Collateral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1" w:name="page142"/>
    <w:bookmarkEnd w:id="141"/>
    <w:p>
      <w:pPr>
        <w:jc w:val="both"/>
        <w:ind w:firstLine="1304"/>
        <w:spacing w:after="0" w:line="253" w:lineRule="auto"/>
        <w:tabs>
          <w:tab w:leader="none" w:pos="181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its primary Books at or deliver any Collateral with a fair market value (reasonably determined in good faith by a Responsible Officer of Borrower), individually or together with any other Collateral, in excess of $1,000,000 to, one or more mortgaged or leased locations or one or more warehouses, processors or bailees, as applicable, unless, subject to the timing requirements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(solely with respect to such locations, warehouses, processors or bailees where such Books or Collateral is located on the Tranche A Closing Date or during the 60-day period following the Tranche A Closing Date), such Credit Party uses commercially reasonable efforts to deliver to the Collateral Agent a Collateral Access Agreement for such mortgaged or leased location or such warehouse, processor or bailee governing such Books or such Collateral (as applicable) and the location at which such Books are maintained or to which such Collateral has been delivered (as applicable), in each case in form and substance reasonably satisfactory to the Collateral Agent, as promptly as practicable (and in no event later than sixty (60) days after) such Books are maintained or such Collateral is delivered to such mortgaged or leased location or warehouse, processor or bailee (as applicable). Notwithstanding anything to the contrary herein, such obligation to deliver Collateral Access Agreements will not apply to any inventory or assets while in transit.</w:t>
      </w:r>
    </w:p>
    <w:p>
      <w:pPr>
        <w:spacing w:after="0" w:line="19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8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or maintain any bank account of any Credit Party other than the bank accounts set forth on </w:t>
      </w:r>
      <w:r>
        <w:rPr>
          <w:rFonts w:ascii="Times New Roman" w:cs="Times New Roman" w:eastAsia="Times New Roman" w:hAnsi="Times New Roman"/>
          <w:sz w:val="18"/>
          <w:szCs w:val="18"/>
          <w:u w:val="single" w:color="auto"/>
          <w:color w:val="auto"/>
        </w:rPr>
        <w:t>Schedule 6.2(c)</w:t>
      </w:r>
      <w:r>
        <w:rPr>
          <w:rFonts w:ascii="Times New Roman" w:cs="Times New Roman" w:eastAsia="Times New Roman" w:hAnsi="Times New Roman"/>
          <w:sz w:val="18"/>
          <w:szCs w:val="18"/>
          <w:color w:val="auto"/>
        </w:rPr>
        <w:t xml:space="preserve"> of the Disclosure Letter (which bank accounts constitute all of the deposit accounts, securities accounts or other similar accounts maintained by any Credit Party on the applicable Closing Date ), unless, in the case of any bank account that is not an Excluded Account, (i) the Collateral Agent is provided at least ten</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5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written notice from such Credit Party prior to the establishment or maintenance of such account and (ii) such account is or is made subject to a Control Agreement or an applicable Collateral Document to the extent required by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cash in any bank account located in other than the United States, Israel, or the jurisdiction of organization of such Credit Party (or, if different, the jurisdiction of the principal place of business of such Credit Party) that would be in excess of the amount of cash that would be appropriate for (i) the continued operations in the ordinary course of business of such Credit Party or Subsidiary and (ii) such other business needs of such Person, as reasonably determined by a Responsible Officer of Borrower in good faith, consistent with prudent cash management practices and not with an intent to hinder the security interests available under the Loan Documents.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engage in any transaction (or series of actions or transactions), whether by reorganization, sale of assets, merger, dissolution, amendment of Operating Documents or otherwise, the primary purpose of which is to evade, avoid or seek to avoid the performance or observance of any of the covenants, agreements or obligations of any Credit Party under the Loan Documents (including under the Collateral Documents).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Mergers, Acquisitions, Liquidations or Dissolutions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6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divide itself into two (2) or more entities, consolidate, liquidate or dissolve, or permit any of its Subsidiaries to merge, divide itself into two (2) or more entities, consolidate, liquidate or dissolve with or into any other Person, except that:</w:t>
      </w:r>
    </w:p>
    <w:p>
      <w:pPr>
        <w:spacing w:after="0" w:line="161" w:lineRule="exact"/>
        <w:rPr>
          <w:rFonts w:ascii="Times New Roman" w:cs="Times New Roman" w:eastAsia="Times New Roman" w:hAnsi="Times New Roman"/>
          <w:sz w:val="18"/>
          <w:szCs w:val="18"/>
          <w:color w:val="auto"/>
        </w:rPr>
      </w:pPr>
    </w:p>
    <w:p>
      <w:pPr>
        <w:jc w:val="both"/>
        <w:ind w:left="660" w:firstLine="1130"/>
        <w:spacing w:after="0" w:line="255" w:lineRule="auto"/>
        <w:tabs>
          <w:tab w:leader="none" w:pos="222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any Subsidiary of Parent may merge or consolidate with or into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Credit Party is the surviving entity and (y) any Subsidiary of Parent may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prior to or concurrent with such liquidation or dissolution, the remaining assets of such Subsidiary shall be distributed to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liquidating or dissolving Subsidiary is a Credit Party, all of the assets and business of such Subsidiary shall be distributed to an existing or newly-formed Credit Party, and if the liquidating or dissolving Subsidiary is not a Credit Party, all of the assets and business of such Subsidiary are transferred to a Credit Party or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that neither such dissolution or liquidation nor such transfer could reasonably be expected to result in a Material Adverse Change,</w:t>
      </w:r>
    </w:p>
    <w:p>
      <w:pPr>
        <w:spacing w:after="0" w:line="188" w:lineRule="exact"/>
        <w:rPr>
          <w:rFonts w:ascii="Times New Roman" w:cs="Times New Roman" w:eastAsia="Times New Roman" w:hAnsi="Times New Roman"/>
          <w:sz w:val="18"/>
          <w:szCs w:val="18"/>
          <w:color w:val="auto"/>
        </w:rPr>
      </w:pPr>
    </w:p>
    <w:p>
      <w:pPr>
        <w:jc w:val="both"/>
        <w:ind w:left="660" w:firstLine="1130"/>
        <w:spacing w:after="0" w:line="255" w:lineRule="auto"/>
        <w:tabs>
          <w:tab w:leader="none" w:pos="22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Parent may merge or consolidate with any other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any party to such merger or consolidation is a Credit Party then either (x) such Credit Party is the surviving entity or (y) the surviving or resulting entity executes and delivers to the Collateral Agent a joinder to the Security Agreement in the form attached thereto, a joinder to any relevant IP Agreement, and such other Collateral Documents or other documents required under the terms of the Loan Documents or as the Collateral Agent may reasonably request, as applicable, and otherwise satisfies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promptly as practicable but in no event later than thirty (30) days (or such longer period as the Collateral Agent may agree in writing and in its sole discretion, taking into account reasonable good faith efforts) following the completion of such merger or consolidation;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left="660" w:firstLine="1130"/>
        <w:spacing w:after="0" w:line="266" w:lineRule="auto"/>
        <w:tabs>
          <w:tab w:leader="none" w:pos="22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Parent may divide itself into two (2) or more entities or be dissolved or liquidated,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Subsidiary is a Credit Party, the properties and assets of such Subsidiary are allocated or distributed to an existing or newly-formed Credit Party; and</w:t>
      </w:r>
    </w:p>
    <w:p>
      <w:pPr>
        <w:spacing w:after="0" w:line="175" w:lineRule="exact"/>
        <w:rPr>
          <w:rFonts w:ascii="Times New Roman" w:cs="Times New Roman" w:eastAsia="Times New Roman" w:hAnsi="Times New Roman"/>
          <w:sz w:val="18"/>
          <w:szCs w:val="18"/>
          <w:color w:val="auto"/>
        </w:rPr>
      </w:pPr>
    </w:p>
    <w:p>
      <w:pPr>
        <w:ind w:left="2220" w:hanging="430"/>
        <w:spacing w:after="0"/>
        <w:tabs>
          <w:tab w:leader="none" w:pos="22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Acquisition or Permitted Investment may be structured as a merger or consolidation.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permit any of its Subsidiaries to make, Acquisitions outside the ordinary course of business, including any purchase of all or substantially all of the assets of, or any division or line of business of any other Person, other than Permitted Acquisitions or Permitted Investments. For the avoidance of doubt, nothing herein shall prohibit any Credit Party or its Subsidiaries from entering into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no Indebtedness not otherwise permitted hereunder is incurred or assumed in connection therewith.</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6.4 Indebtedness</w:t>
      </w:r>
      <w:r>
        <w:rPr>
          <w:rFonts w:ascii="Times New Roman" w:cs="Times New Roman" w:eastAsia="Times New Roman" w:hAnsi="Times New Roman"/>
          <w:sz w:val="18"/>
          <w:szCs w:val="18"/>
          <w:color w:val="auto"/>
        </w:rPr>
        <w:t>. Directly or indirectly, create, incur, assume or guaranty, or otherwise become or remain directly or indirectly liable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Indebtedness (including any Indebtedness consisting of obligations evidenced by a bond, debenture, note or other similar instrument) that is not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6.5 Encumbrances</w:t>
      </w:r>
      <w:r>
        <w:rPr>
          <w:rFonts w:ascii="Times New Roman" w:cs="Times New Roman" w:eastAsia="Times New Roman" w:hAnsi="Times New Roman"/>
          <w:sz w:val="18"/>
          <w:szCs w:val="18"/>
          <w:color w:val="auto"/>
        </w:rPr>
        <w:t>. Except for Permitted Liens, (i) create, incur, allow, or suffer to exist any Lien on any Collateral (including,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any Equity Interests constituting Collateral issued by any Subsidiary which are owned or otherwise held by such Credit Party), or (ii) permit (other than pursuant to the terms of the Loan Documents) any material portion of the Collateral (including, for the avoidance of doubt, any Equity Interests constituting Collateral issued by any Subsidiary which are owned or otherwise held by such Credit Party) not to be subject to the first priority security interest granted in the Loan Documents or otherwise pursuant to the Collateral Documents, in each case of this clause (ii), other than as a direct result of any action by the Collateral Agent or any Lender or failure of the Collateral Agent or any Lender to perform an obligation thereof under the Loan Documents.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No Further Negative Pledges; Negative Pledge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6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nor any of its Subsidiaries shall enter into any agreement, document or instrument directly or indirectly prohibiting (or having the effect of prohibiting) or limiting the ability of such Credit Party or Subsidiary to create, incur, assume or suffer to exist any Lien upon any Collateral, whether now owned or hereafter acquired, in favor of the Collateral Agent, for the benefit of Lenders and the other Secured Parties, with respect to the Obligations or under the Loan Documents, in each case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other than Permitted Negative Pledges.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 Credit Party will Transfer, or create, incur, allow or suffer to exist any Lien on, any Equity Interests constituting Collateral issued by any Subsidiary which are owned or otherwise held by such Credit Party, except for: (i) Permitted Liens; (ii) Transfers between or among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and all steps as may be reasonably required to be taken in order to create and maintain a first priority security interest in and Lien upon such Equity Interests in favor of the Collateral Agent, for the benefit of Lenders and the other Secured Parties, are taken contemporaneously with the completion of any such Transfer; and (iii) sales, assignments, transfers, exchanges or other dispositions to qualify directors if required by Requirements of Law or otherwise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sale, assignment, transfer, exchange or other disposition shall be for the minimum number of Equity Interests as are necessary for such qualification under Requirements of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Maintenance of Collateral Accounts</w:t>
      </w:r>
      <w:r>
        <w:rPr>
          <w:rFonts w:ascii="Times New Roman" w:cs="Times New Roman" w:eastAsia="Times New Roman" w:hAnsi="Times New Roman"/>
          <w:sz w:val="17"/>
          <w:szCs w:val="17"/>
          <w:color w:val="auto"/>
        </w:rPr>
        <w:t>. Maintain any Collateral Account except in accordance with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b w:val="1"/>
          <w:bCs w:val="1"/>
          <w:color w:val="auto"/>
        </w:rPr>
        <w:t>Distributions;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7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any dividends or make any distribution or payment on, or redeem, retire or repurchase any of its Equity Interests, except, in each case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for Permitted Distributions, Permitted Transactions and Permitted Equity Derivatives.</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make any Investment other than Permitted Acquisitions and Permitted Investments.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prohibit any Credit Party or its Subsidiaries from entering into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no Indebtedness that is not Permitted Indebtedness is incurred or assumed in connection therewith.</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6.9 No Restrictions on Subsidiary Distributions</w:t>
      </w:r>
      <w:r>
        <w:rPr>
          <w:rFonts w:ascii="Times New Roman" w:cs="Times New Roman" w:eastAsia="Times New Roman" w:hAnsi="Times New Roman"/>
          <w:sz w:val="18"/>
          <w:szCs w:val="18"/>
          <w:color w:val="auto"/>
        </w:rPr>
        <w:t>. No Credit Party nor any of its Subsidiaries shall enter into any agreement,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instrument directly or indirectly prohibiting (or having the effect of prohibiting) or limiting the ability of any Subsidiary of Parent to (a) pay dividends or make any other distributions on any of such Subsidiary’s Equity Interests owned by Parent or any other Subsidiary of Parent, (b) repay or prepay any Indebtedness owed by such Subsidiary to Parent or any other Subsidiary of Parent, (c) make loans or advances to Borrower or any other Subsidiary of Parent, or (d) transfer, lease or license any Collateral to Borrower or any other Subsidiary of Parent, except, in each case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for Permitted Subsidiary Distribution Restrictions.</w:t>
      </w:r>
    </w:p>
    <w:p>
      <w:pPr>
        <w:spacing w:after="0" w:line="18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Subordinated Debt; Permitted Convertible Indebtedness</w:t>
      </w:r>
      <w:r>
        <w:rPr>
          <w:rFonts w:ascii="Times New Roman" w:cs="Times New Roman" w:eastAsia="Times New Roman" w:hAnsi="Times New Roman"/>
          <w:sz w:val="17"/>
          <w:szCs w:val="17"/>
          <w:color w:val="auto"/>
        </w:rPr>
        <w:t>. Notwithstanding anything to the contrary in this Agreement:</w:t>
      </w:r>
    </w:p>
    <w:p>
      <w:pPr>
        <w:spacing w:after="0" w:line="229" w:lineRule="exact"/>
        <w:rPr>
          <w:sz w:val="20"/>
          <w:szCs w:val="20"/>
          <w:color w:val="auto"/>
        </w:rPr>
      </w:pPr>
    </w:p>
    <w:p>
      <w:pPr>
        <w:jc w:val="both"/>
        <w:ind w:firstLine="1304"/>
        <w:spacing w:after="0" w:line="266" w:lineRule="auto"/>
        <w:tabs>
          <w:tab w:leader="none" w:pos="170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voluntary or optional prepayment or repayment of the outstanding principal amount of any Subordinated Debt other than in accordance with the express terms of a subordination, intercreditor or other similar agreement relating to such Subordinated Debt, if any, that is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payment of interest (including accrued and unpaid interest) in cash on or in respect of any Subordinated Debt at any time that a Default or Event of Default shall have occurred and be continuing other than in accordance with the express terms of a subordination, intercreditor or other similar agreement relating to such Subordinated Debt, if any, that is in form and substance reasonably satisfactory to the Collateral Agent;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8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supplement or otherwise modify any terms, conditions or other provisions of any Subordinated Debt, or any agreement, instrument or other document relating thereto, in any manner which would contravene in any respect any of the foregoing or adversely affect the payment or priority subordination thereof (as applicable) to Obligations owed to Lenders, in each case except under the terms of the subordination, intercreditor, or other similar agreement to which such Subordinated Debt, if any, is subject, without the prior written consent of the Collateral Agent (in its sole discretion).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Credit Party shall, and shall cause each of its Subsidiaries not to, directly or indirectly, create, incur, assume or guaranty, or otherwise become directly or indirectly liable with respect to, any Subordinated Debt except as otherwise expressly permitted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voluntary or optional prepayment or repayment of the outstanding amount of any Indebtedness under the Pre-Paid Forward Contract or other PPFC Documents (including any principal or interest), or amend, restate, supplement or otherwise modify any terms, conditions or other provisions of such Indebtedness or the Pre-Paid Forward Contract or other PPFC Documents in any manner which would contravene in any respect any of the foregoing or adversely affect the payment or priority subordination thereof (as applicable) to Obligations owed to Lenders, in each case other than in accordance with the express terms of the RTW Intercreditor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4" w:name="page145"/>
    <w:bookmarkEnd w:id="144"/>
    <w:p>
      <w:pPr>
        <w:jc w:val="both"/>
        <w:ind w:firstLine="1304"/>
        <w:spacing w:after="0" w:line="256" w:lineRule="auto"/>
        <w:tabs>
          <w:tab w:leader="none" w:pos="16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shall, and shall cause each of its Subsidiaries not to, directly or indirectly, make (or exercise any option with respect thereto) any payment, prepayment, repurchase or redemption for cash of any Permitted Convertible Indebtedness unless and until all of the Obligations are paid in full, other than to the extent made solely with the proceeds of any issuance of Equity Interests or Permitted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 xml:space="preserve"> shall prohibit or otherwise restrict (v) scheduled cash interest payments, (w) required cash payments of accrued but unpaid interest upon repurchase or redemption thereof, (x) cash payments in lieu of any fractional share issuable upon conversion thereof, (y) required cash payments of any amounts due upon the scheduled maturity thereof or (z) any ordinary course fees or other expenses in connection therewith.</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6.11 Amendments or Waivers of Organizational Documents</w:t>
      </w:r>
      <w:r>
        <w:rPr>
          <w:rFonts w:ascii="Times New Roman" w:cs="Times New Roman" w:eastAsia="Times New Roman" w:hAnsi="Times New Roman"/>
          <w:sz w:val="18"/>
          <w:szCs w:val="18"/>
          <w:color w:val="auto"/>
        </w:rPr>
        <w:t>. Amend, restate, supplement or otherwise modify, or waive, any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Operating Documents in a manner that would reasonably be expected to result in a Material Adverse Change.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b w:val="1"/>
          <w:bCs w:val="1"/>
          <w:color w:val="auto"/>
        </w:rPr>
        <w:t>Compliance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0" w:firstLine="1304"/>
        <w:spacing w:after="0" w:line="266" w:lineRule="auto"/>
        <w:tabs>
          <w:tab w:leader="none" w:pos="17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“investment company” under the Investment Company Act of 1940, or undertake as one of its important activities extending credit to purchase or carry margin stock (as defined in Regulation U of the Federal Reserve Board), or use the proceeds of any Credit Extension for that purpose;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ERISA Affiliate, cause or suffer to exist (i) any event that would result in the imposition of a Lien under ERISA on any assets or properties of any Credit Party or a Subsidiary of a Credit Party with respect to any Plan or Multiemployer Plan or (ii) any other ERISA Event that, in the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could reasonably be expected to, individually or in the aggregate, result in a Material Adverse Change; or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occurrence of any other event with respect to any present pension, profit sharing or deferred compensation plan which could reasonably be expected to result in a Material Adverse Change.</w:t>
      </w:r>
    </w:p>
    <w:p>
      <w:pPr>
        <w:spacing w:after="0" w:line="15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7"/>
          <w:szCs w:val="17"/>
          <w:b w:val="1"/>
          <w:bCs w:val="1"/>
          <w:color w:val="auto"/>
        </w:rPr>
        <w:t>Compliance with Sanctions, Export and Import Laws, Anti-Corruption Laws and Anti-Money Laundering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780" w:hanging="476"/>
        <w:spacing w:after="0"/>
        <w:tabs>
          <w:tab w:leader="none" w:pos="17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its Subsidiaries or controlled Affiliates to, directly or indirectly, enter into any documents or contracts with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Blocked Person.</w:t>
      </w:r>
    </w:p>
    <w:p>
      <w:pPr>
        <w:spacing w:after="0" w:line="207" w:lineRule="exact"/>
        <w:rPr>
          <w:sz w:val="20"/>
          <w:szCs w:val="20"/>
          <w:color w:val="auto"/>
        </w:rPr>
      </w:pPr>
    </w:p>
    <w:p>
      <w:pPr>
        <w:jc w:val="both"/>
        <w:ind w:firstLine="1304"/>
        <w:spacing w:after="0" w:line="256" w:lineRule="auto"/>
        <w:tabs>
          <w:tab w:leader="none" w:pos="170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its Subsidiaries or controlled Affiliates to, directly or indirectly, (i) conduct any prohibited business or engage in any prohibited investment, activity, transaction or dealing with any Blocked Person, including the making or receiving of any contribution of funds, goods or services to or for the benefit of any Blocked Person, (ii) deal in, or otherwise engage in any investment, activity, transaction or dealing relating to, any property or interests in property blocked pursuant to Sanctions, or (iii) engage in or conspire to engage in any investment, activity, transaction or dealing that evades or avoids or violates, or has the purpose of evading or avoiding, or attempts to violate, any prohibitions under Sanctions, Export and Import Laws, Anti-Corruption Laws or Anti-Money Laundering Laws.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(including through an agent or any other Person), use any of the proceeds of any Credit Extension, or lend, contribute or otherwise make available such proceeds of any Credit Extension to any Subsidiary, joint venture partner or other Person, (i) for any payments to any government official or employee, political party, official of a political party, candidate for political office or anyone else, in order to obtain, retain or direct business, or to obtain any improper advantage, in violation in any respect of Anti-Corruption Laws, (ii) in violation in any respect of any Anti-Money Laundering Laws, (iii) in violation of Sanctions or (iv) in violation of Export and Import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jc w:val="both"/>
        <w:ind w:firstLine="1304"/>
        <w:spacing w:after="0" w:line="258" w:lineRule="auto"/>
        <w:tabs>
          <w:tab w:leader="none" w:pos="17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its Subsidiaries to, directly or, to the Knowledge of Borrower, indirectly, fund all or part of any repayment of the Credit Extensions or other payments under this Agreement out of proceeds derived from criminal activity or activity or transactions in violation in any respect of Anti-Corruption Laws, Export and Import Laws, Anti-Money Laundering Laws or Sanctions, or that would otherwise cause any Person (including any Person participating in the Credit Extensions, whether as agent, lender, sponsor, underwriter, advisor, investor, or otherwise) to be in violation in any respect of Anti-Corruption Laws, Export and Import Laws, Anti-Money Laundering Laws or Sanctions.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Agent and each Lender hereby notifies each Credit Party that pursuant to the requirements of Sanctions and Anti-Money Laundering Laws, and their respective policies and practices, the Collateral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the Collateral Agent and each Lender to identify such party in accordance with Sanctions and Anti-Money Laundering Laws.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7"/>
          <w:szCs w:val="17"/>
          <w:b w:val="1"/>
          <w:bCs w:val="1"/>
          <w:color w:val="auto"/>
        </w:rPr>
        <w:t>Material Contracts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16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Waive, amend, cancel or terminate, exercise or fail to exercise, any material rights constituting or relating to any of the Company IP Agreements or (ii) breach, default under, or take any action or fail to take any action that, with the passage of time or the giving of notice or both, would constitute a default or event of default under any of the Company IP Agreements, in each case of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which, individually or taken together with any other such waivers, amendments, cancellations, terminations, exercises or failures, could reasonably be expected to materially and adversely impact the ability to develop, commercialize or exploit each of JELMYTO® and ZUSDURI® in the Specified Territory or any Credit Party’s or Subsidiary’s rights in respect of JELMYTO® or ZUSDURI®.</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Date, enter into any Manufacturing Agreement (excluding, for the avoidance of doubt, (x) any Manufacturing Agreement listed on </w:t>
      </w:r>
      <w:r>
        <w:rPr>
          <w:rFonts w:ascii="Times New Roman" w:cs="Times New Roman" w:eastAsia="Times New Roman" w:hAnsi="Times New Roman"/>
          <w:sz w:val="18"/>
          <w:szCs w:val="18"/>
          <w:u w:val="single" w:color="auto"/>
          <w:color w:val="auto"/>
        </w:rPr>
        <w:t>Schedule 12.1</w:t>
      </w:r>
      <w:r>
        <w:rPr>
          <w:rFonts w:ascii="Times New Roman" w:cs="Times New Roman" w:eastAsia="Times New Roman" w:hAnsi="Times New Roman"/>
          <w:sz w:val="18"/>
          <w:szCs w:val="18"/>
          <w:color w:val="auto"/>
        </w:rPr>
        <w:t xml:space="preserve"> of the Disclosure Letter and all amendments, restatements, amendment and restatements, extensions, supplements or other modifications thereto and (y) any Manufacturing Agreement which is in negotiation as of the Effective Date) relating to active pharmaceutical ingredients or finished products relating to the Product (i) that cannot be collaterally assigned to secure the Obligations, (ii) that cannot be assigned to a purchaser in a foreclosure sale of all or any portion of the Collateral (subject to assumption by the purchaser of all obligations under such Material Contract) in the event of any exercise of rights or remedies under the Loan Documents, or (iii) that contains provisions that restrict or penalize the granting of a security interest in or Lien on such Material Contract or the assignment of such Material Contract upon the sale or other disposition of all or a portion of a product to which such Material Contract relates, in each case without using its commercially reasonable efforts to ensure such Manufacturing Agreement does not contain the terms listed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84"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7.1 Payment Default</w:t>
      </w:r>
      <w:r>
        <w:rPr>
          <w:rFonts w:ascii="Times New Roman" w:cs="Times New Roman" w:eastAsia="Times New Roman" w:hAnsi="Times New Roman"/>
          <w:sz w:val="18"/>
          <w:szCs w:val="18"/>
          <w:color w:val="auto"/>
        </w:rPr>
        <w:t>. Any Credit Party fails to (a) make any payment of any principal of the Term Loans when and as the same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become due and payable, whether at the due date thereof (including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at a date fixed for prepayment (whether voluntary or mandatory) thereof or by acceleration thereof or otherwise, or (b) within five (5) Business Days after the same becomes due and payable, any payment of interest or premium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including any applicable Additional Consideration, Exit Consideration, Makewhole Amount or Prepayment Premium, or any other Obligations (which such five (5) Business Day cure period shall not apply to any such payments due on the Term Loan Maturity Date or such earlier date pursuant to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hereof or the date of acceleration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hereof). A failure to pay any such interest, premium or Obligations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prior to the end of such five (5) Business Day-period shall not constitute an Event of Default (unless such payment is due on the Term Loan Maturity Date or such earlier date pursuant to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hereof or the date of acceleration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Covenant Default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69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(i) fail or neglect to perform any obligation in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5.14 5.16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or (ii) violate or breach any covenant or agreement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fail or neglect to perform, keep, or observe any other term, provision, condition, covenant or agreement contained in this Agreement or any Loan Documents on its part to be performed, kept or observed and such failure or neglect continues for twenty (20) days, after the earlier of the date on which (i) a Responsible Officer of any Credit Party becomes aware of such failure or neglect and (ii) written notice thereof shall have been given to Borrower by the Collateral Agent or any Lender. Cure periods provided under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not apply, among other things, to any of the covenants referenced in clause (a) above.</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Withdrawal Event; Material Adverse Change</w:t>
      </w:r>
      <w:r>
        <w:rPr>
          <w:rFonts w:ascii="Times New Roman" w:cs="Times New Roman" w:eastAsia="Times New Roman" w:hAnsi="Times New Roman"/>
          <w:sz w:val="17"/>
          <w:szCs w:val="17"/>
          <w:color w:val="auto"/>
        </w:rPr>
        <w:t>. A Withdrawal Event or a Material Adverse Change occurs.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171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service of process seeking to attach, by trustee or similar process, any funds of any Credit Party or of any entity under the control of any Credit Party (including a Subsidiary) in excess of $10,000,000 on deposit or otherwise maintained with the Collateral Agent, or (ii) a notice of lien or levy is filed against any of material portion of Collateral by any Governmental Authority, and the same under sub-clauses (i)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are not, within thirty (30) days after the occurrence thereof, discharged or stayed (whether through the posting of a bond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Credit Extensions shall be made during any thirty (30) day cure period; or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Collateral is attached, seized, levied on, or comes into possession of a trustee or receiver, or (ii) any court order enjoins, restrains, or prevents Parent and its Subsidiaries from conducting any material part of their business, taken as a whole.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Insolvency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680" w:hanging="376"/>
        <w:spacing w:after="0"/>
        <w:tabs>
          <w:tab w:leader="none" w:pos="1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in a court of competent jurisdiction seeking:</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relief in respect of any Credit Party, or of a substantial part of the property of any Credit Party, under Title 11 of the United States Code, as now constituted or hereafter amended, or any other federal, state or foreign bankruptcy, insolvency, receivership or other similar law; (ii) the voluntary or involuntary appointment of a receiver, interim receiver, receiver and manager, administrative receiver, administrator, trustee, custodian, sequestrator, conservator or other similar official for or in respect of any Credit Party or for all or a substantial part of the property or assets or undertakings of any Credit Party; (iii) issuance of a warrant of attachment, execution, distraint or similar process against all or a substantial part of the property or assets or undertakings of any Credit Party; or (iv) the winding-up or liquidation of any Credit Party; and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such proceeding or petition shall continue undismissed or unstayed for sixty (60) days or an order or decree approving or ordering any of the foregoing shall be entered;</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Party shall: (i) voluntarily commence any proceeding or file any petition seeking relief under Title 11 of the United States Code, as now constituted or hereafter amended, or any other existing or future federal, state or foreign bankruptcy, insolvency, receivership, relief of debtors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(iii) apply for or consent to the appointment of a receiver, interim receiver, receiver and manager, administrative receiver, administrator, trustee, custodian, sequestrator, conservator or other similar official for or in respect of any Credit Party or for a substantial portion of the property or assets or undertakings of any Credit Party; (iv) file an answer admitting the material allegations of a petition filed against it in any such proceeding; (v) make a general assignment for the benefit of creditors or enter into a composition, compromise, assignment or arrangement with any of its creditors (whether by way of a voluntary arrangement, schedule of arrangement, deed of compromise or otherwise); (vi) become unable to, admit in writing its inability to or fail to, generally pay its debts as they become due; (vii) take any corporate action for the purpose of effecting any of the foregoing; or (viii) wind up or liquidate (except as otherwise expressly permitted hereunder);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7" w:name="page148"/>
    <w:bookmarkEnd w:id="147"/>
    <w:p>
      <w:pPr>
        <w:ind w:firstLine="1304"/>
        <w:spacing w:after="0" w:line="282" w:lineRule="auto"/>
        <w:tabs>
          <w:tab w:leader="none" w:pos="16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shall be insolvent as defined in any statute of the Bankruptcy Code or in the fraudulent conveyance or fraudulent transfer statutes of the State of Delaware or other applicable jurisdiction of organization;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0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affirmative vote by the applicable Board of Directors to commence any case, proceeding or other action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any other action by any Credit Party to otherwise cause, consent to, approve or acquiesce in any of the acts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Other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174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fails to pay any Indebtedness (other than the Indebtedness represented by this Agreement and the other Loan Documents) within any applicable grace period after such payment is due and payable (including at final maturity) or after the acceleration of any such Indebtedness by the holder(s) thereof because of a default, in each case, if the total amount of such Indebtedness unpaid or accelerated exceeds $10,000,000.</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fails to make any payments under the terms of the Pre-Paid Forward Contract when due or payable (after expiration of any applicable grace period) or an insolvency event or similar event occurs under the terms of the Pre-Paid Forward Contract.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7.7 Judgments</w:t>
      </w:r>
      <w:r>
        <w:rPr>
          <w:rFonts w:ascii="Times New Roman" w:cs="Times New Roman" w:eastAsia="Times New Roman" w:hAnsi="Times New Roman"/>
          <w:sz w:val="18"/>
          <w:szCs w:val="18"/>
          <w:color w:val="auto"/>
        </w:rPr>
        <w:t>. One or more final, non-appealable judgments, orders, or decrees for the payment of money in an amount in excess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 (but excluding any final judgments, orders, or decrees for the payment of money covered by independent, third-party insurance as to which liability has not been denied or excluded by the insurance carrier or by an indemnification claim against a solvent and unaffiliated Person that is not a Credit Party as to which such Person has not denied liability for such claim), shall be rendered against one or more Credit Parties and the same are not, within thirty (30) days after the entry thereof, discharged or execution thereof stayed or bonded pending appeal, or such judgments are not discharged prior to the expiration of any such stay.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7.8 Misrepresentations</w:t>
      </w:r>
      <w:r>
        <w:rPr>
          <w:rFonts w:ascii="Times New Roman" w:cs="Times New Roman" w:eastAsia="Times New Roman" w:hAnsi="Times New Roman"/>
          <w:sz w:val="18"/>
          <w:szCs w:val="18"/>
          <w:color w:val="auto"/>
        </w:rPr>
        <w:t>. Any Credit Party or any Person acting for any Credit Party makes or is deemed to make any representation,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warranty, or other statement now or later in this Agreement, any other Loan Document or in any writing delivered to the Collateral Agent or any Lender or to induce the Collateral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7.9 Loan Documents; Collateral</w:t>
      </w:r>
      <w:r>
        <w:rPr>
          <w:rFonts w:ascii="Times New Roman" w:cs="Times New Roman" w:eastAsia="Times New Roman" w:hAnsi="Times New Roman"/>
          <w:sz w:val="18"/>
          <w:szCs w:val="18"/>
          <w:color w:val="auto"/>
        </w:rPr>
        <w:t>. Any material provision of any Loan Document shall for any reason cease to be valid and binding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against any Credit Party, or any Credit Party shall so state in writing or bring an action to limit its obligations or liabilities thereunder; or any Collateral Document shall for any reason (other than pursuant to the terms thereof) cease to create a valid security interest in any material portion of the Collateral purported to be covered thereby or such security interest shall for any reason (other than pursuant to the terms of the Loan Documents) cease to be a perfected and first priority security interest in any material portion of the Collateral subject thereto, subject only to Permitted Liens, in each case, other than as a direct result of any action by the Collateral Agent or any Lender or failure of the Collateral Agent or any Lender to perform an obligation thereof under the Loan Documents.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7.10 ERISA Event</w:t>
      </w:r>
      <w:r>
        <w:rPr>
          <w:rFonts w:ascii="Times New Roman" w:cs="Times New Roman" w:eastAsia="Times New Roman" w:hAnsi="Times New Roman"/>
          <w:sz w:val="18"/>
          <w:szCs w:val="18"/>
          <w:color w:val="auto"/>
        </w:rPr>
        <w:t>. An ERISA Event occurs that, individually or taken together with any other ERISA Events, results or could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Change, or the imposition of a Lien under Section 303(k) of ERISA on any Collateral that could reasonably be expected to, individually or in the aggregate, result in a Material Adverse Change.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7.11 Intercreditor Agreement</w:t>
      </w:r>
      <w:r>
        <w:rPr>
          <w:rFonts w:ascii="Times New Roman" w:cs="Times New Roman" w:eastAsia="Times New Roman" w:hAnsi="Times New Roman"/>
          <w:sz w:val="18"/>
          <w:szCs w:val="18"/>
          <w:color w:val="auto"/>
        </w:rPr>
        <w:t>. A material default or breach occurs under the RTW Intercreditor Agreement or any other 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intercreditor or other similar agreement with respect to any Permitted Indebtedness that constitutes Subordinated Debt or Permitted Convertible Indebtedness, or any creditor party to such an agreement with the Collateral Agent (or Lenders) and any Credit Party breaches the terms of such agreement in any material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material defaults or breaches for the purposes of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include breaches of payment, enforcement and subordination provisions or restrictions. For the avoidance of doubt, default or breaches by any Secured Party shall not constitute an Event of Default hereunder.</w:t>
      </w:r>
    </w:p>
    <w:p>
      <w:pPr>
        <w:spacing w:after="0" w:line="182"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 UPON AN EVENT OF DEFAULT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8.1 Rights and Remedies</w:t>
      </w:r>
      <w:r>
        <w:rPr>
          <w:rFonts w:ascii="Times New Roman" w:cs="Times New Roman" w:eastAsia="Times New Roman" w:hAnsi="Times New Roman"/>
          <w:sz w:val="18"/>
          <w:szCs w:val="18"/>
          <w:color w:val="auto"/>
        </w:rPr>
        <w:t>. While an Event of Default occurs and continues, the Collateral Agent may, or at the request of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will, without notice or demand:</w:t>
      </w:r>
    </w:p>
    <w:p>
      <w:pPr>
        <w:spacing w:after="0" w:line="159" w:lineRule="exact"/>
        <w:rPr>
          <w:sz w:val="20"/>
          <w:szCs w:val="20"/>
          <w:color w:val="auto"/>
        </w:rPr>
      </w:pPr>
    </w:p>
    <w:p>
      <w:pPr>
        <w:jc w:val="both"/>
        <w:ind w:firstLine="1304"/>
        <w:spacing w:after="0" w:line="255" w:lineRule="auto"/>
        <w:tabs>
          <w:tab w:leader="none" w:pos="176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all Obligations (including, for the avoidance of doubt, any and all amounts payable pursuant to </w:t>
      </w:r>
      <w:r>
        <w:rPr>
          <w:rFonts w:ascii="Times New Roman" w:cs="Times New Roman" w:eastAsia="Times New Roman" w:hAnsi="Times New Roman"/>
          <w:sz w:val="18"/>
          <w:szCs w:val="18"/>
          <w:u w:val="single" w:color="auto"/>
          <w:color w:val="auto"/>
        </w:rPr>
        <w:t>Section 2.2(e), 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 each case as applicable) immediately due and payable (but if an Event of Default described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occurs, all Obligations, including any and all amounts payable pursuant to </w:t>
      </w:r>
      <w:r>
        <w:rPr>
          <w:rFonts w:ascii="Times New Roman" w:cs="Times New Roman" w:eastAsia="Times New Roman" w:hAnsi="Times New Roman"/>
          <w:sz w:val="18"/>
          <w:szCs w:val="18"/>
          <w:u w:val="single" w:color="auto"/>
          <w:color w:val="auto"/>
        </w:rPr>
        <w:t>Section 2.2(e), Section 2.2(f), Section 2.4 and Section 2.7</w:t>
      </w:r>
      <w:r>
        <w:rPr>
          <w:rFonts w:ascii="Times New Roman" w:cs="Times New Roman" w:eastAsia="Times New Roman" w:hAnsi="Times New Roman"/>
          <w:sz w:val="18"/>
          <w:szCs w:val="18"/>
          <w:color w:val="auto"/>
        </w:rPr>
        <w:t xml:space="preserve">, as applicable, are automatically and immediately due and payable without any notice, demand or other action by the Collateral Agent or any Lender), whereupon all Obligations for principal, interest, premium or otherwise (including, for the avoidance of doubt,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in each case as applicable) shall become due and payable by Borrower without presentment for payment, demand, notice of protest or other demand or notice of any kind, which are all expressly waived by the Credit Parties hereby;</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Borrower’s benefit under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adjust disputes and claims directly with Account Debtors for amounts on terms and in any order that the Collateral Agent considers advisable, notify any Person owing Borrower money of the Collateral Agent’s security interest, for the benefit of the Lenders and the other Secured Parties, in such funds, and verify the amount of the Collateral Accounts;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payments and do any acts it considers necessary or reasonable to protect the Collateral or the Collateral Agent’s security interest, for the benefit of Lenders and the other Secured Parties, in the Collateral. Parent or Borrower, as applicable, shall assemble the Collateral if the Collateral Agent or the Required Lenders requests and make it available as the Collateral Agent designates or the Required Lenders designate. The Collateral Agent or its agents or representatives may enter premises where the Collateral is located, take and maintain possession of any part of the Collateral, and pay, purchase, contest, or compromise any Lien that appears to be prior or superior to its security interest, for the benefit of Lenders and the other Secured Parties, and pay all expenses incurred. Each of Parent and Borrower grants the Collateral Agent an irrevocable, royalty-free license or other right to enter, use, operate and occupy (and for its agents or representatives to enter, use, operate and occupy), without charge, any such premises to exercise any of the Collateral Agent’s or any Lender’s rights or remedies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(including in order to take possession of, collect, receive, assemble, process, appropriate, remove, realize upon, advertise for sale, sell, assign, license out, convey, transfer or grant options to purchase any Collateral);</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(i) any balances and deposits of Borrower it holds, (ii) any amount held by the Collateral Agent owing to or for the credit or the account of Borrower or (iii) any balance from any Collateral Account of any Credit Party or instruct the bank at which any such Collateral Account is maintained to pay the balance of any such Collateral Account to the Collateral Agent, for the benefit of Lenders and the other Secured Parties, or to any Lender on behalf of itself and the other Secured Parties, as the Collateral Agent shall direct;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ship, reclaim, recover, store, finish, maintain, repair, prepare for sale, advertise for sale, and sell the Collateral; and while an Event of Default occurs and continues, with respect to any and all Intellectual Property owned or held by any Credit Party and included in Collateral, each Credit Party hereby grants to the Collateral Agent, for the benefit of Lenders and the other Secured Parties, to the maximum extent permitted: an irrevocable, non-exclusive, assignable, royalty-free license or other right to use (and for its agents or representatives to use), without charge, including the right to sublicense, use and practice, any and all of such Credit Party’s rights to such Intellectual Property in order to take possession of, collect, receive, assemble, process, appropriate, remove, realize upon, advertise for sale, sell, assign, license out, convey, transfer or grant options to purchase any Collateral, and access to all media in which any of the licensed items may be recorded or stored and to all Software and programs used for the compilation or printout thereof; and in connection with the Collateral Agent’s exercise of its rights or remedies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(including in order to take possession of, collect, receive, assemble, process, appropriate, remove, realize upon, sell, assign, license out, convey, transfer or grant options to purchase any Collateral), each Credit Party’s rights under all licenses for rights to any Intellectual Property included in the Collateral will (to the maximum extent permitted) be exercisable and enforceable directly by the Collateral Agent for the benefit of all Secured Parties as if the Collateral Agent were a third-party beneficiary for such purpose under such licenses;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9" w:name="page150"/>
    <w:bookmarkEnd w:id="149"/>
    <w:p>
      <w:pPr>
        <w:ind w:firstLine="1304"/>
        <w:spacing w:after="0" w:line="282" w:lineRule="auto"/>
        <w:tabs>
          <w:tab w:leader="none" w:pos="17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the Collateral Agent 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the Books of any Credit Party regarding Collateral; and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the Collateral Agent or any Lender under the Collateral Documents or any other Loan Documents or at law or equity, including all remedies provided under the Code (including disposal of the Collateral pursuant to the terms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Collateral Agent and Lender agrees that in connection with any foreclosure or other exercise of rights under this Agreement or any other Loan Document with respect to any Intellectual Property included in the Collateral, the rights of the licensees under any license of such Intellectual Property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Collateral Agent’s or the Required Lenders’ request, representatives from Borrower and the Collateral Agent shall promptly meet (in person or telephonically) to discuss in good faith how to collect, receive, appropriate and realize upon Borrower’s rights and interests in, to and under any Company IP Agreement, including in connection with any foreclosure or other exercise of the Collateral Agent’s or any Lender’s rights with respect thereto. If Borrower and the Collateral Agent do not mutually agree with respect thereto within ten (10) Business Days after such request by the Collateral Agent (or such later date as agreed by the Collateral Agent), then the Collateral Agent may request Borrower to, and Borrower (promptly following the receipt of such request) shall, use reasonable best efforts to obtain the written consent of any counterparty to the exercise by the Collateral Agent or any Lender of any and all rights and remedies under this Agreement or any other Loan Document with respect to any Company IP Agreement, in form and substance reasonably satisfactory to the Collateral Agent.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8.2 Power of Attorney</w:t>
      </w:r>
      <w:r>
        <w:rPr>
          <w:rFonts w:ascii="Times New Roman" w:cs="Times New Roman" w:eastAsia="Times New Roman" w:hAnsi="Times New Roman"/>
          <w:sz w:val="18"/>
          <w:szCs w:val="18"/>
          <w:color w:val="auto"/>
        </w:rPr>
        <w:t>. Borrower hereby irrevocably appoints the Collateral Agent and any Related Party thereof as its lawful attorney-in-fact, 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Collateral Accounts directly with depository banks where the Collateral Accounts are maintained, for amounts and on terms the Collateral Agent determines reasonable; (d) make, settle, and adjust all claims under Borrower’s products liability or general liability insurance policies maintained in any jurisdiction regarding Collateral; (e) pay, contest or settle any Lien, charge, encumbrance, security interest, and adverse claim in or to the Collateral, or any judgment based thereon, or otherwise take any action to terminate or discharge the same; and (f) transfer the Collateral into the name of the Collateral Agent or a third party as the Code permits. Borrower hereby appoints the Collateral Agent and any Related Party thereof as its lawful attorney-in-fact to file or record any documents necessary to perfect or continue the perfection of the Collateral Agent’s security interest, for the benefit of Lenders and the other Secured Parties, in the Collateral regardless of whether an Event of Default has occurred until all Obligations (other than contingent indemnification obligations to the extent no claim giving rise thereto has been asserted) have been satisfied in full and no Lender is under any further obligation to make Credit Extensions hereunder. The foregoing appointment of the Collateral Agent and any Related Party thereof as Borrower’s attorney in fact, and all of the Collateral Agent’s (or such Related Party’s) rights and powers, coupled with an interest, are irrevocable until all Obligations (other than contingent indemnification obligations to the extent no claim giving rise thereto has been asserted) have been fully repaid and performed and each Lender’s obligation to provide Credit Extensions terminates.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8.3 Application of Payments and Proceeds Upon Default</w:t>
      </w:r>
      <w:r>
        <w:rPr>
          <w:rFonts w:ascii="Times New Roman" w:cs="Times New Roman" w:eastAsia="Times New Roman" w:hAnsi="Times New Roman"/>
          <w:sz w:val="18"/>
          <w:szCs w:val="18"/>
          <w:color w:val="auto"/>
        </w:rPr>
        <w:t>. If an Event of Default has occurred and is continuing, the Collateral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any funds in its possession, whether from Borrower account balances, payments, proceeds realized as the result of any collection of Collateral Accounts or disposition of any other Collateral, or otherwise, to the Obligations in such order as the Collateral Agent shall determine in its sole discretion. Any surplus shall be paid to Borrower or other Persons legally entitled thereto; Borrower shall remain liable to Lenders for any deficiency. If the Collateral Agent or any Lender directly or indirectly enters into a deferred payment or other credit transaction with any purchaser at any sale of Collateral, the Collateral Agent or such Lender, as applicable, shall have the option, exercisable at any time, of either reducing the Obligations by the principal amount of the purchase price or deferring the reduction of the Obligations until the actual receipt by the applicable Lender(s) of cash therefor.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8.4 Collateral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Liability for Collateral</w:t>
      </w:r>
      <w:r>
        <w:rPr>
          <w:rFonts w:ascii="Times New Roman" w:cs="Times New Roman" w:eastAsia="Times New Roman" w:hAnsi="Times New Roman"/>
          <w:sz w:val="18"/>
          <w:szCs w:val="18"/>
          <w:color w:val="auto"/>
        </w:rPr>
        <w:t>. So long as the Collateral Agent complies with Requirements of Law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safekeeping of the Collateral in the possession or under the control of the Collateral Agent and absent bad faith, gross negligence or willful misconduct of the Collateral Agent (as determined by a court of competent jurisdiction by final and nonappealable judgment), the Collateral Agent shall not be liable or responsible for: (a) the safekeeping of the Collateral; (b) any loss or damage to the Collateral; or (c) any act or default of any other Person. In no event shall the Collateral Agent or any Lender have any liability for any diminution in the value of the Collateral for any reason except as a result of the Collateral Agent’s bad faith, gross negligence or willful misconduct (as determined by a court of competent jurisdiction by final and nonappealable judgment). Subject to the foregoing, Borrower bears all risk of loss, damage or destruction of the Collateral.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8.5 No Waiver; Remedies Cumulative</w:t>
      </w:r>
      <w:r>
        <w:rPr>
          <w:rFonts w:ascii="Times New Roman" w:cs="Times New Roman" w:eastAsia="Times New Roman" w:hAnsi="Times New Roman"/>
          <w:sz w:val="18"/>
          <w:szCs w:val="18"/>
          <w:color w:val="auto"/>
        </w:rPr>
        <w:t>. The Collateral Agent’s or any Lender’s failure,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other Person of any provision of this Agreement or any other Loan Document shall not waive, affect, or diminish any right of the Collateral Agent or any Lender thereafter to demand strict performance and compliance herewith or therewith. No waiver hereunder shall be effective unless signed by the party granting the waiver and then is only effective for the specific instance and purpose for which it is given. Each of the Collateral Agent’s and Lender’s rights and remedies under this Agreement and the other Loan Documents are cumulative. Each of the Collateral Agent and Lenders has all rights and remedies provided under the Code, by law, or in equity. The exercise by the Collateral Agent or any Lender of one right or remedy is not an election and shall not preclude the Collateral Agent or any Lender from exercising any other remedy under this Agreement or other remedy available at law or in equity, and the waiver by the Collateral Agent or any Lender of any Event of Default is not a continuing waiver. The Collateral Agent’s or any Lender’s delay in exercising any remedy is not a waiver, election, or acquiescence.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8.6 Demand Waiver; Makewhole Amount; Prepayment Premium; Exit Consideration</w:t>
      </w:r>
      <w:r>
        <w:rPr>
          <w:rFonts w:ascii="Times New Roman" w:cs="Times New Roman" w:eastAsia="Times New Roman" w:hAnsi="Times New Roman"/>
          <w:sz w:val="18"/>
          <w:szCs w:val="18"/>
          <w:color w:val="auto"/>
        </w:rPr>
        <w:t>. Borrower waives demand, notice of default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dishonor, notice of payment and nonpayment, notice of any default, nonpayment at maturity, release, compromise, settlement, extension, or renewal of accounts, documents, instruments, chattel paper, and guarantees held by the Collateral Agent on which Borrower is liable. Borrower acknowledges and agrees that if the Obligations shall be or are prepaid or repaid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the maturity of the Obligations shall be accelerated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each of the applicable Makewhole Amount, Prepayment Premium and Exit Consideration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as applicable, shall become due and payable by Borrower upon such prepayment or repayment, whether such prepayment or repayment is voluntary or mandatory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such acceleration, whether automatic or effected by the Collateral Agent’s or any Lender’s declaration thereof (as provided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shall also become due and payable by Borrower in the event the Obligations are satisfied or released by foreclosure (whether by power of judicial proceeding), deed in lieu of foreclosure or by any other similar means, and in all such cases Borrower shall pay each of the Makewhole Amount, Prepayment Premium and Exit Consideration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as applicable, as compensation to Lenders for the loss of its investment opportunity and not as a penalty, and Borrower waives any right to object thereto in any voluntary or involuntary bankruptcy, insolvency or similar proceeding or otherwise.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1" w:name="page152"/>
    <w:bookmarkEnd w:id="151"/>
    <w:p>
      <w:pPr>
        <w:ind w:left="1300" w:hanging="644"/>
        <w:spacing w:after="0"/>
        <w:tabs>
          <w:tab w:leader="none" w:pos="13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(if any) indicated below. Any party to this Agreement may change its mailing or electronic mail address by giving all other parties hereto written notice thereof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If to Borrower or any other Credit Party: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 UroGen Pharma Ltd.</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400 Alexander Park Drive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chris.degnan@urogen.com and legal@urogen.com</w:t>
      </w: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with copies to (which shall not constitute notice) to:</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Cooley LLP 1333 2nd Street</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Attn: Ellie Seber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Facsimile: +1 (310) 883 6500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eseber@cooley.com</w:t>
      </w:r>
    </w:p>
    <w:p>
      <w:pPr>
        <w:sectPr>
          <w:pgSz w:w="11900" w:h="16838" w:orient="portrait"/>
          <w:cols w:equalWidth="0" w:num="1">
            <w:col w:w="11240"/>
          </w:cols>
          <w:pgMar w:left="320" w:top="576" w:right="339" w:bottom="0" w:gutter="0" w:footer="0" w:header="0"/>
        </w:sectPr>
      </w:pP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MUFG Corporate Governance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Lime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EC3M 7DQ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biopharmacreditplc@cm.mpms.mufg.com</w:t>
      </w:r>
    </w:p>
    <w:p>
      <w:pPr>
        <w:spacing w:after="0" w:line="200" w:lineRule="exact"/>
        <w:rPr>
          <w:sz w:val="20"/>
          <w:szCs w:val="20"/>
          <w:color w:val="auto"/>
        </w:rPr>
      </w:pPr>
    </w:p>
    <w:p>
      <w:pPr>
        <w:sectPr>
          <w:pgSz w:w="11900" w:h="16838" w:orient="portrait"/>
          <w:cols w:equalWidth="0" w:num="2">
            <w:col w:w="3860" w:space="640"/>
            <w:col w:w="6740"/>
          </w:cols>
          <w:pgMar w:left="320" w:top="576" w:right="339" w:bottom="0" w:gutter="0" w:footer="0" w:header="0"/>
          <w:type w:val="continuous"/>
        </w:sectPr>
      </w:pP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 Pharmakon Advisors, LP</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110 East 59th Street, # 2800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Facsimile: +1 (917) 210-4048</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pharmakon@pharmakonadvisors.com</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Facsimile: +1 (212) 872-1002</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gsecol@akingump.com</w:t>
      </w:r>
    </w:p>
    <w:p>
      <w:pPr>
        <w:spacing w:after="0" w:line="207"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8"/>
          <w:szCs w:val="18"/>
          <w:color w:val="auto"/>
        </w:rPr>
        <w:t>If to any Lender:</w:t>
      </w:r>
      <w:r>
        <w:rPr>
          <w:sz w:val="20"/>
          <w:szCs w:val="20"/>
          <w:color w:val="auto"/>
        </w:rPr>
        <w:tab/>
      </w:r>
      <w:r>
        <w:rPr>
          <w:rFonts w:ascii="Times New Roman" w:cs="Times New Roman" w:eastAsia="Times New Roman" w:hAnsi="Times New Roman"/>
          <w:sz w:val="17"/>
          <w:szCs w:val="17"/>
          <w:color w:val="auto"/>
        </w:rPr>
        <w:t xml:space="preserve">To the address of such Lender set forth on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attached hereto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Pharmakon Advisors, LP</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110 East 59th Street, #2800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Facsimile: +1 (917) 210-4048</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pharmakon@pharmakonadvisors.com</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Facsimile: +1 (212) 872-1002</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gsecol@akingump.com</w:t>
      </w:r>
    </w:p>
    <w:p>
      <w:pPr>
        <w:sectPr>
          <w:pgSz w:w="11900" w:h="16838" w:orient="portrait"/>
          <w:cols w:equalWidth="0" w:num="1">
            <w:col w:w="11240"/>
          </w:cols>
          <w:pgMar w:left="320" w:top="576" w:right="339" w:bottom="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ind w:left="1300" w:hanging="644"/>
        <w:spacing w:after="0"/>
        <w:tabs>
          <w:tab w:leader="none" w:pos="13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AGREEMENT AND THE OTHER LOAN DOCUMENTS (EXCLUDING THOSE LOAN DOCUMENTS THAT BY THEIR OWN TERMS ARE EXPRESSLY GOVERNED BY THE LAWS OF ANOTHER JURISDICTION) SHALL BE GOVERNED BY, AND CONSTRUED AND INTERPRETED IN ACCORDANCE WITH THE LAWS OF THE STATE OF NEW YORK,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LAWS OF ANY JURISDICTION OTHER THAN NEW YORK SHALL GOVERN IN REGARD TO THE VALIDITY, PERFECTION OR EFFECT OF PERFECTION OF ANY LIEN OR IN REGARD TO PROCEDURAL MATTERS AFFECTING THE ENFORCEMENT OF ANY LIENS IN COLLATERAL, SUCH LAWS OF SUCH OTHER JURISDICTIONS SHALL APPLY TO THAT EXTENT. Except as contemplated by the immediately succeeding paragraph,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be deemed to operate to preclude the Collateral Agent or any Lender from bringing suit or taking other legal action in any other jurisdiction to realize on the Collateral or any other security for the Obligations, or to enforce a judgment or other court order in favor of the Collateral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preceding paragraph notwithstanding, each of the Collateral Agent or Lenders may, in its sole discretion and election, initiate and file legal proceedings in any matter related to this Agreement in the State of Israel. In any such event, the competent courts in Tel-Aviv-Jaffa, Israel, shall have sole and exclusive jurisdiction in relation to any such proceeding.</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THEEVENT OF LITIGATION, SEEK TO ENFORCE THE FOREGOING WAIVER, (B) ACKNOWLEDGES THAT IT AND THE OTHER PARTIES HERETO HAVE BEEN INDUCED TO ENTER INTO THIS AGREEMENT BY THE MUTUAL WAIVERS AND CERTIFICATIONS IN THIS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b w:val="1"/>
          <w:bCs w:val="1"/>
          <w:color w:val="auto"/>
        </w:rPr>
        <w:t xml:space="preserve"> AND (C) HAS REVIEWED THIS WAIVER WITH ITS COUNSEL.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4" w:name="page155"/>
    <w:bookmarkEnd w:id="154"/>
    <w:p>
      <w:pPr>
        <w:ind w:left="660" w:right="7880" w:hanging="4"/>
        <w:spacing w:after="0" w:line="532" w:lineRule="auto"/>
        <w:tabs>
          <w:tab w:leader="none" w:pos="1308"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GENERAL PROVISIONS </w:t>
      </w:r>
      <w:r>
        <w:rPr>
          <w:rFonts w:ascii="Times New Roman" w:cs="Times New Roman" w:eastAsia="Times New Roman" w:hAnsi="Times New Roman"/>
          <w:sz w:val="17"/>
          <w:szCs w:val="17"/>
          <w:b w:val="1"/>
          <w:bCs w:val="1"/>
          <w:color w:val="auto"/>
        </w:rPr>
        <w:t>11.1 Successors and Assigns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b w:val="1"/>
          <w:bCs w:val="1"/>
          <w:color w:val="auto"/>
        </w:rPr>
      </w:pPr>
    </w:p>
    <w:p>
      <w:pPr>
        <w:ind w:left="1680" w:hanging="376"/>
        <w:spacing w:after="0"/>
        <w:tabs>
          <w:tab w:leader="none" w:pos="16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binds and is for the benefit of the parties hereto and their respective successors and permitted assigns.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Credit Party may transfer, pledge or assign this Agreement or any other Loan Document or any rights or obligations hereunder or thereunder without the prior written consent of each Lender. Subject to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 any Lender may at any time sell, transfer, assign or pledge this Agreement or any other Loan Document or any of its rights or obligations hereunder or thereunder, or grant a participation in all or any part of, or any interest in, such Lender’s obligations, rights or benefits under this Agreement and the other Loan Documents, including with respect to any Term Loan (or any portion thereof), to any other Lender, any Affiliate of any Lender or any third Person without Borrower’s consent (any such sale, transfer, assignment, pledge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may make a Lender Transfer to a Disqualified Assignee without Borrower’s prior written consent except after the occurrence and during the continuance of an Event of Default (in which case such consent is not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may make a Lender Transfer to any third Person if such Lender Transfer would result in material adverse tax consequences to Borrower or Parent, in the reasonable judgment of the Collateral Agent after consultation with Borrower, without Borrower’s prior written consent except after the occurrence and during the continuance of an Event of Default (in which case such consent is not required).</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7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Transfer in the form of a participation granted by any Lender to any third party, (i) such Lender’s obligations under this Agreement shall remain unchanged, (ii) such Lender shall remain solely responsible to the other parties hereto for the performance of its obligations hereunder, (iii) Borrower shall continue to deal solely and directly with such Lender in connection with such Lender’s rights and obligations under this Agreement and (iv) any agreement or instrument pursuant to which such Lender sells such participation shall provide that such Lender shall retain the sole right to enforce this Agreement and to approve any amendment, restatement, amendment and restatement, supplement or other modification hereto, in each case subject to the terms and conditions of this Agreement. Borrower agrees that each participant shall be entitled to the benefits of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shall be delivered to the applicable Lender)) to the same extent as if it were a Person that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participation, such participant shall not be entitled to receive any greater payment under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than the applicable Lender (i.e., the party that participated the interest) would have been entitled to receive, except to the extent of any entitlement to receive a greater payment resulting from a Change in Law that occurs after such participant acquired the applicable participation.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record any Lender Transfer in the Note Register. Each Lender shall provide Borrower and the Collateral Agent with written notice of a Lender Transfer delivered no later than five (5) Business Days prior (or immediately if known fewer than five (5) Business Days prior) to the date on which such Lender Transfer is proposed to be consummated. If any Lender sells a participation, such Lender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within the meaning of Section 5f.103-1(c) of the United States Treasury regulations (or any amended or successor version) or Section 163(f), 871(h)(2) and 881(c)(2) of the IRC and any related regulations (and any other relevant or successor provisions of the IRC or such regulations). The entries in the Participant Register shall be conclusive absent manifest error, and the Collateral Agent and each Lender shall treat each Person whose name is recorded in the Participant Register as the owner of such participation for all purposes of this Agreement notwithstanding any notice to the contrary.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5" w:name="page156"/>
    <w:bookmarkEnd w:id="155"/>
    <w:p>
      <w:pPr>
        <w:jc w:val="both"/>
        <w:ind w:firstLine="1304"/>
        <w:spacing w:after="0" w:line="266" w:lineRule="auto"/>
        <w:tabs>
          <w:tab w:leader="none" w:pos="167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attempted transfer, pledge or assignment of this Agreement or any other Loan Document or any rights or obligations hereunder or thereunder in violation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be null and void and neither Borrower nor any transfer agent shall give any effect in the Note Register to such attempted transfer.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2" w:lineRule="auto"/>
        <w:tabs>
          <w:tab w:leader="none" w:pos="16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indemnify and hold harmless each of the Collateral Agent, Lenders and its and their respective Affiliates (and its or their respective successors and assigns) and each manager, member, partner, controlling Person, director, officer, employee, agent or sub-agent, advisor and affiliate thereof (each such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Borrower shall have no obligation to any Indemnified Person hereunder with respect to any Indemnified Liabilities to the extent such Indemnified Liabilities (i) are determined by a court of competent jurisdiction by final and nonappealable judgment to have resulted from the bad faith, gross negligence or willful misconduct of such Indemnified Person (or the bad faith, gross negligence or willful misconduct of such Indemnified Person’s affiliates or controlling Persons or any of their respective managers, members, partners, controlling Persons, directors, officers, employees, agents or sub-agents, advisors or affiliates), (ii) result from a claim brought by Borrower against an Indemnified Person for material breach in bad faith of any of such Indemnified Person’s obligations hereunder or under any other Loan Document, if Borrower has obtained a final and nonappealable judgment in its favor on such claim as determined by a court of competent jurisdiction, (iii) result from a claim not involving an act or omission of Borrower or any of its Subsidiaries that is brought by an Indemnified Person against another Indemnified Person (other than against the Collateral Agent or any intercreditor agent in their respective capacities as such), or (iv) arise from a material breach of any obligation of such Indemnified Person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 Credit Party shall be liable for any settlement of any claim or proceeding effected by any Indemnified Person without the prior written consent of such Credit Party (which consent shall not be unreasonably withheld, conditioned or delayed), but if settled with such consent or if there shall be a final judgment against an Indemnified Person, each of the Credit Parties shall, jointly and severally with each other Credit Parties, indemnify and hold harmless such Indemnified Person from and against any loss or liability by reason of such settlement or judgment in the manner set forth in this Agreement.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shall not apply with respect to Taxes other than any Taxes that represent liabilities, obligations, losses, damages, penalties, claims, costs, expenses and disbursements arising from any non-Tax claim.</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Requirements of Law, no party to this Agreement shall assert, and each party to this Agreement hereby waives, any claim against any other party hereto (and its or their successors and assigns), and each manager, member,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Loan Document or any agreement or instrument contemplated hereby or thereby or referred to herein or therein, the transactions contemplated hereby or thereby, any Credit Extension or the use of the proceeds thereof or any act or omission or event occurring in connection therewith, and each party to this Agreement hereby waives, releases and agrees not to sue upon any such claim or any such damages, whether or not accrued and whether or not known or suspected to exist in its favor.</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by any Credit Party under or with respect to any Loan Document, even if required under any Loan Document, or at the request of the Collateral Agent or any Lender, shall be at the expense of such Credit Party, and neither the Collateral Agent nor any Secured Party shall be required under any Loan Document to reimburse any Credit Party or any Subsidiary of any Credit Party therefor except as expressly provided therein. In addition, and without limiting the generality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Borrower agrees to pay or reimburse upon demand each of the Collateral Agent and Lenders (and their respective successors and assigns) and each of their respective Related Parties, if applicable, for any and all fees, expenses and disbursements of the kind or nature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“Lender Expenses” or described in the definition of “Indemnified Liabilities” incurred by 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11.3 Severability of Provisions</w:t>
      </w:r>
      <w:r>
        <w:rPr>
          <w:rFonts w:ascii="Times New Roman" w:cs="Times New Roman" w:eastAsia="Times New Roman" w:hAnsi="Times New Roman"/>
          <w:sz w:val="18"/>
          <w:szCs w:val="18"/>
          <w:color w:val="auto"/>
        </w:rPr>
        <w:t>. In case any provision in or obligation hereunder or under any other Loan Document shall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jurisdiction, the validity, legality and enforceability of the remaining provisions or obligations, or of such provision or obligation in any other jurisdiction, shall not in any way be affected or impaired thereby.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11.4 Correction of Loan Documents</w:t>
      </w:r>
      <w:r>
        <w:rPr>
          <w:rFonts w:ascii="Times New Roman" w:cs="Times New Roman" w:eastAsia="Times New Roman" w:hAnsi="Times New Roman"/>
          <w:sz w:val="18"/>
          <w:szCs w:val="18"/>
          <w:color w:val="auto"/>
        </w:rPr>
        <w:t>. The Collateral Agent or Required Lenders may correct patent errors and fill in any blanks in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consistent with the agreement of the parties hereto so long as the Collateral Agent or Required Lenders, as applicable, provides the Credit Parties and the other parties hereto with written notice of such correction and allows the Credit Parties at least ten (10) days to object to such correction in writing delivered to the Collateral Agent and each Lender. In the event of such objection, such correction shall not be made except by an amendment to this Agreement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Amendments in Writing; Integration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68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restatement, amendment and restatement or other modification of or supplement to any provision of this Agreement or any other Loan Document,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and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restatement, amendment and restatement, modification, supplement, waiver, discharge, termination, approval or consent shall, unless in writing and signed by the Collateral Agent and the Required Lenders, affect the rights or duties of, or any amounts payable to, the Collateral Agent under this Agreement or any other Loan Document. Any such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11.6 Counterparts</w:t>
      </w:r>
      <w:r>
        <w:rPr>
          <w:rFonts w:ascii="Times New Roman" w:cs="Times New Roman" w:eastAsia="Times New Roman" w:hAnsi="Times New Roman"/>
          <w:sz w:val="18"/>
          <w:szCs w:val="18"/>
          <w:color w:val="auto"/>
        </w:rPr>
        <w:t>. This Agreement may be executed in any number of counterparts and by different parties on separate counterparts,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when executed and delivered, is an original, and all taken together, constitute one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11.7 Survival; Termination</w:t>
      </w:r>
      <w:r>
        <w:rPr>
          <w:rFonts w:ascii="Times New Roman" w:cs="Times New Roman" w:eastAsia="Times New Roman" w:hAnsi="Times New Roman"/>
          <w:sz w:val="18"/>
          <w:szCs w:val="18"/>
          <w:color w:val="auto"/>
        </w:rPr>
        <w:t>. All covenants, representations and warranties made in this Agreement continue in full force until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has terminated pursuant to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and all Obligations (other than contingent indemnification obligations to the extent no claim giving rise thereto has been asserted and any other obligations which, by their terms, are to survive the termination of this Agreement) have been paid in full and satisfied in accordance with the terms of this Agreement. The obligation of Borrower or any other the Credit Parties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to indemnify Indemnified Persons shall survive until the statute of limitations with respect to such claim or cause of action shall have run. So long as all Obligations (other than contingent indemnification obligations to the extent no claim giving rise thereto has been asserted and any other obligations which, by their terms, are to survive the termination of this Agreement and for which no claim has been made) have been paid in full and satisfied in accordance with the terms of this Agreement, this Agreement and the other Loan Documents shall be terminated automatically upon payment in full of all Obligations.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7" w:name="page158"/>
    <w:bookmarkEnd w:id="15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11.8 Confidentiality</w:t>
      </w:r>
      <w:r>
        <w:rPr>
          <w:rFonts w:ascii="Times New Roman" w:cs="Times New Roman" w:eastAsia="Times New Roman" w:hAnsi="Times New Roman"/>
          <w:sz w:val="18"/>
          <w:szCs w:val="18"/>
          <w:color w:val="auto"/>
        </w:rPr>
        <w:t>. Any information regarding the Credit Parties and their Subsidiaries and their businesses provided to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or any Lender by or on behalf of any Credit Party pursuant to the Loan Documents shall be deemed “Confidential Information”; provided, however, that Confidential Information does not include information that is either: (i) in the public domain or in the possession of the Collateral Agent, any Lender or any of their respective Affiliates or when disclosed to the Collateral Agent, any Lender or any of their respective Affiliates, or becomes part of the public domain after disclosure to the Collateral Agent, any Lender or any of their respective Affiliates, in each case, other than as a result of a breach by the Collateral Agent, any Lender or any of their respective Affiliates of the obligations under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or (ii) disclosed to the Collateral Agent, any Lender or any of their respective Affiliates by a third-party if the Collateral Agent, such Lender or such Affiliate, as applicable, does not know (following reasonable inquiry) that the third-party is prohibited from disclosing the information. Neither the Collateral Agent nor any Lender shall disclose any Confidential Information to a third-party or use Confidential Information for any purpose other than the administration of the Loan Documents, the exercise of its rights or remedies under the Loan Documents or the performance of its duties or obligations under the Loan Documents. The foregoing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notwithstanding, the Collateral Agent and each Lender may disclose Confidential Information: (a) to any of its Subsidiaries or Affiliates;</w:t>
      </w:r>
    </w:p>
    <w:p>
      <w:pPr>
        <w:spacing w:after="0" w:line="8" w:lineRule="exact"/>
        <w:rPr>
          <w:sz w:val="20"/>
          <w:szCs w:val="20"/>
          <w:color w:val="auto"/>
        </w:rPr>
      </w:pPr>
    </w:p>
    <w:p>
      <w:pPr>
        <w:jc w:val="both"/>
        <w:ind w:firstLine="8"/>
        <w:spacing w:after="0" w:line="250" w:lineRule="auto"/>
        <w:tabs>
          <w:tab w:leader="none" w:pos="26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prospective transferees, purchasers or participants of any interest in the Term Loans (including, for the avoidance of doubt, in connection with any proposed Lender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such disclosure to any Competitors shall be permitted hereunder without Borrower’s prior written consent (which consent shall not be required after the occurrence and during the continuance of an Event of Default); (c) as required by law, regulation, subpoena, or other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(x) prior to any disclosure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Collateral Agent or such Lender, as applicable, agrees to endeavor to provide Borrower with prior written notice thereof, and with respect to any law, regulation, subpoena or other order, to the extent that the Collateral Agent or such Lender is permitted to provide such prior notice to Borrower pursuant to the terms hereof, and (y) any disclosure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limited solely to that portion of the Confidential Information as may be specifically compelled by such law, regulation, subpoena or other order; (d) as the Collateral Agent or any Lender otherwise deems necessary or prudent under Sanctions, Anti-Money Laundering Laws, the Anti-Corruption Laws, or Export and Import Laws; (e) to the extent requested by regulators having jurisdiction over the Collateral Agent or such Lender or as otherwise required in connection with the Collateral Agent’s or such Lender’s examination or audit by such regulators (including any self-regulatory authority, such as the National Association of Insurance Commissioners); (f), as the Collateral Agent or such Lender considers reasonably necessary in exercising any rights or remedies under the Loan Documents or in connection with any proceeding relating to the Agreement or any other Loan Documents; (g) to any party hereto;</w:t>
      </w:r>
    </w:p>
    <w:p>
      <w:pPr>
        <w:spacing w:after="0" w:line="4" w:lineRule="exact"/>
        <w:rPr>
          <w:rFonts w:ascii="Times New Roman" w:cs="Times New Roman" w:eastAsia="Times New Roman" w:hAnsi="Times New Roman"/>
          <w:sz w:val="18"/>
          <w:szCs w:val="18"/>
          <w:color w:val="auto"/>
        </w:rPr>
      </w:pPr>
    </w:p>
    <w:p>
      <w:pPr>
        <w:jc w:val="both"/>
        <w:ind w:firstLine="8"/>
        <w:spacing w:after="0" w:line="255" w:lineRule="auto"/>
        <w:tabs>
          <w:tab w:leader="none" w:pos="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third-party service providers of the Collateral Agent or such Lender; and (i) to any of the Collateral Agent’s or such Lender’s Related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third parties to which Confidential Information is disclosed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are bound by obligations of confidentiality and non-use that are no less restrictive than those contained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survive the termination of this Agreement.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11.9 Attorneys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Fees, Costs and Expenses</w:t>
      </w:r>
      <w:r>
        <w:rPr>
          <w:rFonts w:ascii="Times New Roman" w:cs="Times New Roman" w:eastAsia="Times New Roman" w:hAnsi="Times New Roman"/>
          <w:sz w:val="18"/>
          <w:szCs w:val="18"/>
          <w:color w:val="auto"/>
        </w:rPr>
        <w:t>. In any action or proceeding between, on the one hand, any Credit Party and, on the other hand,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Collateral Agent or any Lender, arising out of or relating to the Loan Documents other than in connection with the enforcement against any Credit Party of this Agreement or any other Loan Document,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11.10 Right of Set-Off</w:t>
      </w:r>
      <w:r>
        <w:rPr>
          <w:rFonts w:ascii="Times New Roman" w:cs="Times New Roman" w:eastAsia="Times New Roman" w:hAnsi="Times New Roman"/>
          <w:sz w:val="18"/>
          <w:szCs w:val="18"/>
          <w:color w:val="auto"/>
        </w:rPr>
        <w:t>. In addition to any rights now or hereafter granted under Requirements of Law and not by way of limitation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rights, upon the occurrence of an Event of Default and at any time thereafter during the continuance of any Event of Default, each Lender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 Credit Party to such Lender hereunder and under the other Loan Documents, including all claims of any nature or description arising out of or connected hereto or with any other Loan Document, irrespective of whether or not (a) the Collateral Agent or such Lender shall have made any demand hereunder or</w:t>
      </w:r>
    </w:p>
    <w:p>
      <w:pPr>
        <w:spacing w:after="0" w:line="5" w:lineRule="exact"/>
        <w:rPr>
          <w:sz w:val="20"/>
          <w:szCs w:val="20"/>
          <w:color w:val="auto"/>
        </w:rPr>
      </w:pPr>
    </w:p>
    <w:p>
      <w:pPr>
        <w:jc w:val="both"/>
        <w:ind w:firstLine="8"/>
        <w:spacing w:after="0" w:line="253" w:lineRule="auto"/>
        <w:tabs>
          <w:tab w:leader="none" w:pos="26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of or the interest on the Term Loans or any other amounts due hereunder shall have become due and payable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although such obligations and liabilities, or any of them, may be contingent or unmatured. Each Lender agrees promptly to notify Borrower and the Collateral Agent after any such set 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such notice shall not affect the validity of such set off and application.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11.11 Marshalling; Payments Set Aside</w:t>
      </w:r>
      <w:r>
        <w:rPr>
          <w:rFonts w:ascii="Times New Roman" w:cs="Times New Roman" w:eastAsia="Times New Roman" w:hAnsi="Times New Roman"/>
          <w:sz w:val="18"/>
          <w:szCs w:val="18"/>
          <w:color w:val="auto"/>
        </w:rPr>
        <w:t>. Neither the Collateral Agent nor any Lender shall be under any obligation to marshal any assets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any Credit Party or any other Person or against or in payment of any or all of the Obligations. To the extent that any Credit Party makes a payment or payments to any Lender, or the Collateral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8" w:name="page159"/>
    <w:bookmarkEnd w:id="15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11.12 Electronic Execution of Documents</w:t>
      </w:r>
      <w:r>
        <w:rPr>
          <w:rFonts w:ascii="Times New Roman" w:cs="Times New Roman" w:eastAsia="Times New Roman" w:hAnsi="Times New Roman"/>
          <w:sz w:val="18"/>
          <w:szCs w:val="18"/>
          <w:color w:val="auto"/>
        </w:rPr>
        <w:t>. The words “execution,” “execute,” “signed,” “signature,” and words of like import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Requirements of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11.13 Captions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purpose or be given any substantive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11.14 Construction of Agreement</w:t>
      </w:r>
      <w:r>
        <w:rPr>
          <w:rFonts w:ascii="Times New Roman" w:cs="Times New Roman" w:eastAsia="Times New Roman" w:hAnsi="Times New Roman"/>
          <w:sz w:val="18"/>
          <w:szCs w:val="18"/>
          <w:color w:val="auto"/>
        </w:rPr>
        <w:t>. The parties hereto mutually acknowledge that they and their respective attorneys have participated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preparation and negotiation of this Agreement. In cases of uncertainty, this Agreement shall be construed without regard to which of the parties hereto caused the uncertainty to exist.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11.15 Third Parties</w:t>
      </w:r>
      <w:r>
        <w:rPr>
          <w:rFonts w:ascii="Times New Roman" w:cs="Times New Roman" w:eastAsia="Times New Roman" w:hAnsi="Times New Roman"/>
          <w:sz w:val="18"/>
          <w:szCs w:val="18"/>
          <w:color w:val="auto"/>
        </w:rPr>
        <w:t>. Nothing in this Agreement, whether express or implied, is intended to: (a) except as expressly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11.2(a)</w:t>
      </w:r>
      <w:r>
        <w:rPr>
          <w:rFonts w:ascii="Times New Roman" w:cs="Times New Roman" w:eastAsia="Times New Roman" w:hAnsi="Times New Roman"/>
          <w:sz w:val="18"/>
          <w:szCs w:val="18"/>
          <w:color w:val="auto"/>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11.16 No Advisory or Fiduciary Duty</w:t>
      </w:r>
      <w:r>
        <w:rPr>
          <w:rFonts w:ascii="Times New Roman" w:cs="Times New Roman" w:eastAsia="Times New Roman" w:hAnsi="Times New Roman"/>
          <w:sz w:val="18"/>
          <w:szCs w:val="18"/>
          <w:color w:val="auto"/>
        </w:rPr>
        <w:t>. The Collateral Agent and each Lender may have economic interests that conflict with those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Parties. Each Credit Party agrees that nothing in the Loan Documents or otherwise will be deemed to create an advisory, fiduciary or agency relationship or fiduciary or other implied duty between any Lender or the Collateral Agent, on the one hand, and such Credit Party, its Subsidiaries, and any of their respective stockholders or affiliates, on the other hand. Each Credit Party acknowledges and agrees that (i) the transactions contemplated by the Loan Documents are arm’s-length commercial transactions between each Lender and the Collateral Agent, on the one hand, and such Credit Party, its Subsidiaries and their respective affiliates, on the other hand, (ii) in connection therewith and with the process leading to such transaction, the Collateral Agent and each Lender is acting solely as a principal and not the advisor, agent or fiduciary of such Credit Party, its Subsidiaries or their respective affiliates, management, stockholders, creditors or any other Person, (iii) neither the Collateral Agent nor any Lender has assumed an advisory or fiduciary responsibility in favor of any Credit Party, its Subsidiaries or their respective affiliates with respect to the transactions contemplated hereby or the process leading thereto (irrespective of whether the Collateral Agent or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will not claim that the Collateral Agent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11.17 Credit 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 Each of the Credit Parties hereby irrevocably appoints Borrower, as its agent, attorney-in-fact and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for all purposes, including requesting disbursement of the Term Loans and receiving account statements and other notices and communications to Credit Parties (or any of them) from the Collateral Agent or the Lenders, executing amendments, waivers or other modifications of or supplements to Loan Documents and executing or designating new Loan Documents. The Collateral Agent or the Lenders may rely, and shall be fully protected in relying, on any request for the Term Loans, disbursement instruction, report, information or any other notice or communication made or given by Borrower and any amendment, restatement, amendment and restatement, waiver or other modification of or supplement to a Loan Document or the execution or designation of new Loan Documents executed or made by Borrower, whether in its own name or on behalf of one or more of the other Credit Parties, and the Collateral Agent or the Lenders shall not have any obligation to make any inquiry or request any confirmation from or on behalf of any other Credit Party as to the binding effect on it of any such request, instruction, report, information, other notice, communication, amendment, restatement, amendment and restatement, supplement, waiver, other modification, execution or designation, nor shall the joint and several character of the Credit Parties’ obligations hereunder be affected thereby.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9" w:name="page160"/>
    <w:bookmarkEnd w:id="15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11.18 Reaffirmation of Loan Documents; Confirmation of Liens</w:t>
      </w:r>
      <w:r>
        <w:rPr>
          <w:rFonts w:ascii="Times New Roman" w:cs="Times New Roman" w:eastAsia="Times New Roman" w:hAnsi="Times New Roman"/>
          <w:sz w:val="18"/>
          <w:szCs w:val="18"/>
          <w:color w:val="auto"/>
        </w:rPr>
        <w:t>. Except to the extent that any Loan Document (as defined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Agreement) is being explicitly terminated, replaced or amended and restated in connection with the amendment and restatement being implemented hereby, each such Loan Document shall continue to be in full force and effect and is hereby ratified and confirmed in all respects, except that, from and after the Effective Date, each reference in any such Loan Document to the “Loan Agreement,” “thereunder,” “thereof” or words of like import shall be deemed to mean references to this Second Amended and Restated Loan Agreement. As of the Effective Date, Borrower, Parent and each other Credit Party hereby (a) reaffirm each of its covenants, agreements and obligations contained in any such Loan Document, (b) reaffirm each guarantee, pledge and grant of a security interest made in favor of the Collateral Agent under or in connection with the Prior Loan Agreement and any Loan Documents entered into in connection therewith and (c) agree that notwithstanding this amendment and restatement of the Prior Loan Agreement, such guarantees, pledges and grants of security interest in favor of the Collateral Agent shall continue in full force and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11.19</w:t>
        <w:tab/>
        <w:t>Effect of Amendment and Restatement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77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Prior Loan Agreement shall be amended, restated and superseded in its entirety. The parties hereto acknowledge and agree that (i) this Second Amended and Restated Loan Agreement and the other documents entered into in connection herewith do not constitute a novation, payment and reborrowing, or termination of the “Obligations” (as defined in the Prior Loan Agreement) under the Prior Loan Agreement, as in effect prior to the Effective Date but rather a substitution of certain of the terms contained therein, as set forth herein and (ii) such “Obligations” are in all respects continuing (as amended and restated hereby) as indebtedness and obligations outstanding under this Loan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Borrower shall repay in full all amounts owing in respect of each of the Prior Term Loan Notes in accordance with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of the Prior Loan Agreement and pay in full all outstanding Lender Expenses which have accrued prior to the Effective Date and are owing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of the Prior Loan Agreement on the Tranche A Closing Date in pursuant to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hereof (such payments to be deducted from the proceeds of the Tranche A Loan). On and after the Effective Date, the rights and obligations of the parties hereto shall be governed by this Loan Agreement, except that the rights and obligations of the parties hereto with respect to the period prior to the Effective Date shall be governed by the provisions of the Prior Loan Agreement as it existed prior to such amendment and restatement;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waivers granted under the Prior Loan Agreement prior to the Effective Date shall no longer be effective as of the Effective Date.</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amendment and restatement of the Prior Loan Agreement, Borrower, Parent and each other Credit Party release, waive and discharge any claims or causes of action which it may have against the Collateral Agent, and each of the Lenders (as each such term is defined in the Prior Loan Agreement) and any of the other holders of the Obligations (as defined in the Prior Loan Agreement) arising under the Prior Loan Agreement or any of the other Loan Documents (as defined in the Prior Loan Agreement) or relating to any of their performance thereunder.</w:t>
      </w:r>
    </w:p>
    <w:p>
      <w:pPr>
        <w:spacing w:after="0" w:line="176"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COLLATERAL AGENT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12.1 Appointment and Authority</w:t>
      </w:r>
      <w:r>
        <w:rPr>
          <w:rFonts w:ascii="Times New Roman" w:cs="Times New Roman" w:eastAsia="Times New Roman" w:hAnsi="Times New Roman"/>
          <w:sz w:val="18"/>
          <w:szCs w:val="18"/>
          <w:color w:val="auto"/>
        </w:rPr>
        <w:t>. Each Lender hereby irrevocably appoints BioPharma Credit PLC to act on its behalf as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Except for the first two (2) sentences of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and the first sentence and penultimate paragraph of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are solely for the benefit of the Collateral Agent and Lenders, and neither Borrower nor any other Credit Party shall have rights as a third party beneficiary of any of such provisions. Subject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any action required or permitted to be taken by the Collateral Agent hereunder shall be taken with the prior approval of the Required Lenders.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0" w:name="page161"/>
    <w:bookmarkEnd w:id="16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12.2 Rights as a Lender</w:t>
      </w:r>
      <w:r>
        <w:rPr>
          <w:rFonts w:ascii="Times New Roman" w:cs="Times New Roman" w:eastAsia="Times New Roman" w:hAnsi="Times New Roman"/>
          <w:sz w:val="18"/>
          <w:szCs w:val="18"/>
          <w:color w:val="auto"/>
        </w:rPr>
        <w:t>. The Person serving as the Collateral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Collateral Agent and the term “Lender” or “Lenders” shall, unless otherwise expressly indicated or unless the context otherwise requires, include the Person serving as the Collateral Agent hereunder in its individual capacity. Such Person and its Affiliates may lend money to, own securities of, act as the financial advisor or in any other advisory capacity for and generally engage in any kind of business with Borrower or any Subsidiary or other Affiliate thereof as if such Person were not the Collateral Agent hereunder and without any duty to account therefor to any Lender.</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Exculpatory Provisions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69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not have any duties or obligations to the Lenders except those expressly set forth herein and in the other Loan Documents to which it is a party. Without limiting the generality of the foregoing, with respect to the Lenders, the Collateral Agent:</w:t>
      </w:r>
    </w:p>
    <w:p>
      <w:pPr>
        <w:spacing w:after="0" w:line="161" w:lineRule="exact"/>
        <w:rPr>
          <w:rFonts w:ascii="Times New Roman" w:cs="Times New Roman" w:eastAsia="Times New Roman" w:hAnsi="Times New Roman"/>
          <w:sz w:val="18"/>
          <w:szCs w:val="18"/>
          <w:color w:val="auto"/>
        </w:rPr>
      </w:pPr>
    </w:p>
    <w:p>
      <w:pPr>
        <w:ind w:left="2160" w:hanging="370"/>
        <w:spacing w:after="0"/>
        <w:tabs>
          <w:tab w:leader="none" w:pos="21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or Event of Default has occurred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is continuing;</w:t>
      </w:r>
    </w:p>
    <w:p>
      <w:pPr>
        <w:spacing w:after="0" w:line="206" w:lineRule="exact"/>
        <w:rPr>
          <w:rFonts w:ascii="Times New Roman" w:cs="Times New Roman" w:eastAsia="Times New Roman" w:hAnsi="Times New Roman"/>
          <w:sz w:val="18"/>
          <w:szCs w:val="18"/>
          <w:color w:val="auto"/>
        </w:rPr>
      </w:pPr>
    </w:p>
    <w:p>
      <w:pPr>
        <w:jc w:val="both"/>
        <w:ind w:left="660" w:firstLine="1130"/>
        <w:spacing w:after="0" w:line="258" w:lineRule="auto"/>
        <w:tabs>
          <w:tab w:leader="none" w:pos="220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to which it is a party that the Collateral Agent is required to exercise as directed in writing by the Required Lenders (or such other number or percentage of the Lenders as shall be expressly provided for herein or in such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not be required to take any action that, in its opinion or the opinion of its counsel, may expose the Collateral Agent to liability or that is contrary to any Loan Document or Requirements of Law; and</w:t>
      </w:r>
    </w:p>
    <w:p>
      <w:pPr>
        <w:spacing w:after="0" w:line="183"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32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to which it is a party, have any duty to disclose, and shall not be liable for the failure to disclose, any information relating to any Credit Party or any of its Affiliates that is communicated to or obtained by the Person serving as the Collateral Agent or any of its Affiliates in any capacity.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not be liable for any action taken or not taken by it (i) with the consent or at the request of the Required Lenders (or such other number or percentage of the Lenders as shall be necessary, or as the Collateral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Borrower or a Lender.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elsewhere herein, other than to confirm receipt of items expressly required to be delivered to the Collateral Agent.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12.4 Reliance by Collateral Agent</w:t>
      </w:r>
      <w:r>
        <w:rPr>
          <w:rFonts w:ascii="Times New Roman" w:cs="Times New Roman" w:eastAsia="Times New Roman" w:hAnsi="Times New Roman"/>
          <w:sz w:val="18"/>
          <w:szCs w:val="18"/>
          <w:color w:val="auto"/>
        </w:rPr>
        <w:t>. The Collateral Agent shall be entitled to rely upon, and shall not incur any liability for relying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(who may be counsel for Borrower), independent accountants, manufacturing consultants and other experts selected by it, and shall not be liable for any action taken or not taken by it in accordance with the advice of any such counsel, accountants, consultants or experts.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1" w:name="page162"/>
    <w:bookmarkEnd w:id="16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12.5 Delegation of Duties</w:t>
      </w:r>
      <w:r>
        <w:rPr>
          <w:rFonts w:ascii="Times New Roman" w:cs="Times New Roman" w:eastAsia="Times New Roman" w:hAnsi="Times New Roman"/>
          <w:sz w:val="18"/>
          <w:szCs w:val="18"/>
          <w:color w:val="auto"/>
        </w:rPr>
        <w:t>. The Collateral Agent may perform any and all of its duties and exercise its rights and powers hereunder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other Loan Document by or through any one or more sub-agents appointed by the Collateral Agent. The Collateral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shall apply to any such sub-agent and to the Related Parties of the Collateral Agent and any such sub-agent. The Collateral Agent shall not be responsible for the negligence or misconduct of any sub-agent except to the extent that a court of competent jurisdiction determines in a final and nonappealable judgment that the Collateral Agent acted with gross negligence or willful misconduct in the selection of such sub-agent.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12.6 Resignation of Collateral Agent</w:t>
      </w:r>
      <w:r>
        <w:rPr>
          <w:rFonts w:ascii="Times New Roman" w:cs="Times New Roman" w:eastAsia="Times New Roman" w:hAnsi="Times New Roman"/>
          <w:sz w:val="18"/>
          <w:szCs w:val="18"/>
          <w:color w:val="auto"/>
        </w:rPr>
        <w:t>. The Collateral Agent may at any time give notice of its resignation to the Lenders and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the receipt of any such notice of resignation, the Required Lenders shall have the right, in consultation with Borrower so long as no Default or Event of Default has occurred and is continuing, to appoint a successor (which shall not be a Competitor except after the occurrence and during the continuance of an Event of Default).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that is a Related Party of the Collateral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whether or not a successor has been appointed or has accepted such appointment, such resignation shall become effective upon delivery of the notice thereof. Upon the acceptance of a successor’s appointment as Collateral Agent hereunder, such successor shall succeed to and become vested with all of the rights, powers, privileges and duties of the retiring (or retired) Collateral Agent, and the retiring Collateral Agent shall be discharged from all of its duties and obligations under the Loan Documents (if not already discharged therefrom as provided above in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After the retiring Collateral Agent’s resignation,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continue in effect for the benefit of such retiring Collateral Agent, its sub-agents and their respective Related Parties in respect of any actions taken or omitted to be taken by any of them while the retiring Collateral Agent was acting as Collateral Agent. Upon any resignation by the Collateral Agent, all payments, communications and determinations provided to be made by, to or through the Collateral Agent shall instead be made by, to or through each Lender directly, until such time as a Person accepts an appointment as Collateral Agent in accordance with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12.7 Non-Reliance on Collateral Agent and Other Lenders</w:t>
      </w:r>
      <w:r>
        <w:rPr>
          <w:rFonts w:ascii="Times New Roman" w:cs="Times New Roman" w:eastAsia="Times New Roman" w:hAnsi="Times New Roman"/>
          <w:sz w:val="18"/>
          <w:szCs w:val="18"/>
          <w:color w:val="auto"/>
        </w:rPr>
        <w:t>. Each Lender acknowledges that it has, independently and without 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Collateral Agent or any other Lender or any of their respective Related Parties and based on such documents and information as it has deemed appropriate, made its own credit analysis and decision to enter into this Agreement and make Credit Extensions hereunder. Each Lender also acknowledges that it will, independently and without reliance upon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12.8 Collateral and Guaranty Matters</w:t>
      </w:r>
      <w:r>
        <w:rPr>
          <w:rFonts w:ascii="Times New Roman" w:cs="Times New Roman" w:eastAsia="Times New Roman" w:hAnsi="Times New Roman"/>
          <w:sz w:val="18"/>
          <w:szCs w:val="18"/>
          <w:color w:val="auto"/>
        </w:rPr>
        <w:t>. Each Lender agrees that any action taken by the Collateral Agent or the Required Lenders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this Agreement or of the other Loan Documents, and the exercise by the Collateral Agent or Required Lenders of the powers set forth herein or therein, together with such other powers as are reasonably incidental thereto, shall be authorized and binding upon all of the Lenders. Without limiting the generality of the foregoing, the Lenders irrevocably authorize and instruct the Collateral Agent, and the Collateral Agent agrees:</w:t>
      </w:r>
    </w:p>
    <w:p>
      <w:pPr>
        <w:spacing w:after="0" w:line="200" w:lineRule="exact"/>
        <w:rPr>
          <w:sz w:val="20"/>
          <w:szCs w:val="20"/>
          <w:color w:val="auto"/>
        </w:rPr>
      </w:pPr>
    </w:p>
    <w:p>
      <w:pPr>
        <w:spacing w:after="0" w:line="203" w:lineRule="exact"/>
        <w:rPr>
          <w:sz w:val="20"/>
          <w:szCs w:val="20"/>
          <w:color w:val="auto"/>
        </w:rPr>
      </w:pPr>
    </w:p>
    <w:p>
      <w:pPr>
        <w:jc w:val="both"/>
        <w:ind w:firstLine="1304"/>
        <w:spacing w:after="0" w:line="256" w:lineRule="auto"/>
        <w:tabs>
          <w:tab w:leader="none" w:pos="16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Collateral Agent under any Collateral Document (i) upon payment and satisfaction in full of all Obligations (other than contingent indemnification obligations to the extent no claim giving rise thereto has been asserted) in accordance with the terms of this Agreement, (ii) that is sold, transferred, disposed or to be sold, transferred, disposed as part of or in connection with any sale, transfer or other disposition (other than any sale to a Credit Party) permitted hereunder, (iii) subject to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if approved, authorized or ratified in writing by the Required Lenders, or (iv) to the extent such property is owned by a Guarantor, upon the release of such Guarantor from its obligations under the Loan Documents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2" w:name="page163"/>
    <w:bookmarkEnd w:id="162"/>
    <w:p>
      <w:pPr>
        <w:jc w:val="both"/>
        <w:ind w:right="20" w:firstLine="1304"/>
        <w:spacing w:after="0" w:line="266" w:lineRule="auto"/>
        <w:tabs>
          <w:tab w:leader="none" w:pos="171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of the definition of “Permitted Liens” (solely with respect to modifications, replacements, extensions or renewals of Liens permitted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of the definition of “Permitted Liens”);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(other than Parent or Borrower) from its obligations under each Collateral Document if such Person ceases to be a Subsidiary as a result of a transaction permitted hereunder or upon payment and satisfaction in full of all Obligations (other than contingent indemnification obligations to the extent no claim giving rise thereto has been asserted) in accordance with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0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non-disturbance and similar agreements in connection with the licensing of Intellectual Property permitted pursuant to the terms of this Agreement; and</w:t>
      </w:r>
    </w:p>
    <w:p>
      <w:pPr>
        <w:spacing w:after="0" w:line="161"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subordination, intercreditor or other similar agreement with respect to any Permitted Indebtedness that constitutes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Without prejudice to the obligation to fulfill the foregoing, upon request by the Collateral Agent at any time the Required Lenders will confirm in writing the Collateral Agent’s authority to release or subordinate its interest in particular types or items of property, or to release any Guarantor (other than Parent or Borrower) from its obligations under each Collateral Document pursuant to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each case as specified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the Collateral Agent will (and each Lender irrevocably authorizes and instructs the Collateral Agent to), at Borrower’s expense, execute and deliver to the applicable Credit Party such documents as such Credit Party may reasonably request (i) to evidence the release or subordination of such item of Collateral from the Liens and security interests granted under the Collateral Documents, (ii) to enter into non-disturbance or similar agreements in connection with the licensing of Intellectual Property, (iii) to enter into any subordination, intercreditor or other similar agreement with respect to any Permitted Indebtedness that constitutes Subordinated Debt or (iv) to evidence the release of any Guarantor (as applicable) from its obligations under each Collateral Document, in each case in accordance with the terms of the Loan Documents and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in form and substance reasonably acceptable to the Collateral Agent.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below, the Collateral Agent shall deliver to the Lenders notice of any action taken by it under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promptly after the taking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delivery of or failure to deliver any such notice shall not affect the Collateral Agent’s rights, powers, privileges and protections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12.9 Reimbursement by Lenders</w:t>
      </w:r>
      <w:r>
        <w:rPr>
          <w:rFonts w:ascii="Times New Roman" w:cs="Times New Roman" w:eastAsia="Times New Roman" w:hAnsi="Times New Roman"/>
          <w:sz w:val="18"/>
          <w:szCs w:val="18"/>
          <w:color w:val="auto"/>
        </w:rPr>
        <w:t>. To the extent that Borrower for any reason fails to indefeasibly pay any amount required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to be paid by it to the Collateral Agent (or any sub-agent thereof) or any Related Party of any of the foregoing, each Lender severally agrees to pay to the Collateral Agent (or any such sub-agent) or such Related Party,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upon the percentages as used in determining the Required Lenders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damage, liability or related expense, as the case may be, was incurred by or asserted against the Collateral Agent (or any such sub-agent) in its capacity as such or against any Related Party of any of the foregoing acting for the Collateral Agent (or any sub-agent) in connection with such capacity.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12.10 Notices and Items to Lenders</w:t>
      </w:r>
      <w:r>
        <w:rPr>
          <w:rFonts w:ascii="Times New Roman" w:cs="Times New Roman" w:eastAsia="Times New Roman" w:hAnsi="Times New Roman"/>
          <w:sz w:val="18"/>
          <w:szCs w:val="18"/>
          <w:color w:val="auto"/>
        </w:rPr>
        <w:t>. The Collateral Agent shall deliver to the Lenders each notice, report, statement, approval, direction,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 exemption, authorization, waiver, certificate, filing or other item received by it pursuant to this Agreement or any other Loan Document (including any item received by it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provided, that any delivery of or failure to deliver any such notice, report, statement, approval, direction, consent, exemption, authorization, waiver, certificate, filing or item shall not otherwise alter or effect the rights of the Lenders or the Collateral Agent under this Agreement or any other Loan Document or the validity of such item. In addition, to the extent the Collateral Agent or the Required Lenders deliver any notices, approvals, authorizations, directions, consents or waivers to Borrower pursuant to this Agreement or any other Loan Document, the Collateral Agent or the Required Lenders, as applicable, will also deliver such notice, approval, authorization, direction, consent or waiver to the other Lenders on or about the same time such notice, approval, authorization, direction, consent or waiver is provided to Borrower; provided, that the delivery of or failure to deliver such notice, approval, authorization, direction, consent or waiver to the other Lenders shall not in any way effect the obligations of Borrower, or the rights of the Collateral Agent or the Required Lenders, in respect of such notice, approval, authorization, direction, consent or waiver or the validity thereof.</w:t>
      </w:r>
    </w:p>
    <w:p>
      <w:pPr>
        <w:spacing w:after="0" w:line="182"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13.1 Definitions</w:t>
      </w:r>
      <w:r>
        <w:rPr>
          <w:rFonts w:ascii="Times New Roman" w:cs="Times New Roman" w:eastAsia="Times New Roman" w:hAnsi="Times New Roman"/>
          <w:sz w:val="18"/>
          <w:szCs w:val="18"/>
          <w:color w:val="auto"/>
        </w:rPr>
        <w:t>. For the purposes of and as used in the Loan Documents: (a) references to any Person include its successors and assigns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consent, waiver, instrument or other document include any amendments, restatements, amendments and restatements, supplements or other modifications thereto or thereof from time to time to the extent permitted by the provisions thereof and to the extent permitted by or otherwise not in contravention of this Agreement or any other Loan Documents; (c) the words “shall” and “will” are interchangeable and will be understood to be imperative or mandatory in nature;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New York time; (l) the words “herein”, “hereof”, “hereby”, “hereto” and “hereunder” refer to this Agreement as a whole; and (m) unless otherwise expressly provided, references to specific sections, articles, clauses, sub-clauses, annexes and exhibits are to this Agreement and references to specific schedules are to the Disclosure Letter. The provisions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shall survive the termination of this Agreement. As used in this Agreement, the following capitalized terms have the following meanings: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any “account” as defined in the Code with such additions to such term as may hereafter be made, and includes all accounts receivable, book debts, and other sums owing to Credit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any “account debtor”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 any Stock Acquisition, or (b) any Asset Acquisition.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means, individually or collectively, as the context dictates, the Tranche A Additional Consideration and the Tranche B Additional Consideration.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Request Form</w:t>
      </w:r>
      <w:r>
        <w:rPr>
          <w:rFonts w:ascii="Times New Roman" w:cs="Times New Roman" w:eastAsia="Times New Roman" w:hAnsi="Times New Roman"/>
          <w:sz w:val="18"/>
          <w:szCs w:val="18"/>
          <w:color w:val="auto"/>
        </w:rPr>
        <w:t xml:space="preserve">” means a Loan Advance Request Form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such Credit Party, threatened against or adversely affecting any Credit Party or any of its Subsidiaries or any property of Borrower or any of its Subsidiaries. For the avoidance of doubt, an action, suit, proceeding, hearing, or arbitration that follows or precedes an investigation shall be treated as a new and separate Adverse Proceeding from the investigation, whether or not such action, suit, proceeding, hearing, or arbitration is brought by any Governmental Authority.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4" w:name="page165"/>
    <w:bookmarkEnd w:id="16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each other Person that owns or controls directly or indirectly such Person, any other Person that controls or is controlled by or is under common control with such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Collateral Agent or any Lender be deemed to be an Affiliate of Parent or any of its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is defined in Section </w:t>
      </w:r>
      <w:r>
        <w:rPr>
          <w:rFonts w:ascii="Times New Roman" w:cs="Times New Roman" w:eastAsia="Times New Roman" w:hAnsi="Times New Roman"/>
          <w:sz w:val="18"/>
          <w:szCs w:val="18"/>
          <w:u w:val="single" w:color="auto"/>
          <w:color w:val="auto"/>
        </w:rPr>
        <w:t>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Accounting Standards</w:t>
      </w:r>
      <w:r>
        <w:rPr>
          <w:rFonts w:ascii="Times New Roman" w:cs="Times New Roman" w:eastAsia="Times New Roman" w:hAnsi="Times New Roman"/>
          <w:sz w:val="18"/>
          <w:szCs w:val="18"/>
          <w:color w:val="auto"/>
        </w:rPr>
        <w:t>” means with respect to Parent and its Subsidiaries, generally accepted accounting principles in the United 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means, at any time: (a) with respect to the Tranche A Loan or the Tranche A Loan Amount, the percentage equal to a fraction, the numerator of which is (i) on or prior to the Tranche A Closing Date, the amount of such Lender’s Tranche A Commitment at such time and the denominator of which is the Tranche A Loan Amount at such time or (ii) thereafter, the outstanding principal amount of such Lender’s portion of the Tranche A Loan at such time, and the denominator of which is the aggregate outstanding principal amount of the Tranche A Loan at such time; (b) with respect to the Tranche B Loan or the Tranche B Loan Amount, the percentage equal to a fraction, the numerator of which is (i) on or prior to the Tranche B Closing Date, the amount of such Lender’s Tranche B Commitment at such time and the denominator of which is the Tranche B Loan Amount at such time or (ii) thereafter, the outstanding principal amount of such Lender’s portion of the Tranche B Loan at such time, and the denominator of which is the aggregate outstanding principal amount of the Tranche B Loan at such time; and (c) with respect to the Term Loans and the Term Loan Commitments, the percentage equal to a fraction, the numerator of which is, the sum of the amount of such Lender’s outstanding Term Loan Commitments and the amount of such Lender’s portion of the outstanding principal amount of the Term Loans at such time, and the denominator of which is the sum of the amount of all outstanding Term Loan Commitments and the aggregate outstanding principal amount of the Term Loans at such time.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means, with respect to Parent or any of its Subsidiaries, any purchase, exclusive or nonexclusive in-license or other acquisition of any properties or assets of any other Person (including any purchase or other acquisition of any business unit, line of business or division of such Person). Notwithstanding the foregoing, “Asset Acquisition” does not include any in-license or any collaboration, co-promotion or co-marketing arrangement pursuant to which Parent or any Subsidiary acquires rights to research, develop, use, make, promote, sell or market the products of another Person.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 (and any foreign equivalent).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means an individual or entity that is, or is 50% or more owned or controlled by individuals or entities that are: (i) identified on the list of Specially Designated Nationals and Blocked Persons maintained by OFAC, the Consolidated List of Financial Sanctions Targets in the UK maintained by His Majesty’s Treasury, the Consolidated List of Persons, Groups, and Entities Subject to EU Financial Sanctions, or any other Person listed on any Sanctions-related list administered or maintained by the United States, the United Kingdom, the European Union or any other Sanctions authority;</w:t>
      </w:r>
    </w:p>
    <w:p>
      <w:pPr>
        <w:spacing w:after="0" w:line="3" w:lineRule="exact"/>
        <w:rPr>
          <w:sz w:val="20"/>
          <w:szCs w:val="20"/>
          <w:color w:val="auto"/>
        </w:rPr>
      </w:pPr>
    </w:p>
    <w:p>
      <w:pPr>
        <w:ind w:left="5480" w:right="2140" w:hanging="5472"/>
        <w:spacing w:after="0" w:line="511" w:lineRule="auto"/>
        <w:tabs>
          <w:tab w:leader="none" w:pos="27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or target of blocking or asset-freezing Sanctions; or (iii) located, organized or resident in a Sanctioned Country.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5" w:name="page166"/>
    <w:bookmarkEnd w:id="165"/>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w:t>
      </w:r>
    </w:p>
    <w:p>
      <w:pPr>
        <w:spacing w:after="0" w:line="1" w:lineRule="exact"/>
        <w:rPr>
          <w:sz w:val="20"/>
          <w:szCs w:val="20"/>
          <w:color w:val="auto"/>
        </w:rPr>
      </w:pPr>
    </w:p>
    <w:p>
      <w:pPr>
        <w:ind w:right="20" w:firstLine="8"/>
        <w:spacing w:after="0" w:line="260" w:lineRule="auto"/>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partnership or exempted limited partnership, the Board of Directors of the general partner of such Person and (iv) in any other case, the functional equivalent of the foregoing.</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w:t>
      </w:r>
      <w:r>
        <w:rPr>
          <w:rFonts w:ascii="Times New Roman" w:cs="Times New Roman" w:eastAsia="Times New Roman" w:hAnsi="Times New Roman"/>
          <w:sz w:val="18"/>
          <w:szCs w:val="18"/>
          <w:color w:val="auto"/>
        </w:rPr>
        <w:t>” means all books and records including ledgers, records regarding a Credit Party’s assets or liabilities, the Collateral, business operations or financial condition, and all computer programs or storage or any equipment containing such information.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xml:space="preserve">” means, with respect to any Person, those resolutions adopted by such Person’s Board of Directors or other competent corporate body, as required pursuant to Requirements of Law and delivered by such Person to the Collateral Agent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approving the Loan Documents to which such Person is a party and the transactions contemplated thereby (including the Term Loan).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or a Sunday or a day on which banks are authorized or required to be closed in New York, New York, London, England or Tel Aviv, Israel.</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means, as applied to any Person, any lease of, or other arrangement conveying the right to use, any property by that Person as lessee that has been or should be accounted for as a capital lease on a balance sheet of such Person prepared in accordance with Applicable Accounting Standards (subject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means, at any time, with respect to any Capital Lease, any lease entered into as part of any sale leaseback transaction of any Person or any synthetic lease, the amount of all obligations of such Person that is (or that would be, if such synthetic lease or other lease were accounted for as a Capital Lease) capitalized on a balance sheet of such Person prepared in accordance with Applicable Accounting Standards.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58" w:lineRule="auto"/>
        <w:tabs>
          <w:tab w:leader="none" w:pos="105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or by the government of Israel or any other member country of the Organisation for Economic Co-operation and Development (“OECD”) (provided that the full faith and credit of the United States or such other member country of OECD, as applicable, is pledged in support of those securities) or any agency or instrumentality of Israel or the OECD, in each case, having maturities of not more than two (2) years from the date of acquisition;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or a rating for its long-term unsecured and noncredit enhanced debt obligations of “A” or higher by Standard &amp; Poor’s Rating Services or Fitch Ratings Ltd or “A2” or higher by Moody’s Investors Service Limited;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or marketable short-term money market or readily marketable direct obligations and similar securities having a credit rating of either A-1 or higher by Standard &amp; Poor’s Rating Service or F1 or higher by Fitch Ratings Ltd or P-1 or higher Moody’s Investors Service Limited, and, in each case, maturing within two (2) years after the date of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ind w:right="20" w:firstLine="656"/>
        <w:spacing w:after="0" w:line="282" w:lineRule="auto"/>
        <w:tabs>
          <w:tab w:leader="none" w:pos="109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with a term of not more than seven (7) days for underlying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entered into with any financial institution meeting the qualifications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ninety-five percent (95.0%)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which have a credit rating of either A-1 or higher by Standard &amp; Poor’s Rating Service or F1 or higher by Fitch Ratings Ltd or P-1 or higher by Moody’s Investors Service Limited (or, if at any time none of Fitch Ratings Ltd, Moody’s Investors Service Limited or Standard &amp; Poor’s Rating Service shall be rating such obligations, an equivalent rating from another rating agency) and that have portfolio assets of at least $1,000,000,000;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7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accordance with the Borrower’s investment policy as of the Tranche A Closing Date or otherwise approved in writing by the Collateral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means the provisions of the California Consumer Privacy Act, as amended by the California Privacy Rights Act and codified at Cal. Civ.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 1798.100 et seq., with any implementing regulations.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means: (a) a transaction or series of transactions (including any merger or consolidation involving Borrower or Parent) whereby any “person” or “group” (within the meaning of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but excluding any employee benefit plan of such Person or its Subsidiaries, and any Person acting in its capacity as trustee, agent or other fiduciary or administrator of any such plan) (i) is or becomes the “beneficial owner” (as defined in Rule 13d-3 under the Exchange Act), directly or indirectly, of fifty percent (50.0%) or more of any class of outstanding Equity Interests of Parent ordinarily entitled to vote in the election of directors (or compatible voting Equity Interests), or (ii) obtains the power (whether or not exercised) to elect a majority of directors of Parent; (b) a sale, directly or indirectly, of all or substantially all of the consolidated assets of Parent and its Subsidiaries or of Borrower and its Subsidiaries, as the case may be, in one transaction or a series of transactions (whether by way of merger, stock purchase, asset purchase or otherwise); (c) a merger or consolidation involving Borrower or Parent, as the case may be, in which Borrower or Parent (as applicable) is not the surviving Person or in which Persons holding more than fifty percent (50.0%) of the power to elect a majority of directors of Borrower or Parent (as applicable) immediately prior to such merger or consolidation do not continue to hold at least fifty percent (50.0%) of such power immediately after such merger or consolidation; or (d) Parent ceasing to own, directly or indirectly, 100% of the outstanding Equity Interests of Borrower in one transaction or a series of transactions.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into effect of any law, treaty, order, policy, rule or regulation, (b) any change in any law, treaty, order, policy, rule or regulation or in the administration, published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herein to the contrary, (x) the regulations promulgated under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Tranche A Closing Date or the Tranche B Closing Date,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CMIA</w:t>
      </w:r>
      <w:r>
        <w:rPr>
          <w:rFonts w:ascii="Times New Roman" w:cs="Times New Roman" w:eastAsia="Times New Roman" w:hAnsi="Times New Roman"/>
          <w:sz w:val="18"/>
          <w:szCs w:val="18"/>
          <w:color w:val="auto"/>
        </w:rPr>
        <w:t>” means the California Confidentiality of Medical Information Act, codified at Cal. Civ. Code pt. 2.6 § 56 et seq.</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means the Uniform Commercial Code, as the same may, from time to time, be enacted and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the Code is used to define any term herein or in any Loan Document and such term is defined differently in different Articles of the Code, the definition of such term contained in Article 9 of the Code shall govern; provided, further, that in the event that, by reason of mandatory provisions of law, any or all of the attachment, perfection, or priority of, or remedies with respect to, the Collateral Agent’s Lien, for the benefit of Lenders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collectively, “Collateral”, as such term is defined in the Security Agreement, “Charged Assets”, as such term is defined in the Israeli Security Agreement, and any and all other assets and properties of whatever kind and nature subject or purported to be subject from time to time to a Lien under any Collateral Document, but in any event excluding all Excluded Property.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means an agreement, in form and substance reasonably satisfactory to the Collateral Agent and to which the Collateral Agent is a party, pursuant to which a mortgagee or lessor of real property on which Collateral is stored or otherwise located, or a warehouseman, processor or other bailee of Inventory or other property owned by any Credit Party, acknowledges the Liens and security interests of the Collateral Agent, for the benefit of Lenders and the other Secured Parties, and waives (or, if approved by the Collateral Agent in its sole discretion, subordinates) any Liens or security interests held by such Person on any such Collateral, and, in the case of any such agreement with a mortgagee or lessor, permits the Collateral Agent and any Lender (and its representatives and designees) reasonable access to any Collateral stored or otherwise located thereon.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any Deposit Account of a Credit Party maintained with a bank or other depository or financial institution located in the United States, any Securities Account of a Credit Party maintained with a securities intermediary located in the United States, or any Commodity Account of a Credit Party maintained with a commodity intermediary located in the United States, in each case, other than an Excluded Account.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Security Agreement, the Israeli Security Agreement, the Control Agreements, the IP Agreements, any Mortgages and all other instruments, documents and agreements delivered by any Credit Party pursuant or incidental to this Agreement or any of the other Loan Documents, in each case, in order to grant to the Collateral Agent, for the benefit of Lenders and the other Secured Parties, or perfect a Lien on any Collateral as security for the Obligations, and all amendments, restatements, amendments and restatements, modifications or supplements thereof or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means any “commodity account” as defined in the Code with such additions to such term as may hereafter be made.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means any and all of the following, as they exist in and throughout the Territory: (a) Current Company IP; (b) improvements, continuations, continuations-in-part, divisions, provisionals or any substitute applications with respect to any of the Current Company IP, any patent issued with respect to any of the Current Company IP, including any patent right claiming the apparatus, system, component or composition of matter of, or the method of making or using, the Product in the Territory, any reissue, reexamination, renewal or patent term extension or adjustment (including any supplementary protection certificate) of any such patent and all foreign and international counterparts of any of the foregoing,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Product in the Territory;</w:t>
      </w:r>
    </w:p>
    <w:p>
      <w:pPr>
        <w:jc w:val="both"/>
        <w:ind w:firstLine="8"/>
        <w:spacing w:after="0" w:line="252" w:lineRule="auto"/>
        <w:tabs>
          <w:tab w:leader="none" w:pos="2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and all IP Ancillary Rights specifically relating to any of the foregoing (other than all income, royalties, proceeds and liabilities at any time due and payable or asserted under or with respect to any of the foregoing), including, for the avoidance of doubt,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 and (e) all data provided in any regulatory filings, submissions and approvals related to any research, development, manufacture, production, use, commercialization, marketing, importing, storage, transport, offer for sale, distribution or sale of the Product in the Territory.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8" w:name="page169"/>
    <w:bookmarkEnd w:id="168"/>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w:t>
      </w:r>
      <w:r>
        <w:rPr>
          <w:rFonts w:ascii="Times New Roman" w:cs="Times New Roman" w:eastAsia="Times New Roman" w:hAnsi="Times New Roman"/>
          <w:sz w:val="18"/>
          <w:szCs w:val="18"/>
          <w:color w:val="auto"/>
        </w:rPr>
        <w:t>” means each material contract or agreement, pursuant to which Parent or any of its Subsidiaries has the legal right to exploit Current Company IP or other Intellectual Property that is owned by another Person and material to the business of Parent and its Subsidiaries, to research, develop, manufacture, produce, use, supply, commercialize, market, import, store, transport, offer for sale, distribute or sell the Product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at any time of determination, any Person that is engaged in the same, substantially the same or similar line of business as Parent and its Subsidiaries as of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that certain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for any Person, (a) any direct or indirect liability, contingent or not, of that Person for any indebtedness, lease, dividend, letter of credit or other obligation of another Person directly or indirectly guaranteed, endorsed, co-made, discounted or sold with recourse by that Person, or for which that Person is directly or indirectly liable (other than by endorsements of instruments in the course of collection) and (b) any obligation of that Person to pay an earn-out payment, milestone payment or similar contingent payment or contingent compensation (including purchase price adjustments but excluding royalties payable and sales milestones based on net sales) to a counterparty incurred or created in connection with an Acquisition, Transfer or Investment or otherwise in connection with any collaboration, development or similar agreement, in each instance where such contingent payment or compensation becomes due and payable upon the occurrence of an event or the performance of an act (and not solely with the passage of time). The amount of a Contingent Obligation is the stated or determined amount of the primary obligation for which the Contingent Obligation is made or, if not determinable by a Responsible Officer of such Person, the amount required to be shown as a liability on the balance sheet of such Person in accordance with Applicable Accounting Standards (or, if not required to be so shown, the maximum reasonably anticipated amount reasonably determined by a Responsible Officer of such Person in good faith); but the amount may not exceed the maximum of the obligations under any guarantee or other support arrangement. Notwithstanding anything to the contrary in the foregoing, Permitted Equity Derivatives shall not constitute a Contingent Obligation.</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means, with respect to any Credit Party, any control agreement entered into among such Credit Party, the Collateral Agent and, in the case of a Deposit Account, the bank or other depository or financial institution located in the United States at which such Credit Party maintains such Deposit Account, or, in the case of a Securities Account or a Commodity Account, the securities intermediary or commodity intermediary located in the United States at which such Credit Party maintain such Securities Account or Commodities Account, in either case, pursuant to which the Collateral Agent obtains control (within the meaning of the Code) or otherwise has a perfected first priority security interest (subject to any Permitted Liens), over such Collateral Account.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 Redemption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 Redemption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4230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7" w:lineRule="exact"/>
        <w:rPr>
          <w:sz w:val="20"/>
          <w:szCs w:val="20"/>
          <w:color w:val="auto"/>
        </w:rPr>
      </w:pPr>
    </w:p>
    <w:p>
      <w:pPr>
        <w:ind w:left="120" w:hanging="112"/>
        <w:spacing w:after="0"/>
        <w:tabs>
          <w:tab w:leader="none" w:pos="120" w:val="left"/>
        </w:tabs>
        <w:numPr>
          <w:ilvl w:val="0"/>
          <w:numId w:val="1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Both of these will be removed from the Material Contracts schedule.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any Term Loan or any other extension of credit by any Lender for Borrower’s benefit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Parent, each other Guarantor and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Company IP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any and all applicable foreign or domestic (including U.S. federal, state and local), statutes, ordinances, orders, rules, regulations, judgments, Governmental Approvals, or any other requirements of Governmental Authorities relating to privacy, security, notification of breaches, data transfers, or confidentiality of Personal Data or other Sensitive Information or to any database registration or data localization requirements, in each case, in any manner that are applicable to the Parent or any of its Subsidiaries, including, to the extent applicable, HIPAA, Section 5 of the FTC Act and other consumer protection laws, Israeli Data Protection Law, GDPR, CCPA and other comprehensive state privacy laws, CMIA and other U.S. state health information privacy or genetic privacy laws, and state breach notification laws, and including any required policies and procedures.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any “deposit account” as defined in the Code with such additions to such term as may hereafter be made.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xml:space="preserve">” means the disclosure letter, dated the Effective Date, delivered by the Credit Parties to the Collateral Agent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as may be updated on the applicable Closing Date, if required, as permitted and in accordance with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Assignee</w:t>
      </w:r>
      <w:r>
        <w:rPr>
          <w:rFonts w:ascii="Times New Roman" w:cs="Times New Roman" w:eastAsia="Times New Roman" w:hAnsi="Times New Roman"/>
          <w:sz w:val="18"/>
          <w:szCs w:val="18"/>
          <w:color w:val="auto"/>
        </w:rPr>
        <w:t>” means (a) any Competitor, or (b) any vulture or distressed debt fund.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w:t>
      </w:r>
      <w:r>
        <w:rPr>
          <w:rFonts w:ascii="Times New Roman" w:cs="Times New Roman" w:eastAsia="Times New Roman" w:hAnsi="Times New Roman"/>
          <w:sz w:val="18"/>
          <w:szCs w:val="18"/>
          <w:color w:val="auto"/>
        </w:rPr>
        <w:t xml:space="preserve">” means any Equity Interest that, by its terms (or by the terms of any security or other Equity Interests into which it is convertible or for which it is exchangeable) or upon the happening of any event or condition: (a) matures or is mandatorily redeemable, pursuant to a sinking fund obligation or otherwise (except if redeemable or convertible into other Equity Interest that would not constitute a Disqualified Equity Interest or as a result of a change of control, asset sale or similar event so long as any and all rights of the holders thereof upon the occurrence of a change of control, asset sale or similar event shall be subject to the prior repayment in full in cash of the Term Loans and the satisfaction in full of all other Obligations (other than contingent indemnification obligations to the extent no claim giving rise thereto has been asserted) in accordance with the terms of this Agreement); (b) is redeemable at the option of the holder thereof, in whole or in part (except if redeemable or convertible into other Equity Interest that would not constitute a Disqualified Equity Interest or as a result of a change of control, asset sale or similar event so long as any rights of the holders thereof upon the occurrence of a change of control, asset sale or similar event shall be subject to the prior repayment in full in cash of the Term Loans and the satisfaction in full of all other Obligations (other than contingent indemnification obligations to the extent no claim giving rise thereto have been asserted) in accordance with this Agreement); (c) provides for the scheduled payments of dividends or distributions in cash; or (d) is convertible into or exchangeable for (i) Indebtedness which is not Permitted Indebtedness or (ii) any other Equity Interest that would constitute a Disqualified Equity Interest;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prior to the date that is 180 days after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Equity Interest is issued pursuant to any plan for the benefit of any employee, director, manager or consultant of the Borrower or its Subsidiaries or by any such plan to such employee, director, manager or consultant, such Equity Interest shall not constitute a “Disqualified Equity Interest” solely because it may be required to be repurchased by the Borrower or its Subsidiaries in order to satisfy applicable statutory or regulatory obligations or as a result of the termination, death or disability of such employee, director, manager or consultant.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0" w:name="page171"/>
    <w:bookmarkEnd w:id="170"/>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with respect to any Credit Party, a Subsidiary of such Credit Party that is incorporated or organized under the laws of the United States.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current or future, foreign or domestic, statutes, ordinances, orders, rules, regulations, judgments, Governmental Approvals,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xml:space="preserve">” means, with respect to any Person, collectively,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Permitted Convertible Indebtedness or other Indebtedness convertible into Equity Interests (or into any combination of cash and Equity Interests based on the value of such Equity Interests) shall not constitute Equity Interests unless and until (and solely to the extent) so converted into Equity Interests.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and the regulations promulgated thereunder.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Person, any trade or business (whether or not incorporated) that, together with such Person, is treated as a single employer under Section 414(b) or (c) of the IRC or, solely for purposes of Section 302 of ERISA or Section 412 of the IRC, Section 414(m) or (o) of the IRC.</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by regulation); (b) with respect to a Plan, the failure by Borrower or its Subsidiaries or their ERISA Affiliates to satisfy the minimum funding standard of Section 412 of the IRC and Section 302 of ERISA, whether or not waived; (c) the failure by Borrower or its Subsidiaries or their ERISA Affiliates to make by its due date a required installment under Section 430(j) of the IRC with respect to any Plan or to make any required contribution to a Multiemployer Plan; (d) the filing pursuant to Section 412(c) of the IRC or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 ERISA Affiliates from the Pension Benefit Guaranty Corporation (referred to and defined in ERISA) or a plan administrator of any notice relating to the intention to terminate any Plan under Section 4041 or any Multiemployer Plan under 4041A of ERISA or to appoint a trustee to administer any Plan under Section 4042 of ERISA, or the occurrence of any event or condition which could reasonably be expected to constitute grounds under ERISA for the termination of, or the appointment of a trustee to administer, any Plan under Section 4041 Section or 4042 of ERISA; (g) the incurrence by Borrower or its Subsidiaries or any of their respective ERISA Affiliates of any liability with respect to the withdrawal from any Plan pursuant to Section 4063 of ERISA or Multiemployer Plan; (h) the receipt by Borrower or its Subsidiaries or any of their respective ERISA Affiliates of any notice, concerning the imposition of Withdrawal Liability or a determination that a Multiemployer Plan is, or is expected to be, insolvent, within the meaning of Section 4245 of ERISA; (i) the “substantial cessation of operations” by Borrower or its Subsidiaries or their ERISA Affiliates within the meaning of Section 4062(e) of ERISA with respect to a Plan; or (j) the occurrence of a nonexempt prohibited transaction (within the meaning of Section 4975 of the IRC or Section 406 of ERISA) with respect to a Plan which could reasonably be expected to result in a material liability to Borrower or its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European Union</w:t>
      </w:r>
      <w:r>
        <w:rPr>
          <w:rFonts w:ascii="Times New Roman" w:cs="Times New Roman" w:eastAsia="Times New Roman" w:hAnsi="Times New Roman"/>
          <w:sz w:val="18"/>
          <w:szCs w:val="18"/>
          <w:color w:val="auto"/>
        </w:rPr>
        <w:t>” means, collectively, the individual Member States of the European Union.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 Documents</w:t>
      </w:r>
      <w:r>
        <w:rPr>
          <w:rFonts w:ascii="Times New Roman" w:cs="Times New Roman" w:eastAsia="Times New Roman" w:hAnsi="Times New Roman"/>
          <w:sz w:val="18"/>
          <w:szCs w:val="18"/>
          <w:color w:val="auto"/>
        </w:rPr>
        <w:t>” means any and all documents filed by Parent with the SEC pursuant to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Equity Interests</w:t>
      </w:r>
      <w:r>
        <w:rPr>
          <w:rFonts w:ascii="Times New Roman" w:cs="Times New Roman" w:eastAsia="Times New Roman" w:hAnsi="Times New Roman"/>
          <w:sz w:val="18"/>
          <w:szCs w:val="18"/>
          <w:color w:val="auto"/>
        </w:rPr>
        <w:t>” means, collectively: (i)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Requirements of Law; (ii)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require the consent, approval or waiver of any Governmental Authority or other third party and such consent, approval or waiver has not been obtained by Borrower following Borrower’s commercially reasonable efforts to obtain the same; (iii) any Equity Interests in any Subsidiary that is a non-Wholly-Owned Subsidiary that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 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and (iv) any Equity Interests in any other Subsidiary with respect to which, Borrower and the Collateral Agent reasonably determine by mutual agreement that the cost (including Tax costs) of granting the Collateral Agent, for the benefit of Lenders and the other Secured Parties, a security interest in and Lien upon, and pledging to the Collateral Agent, for the benefit of Lenders and the other Secured Parties, such Equity Interests, to secure the Obligations (and any guaranty thereof) are excessive, relative to the value to be afforded to the Secured Parties thereby.</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License</w:t>
      </w:r>
      <w:r>
        <w:rPr>
          <w:rFonts w:ascii="Times New Roman" w:cs="Times New Roman" w:eastAsia="Times New Roman" w:hAnsi="Times New Roman"/>
          <w:sz w:val="18"/>
          <w:szCs w:val="18"/>
          <w:color w:val="auto"/>
        </w:rPr>
        <w:t xml:space="preserve">” means an exclusive license or sublicense, to a Person other than a Subsidiary of Parent, of any Intellectual Property within the Territory covering a Product that is tantamount to a sale of substantially all rights to the Intellectual Property covering such Product because it conveys to the licensee or sublicensee exclusive rights to practice such Intellectual Property in the Territory for consideration that is not based upon (a) the future development or commercialization of such Product in the Territory (e.g., pursuant to so-called earn-out payments or royalties based on net sales), or (b) the performance of services by the licensee or sublicensee (other than transition services), such as, for example, consideration of only upfront advances or initial license fees or similar initial payments in consideration of such rights with no anticipated subsequent payments or only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subsequent payments to Parent or any of its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has the meaning set forth for such term in the Security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2" w:name="page173"/>
    <w:bookmarkEnd w:id="17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Subsidiaries</w:t>
      </w:r>
      <w:r>
        <w:rPr>
          <w:rFonts w:ascii="Times New Roman" w:cs="Times New Roman" w:eastAsia="Times New Roman" w:hAnsi="Times New Roman"/>
          <w:sz w:val="18"/>
          <w:szCs w:val="18"/>
          <w:color w:val="auto"/>
        </w:rPr>
        <w:t xml:space="preserve">” means, collectively: (i)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are validly prohibited by Requirements of Law; (ii)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 Authority or other third party (other than Parent or an Affiliate of Parent) and such consent, approval or waiver has not been obtained by Parent or such Subsidiary following Parent’s and such Subsidiary’s commercially reasonable efforts to obtain the same; (iii) any Subsidiary that is a non-Wholly-Owned Subsidiary, with respect to which, the grant to the Collateral Agent, for the benefit of Lenders and the other Secured Parties, of a security interest in and Lien upon, and the pledge to the Collateral Agent, for the benefit of Lenders and the other Secured Parties, of, the properties and assets of such non-Wholly-Owned Subsidiary, to secure the Obligations (and any guaranty thereof) are validly prohibited by, or would give any third party (other than Parent or an Affiliate of Parent) the right to terminate its obligations under, such non-Wholly-Owned Subsidiary’s Operating Documents or the joint venture agreement or shareholder agreement with respect thereto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and (iv) any Subsidiary that owns properties and assets with an aggregate fair market value (as reasonably determined in good faith by a Responsible Officer of Parent) individually and when aggregated together with all other Subsidiaries excluded under this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of less than $5,000,000; (v) any Foreign Subsidiary; and (vi) any other Subsidiary with respect to which, Parent and the Collateral Agent reasonably determine by mutual agreement that the cost (including Tax costs) of granting the Collateral Agent, for the benefit of Lenders and the other Secured Parties, a security interest in and Lien upon, and pledging to the Collateral Agent, for the benefit of Lenders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 Notwithstanding the foregoing or any other provision of this Agreement, the parties hereto agree that without the prior written consent of the Collateral Agent or the Required Lenders, no Subsidiary existing as of the Effective Date or organized, formed or acquired, directly or indirectly, by any Credit Party from and after the Effective Date, that at any time (A) owns or co-owns any material Company IP, (B) is party to any Company IP Agreement, (C) enters into any Material Contract or otherwise becomes a party thereto or bound thereby or (D) otherwise engages in any business operations material to the research, development, manufacture, production, use, commercialization, marketing, importing, storage, transport, packaging, labelling, promotion, advertising, offer or sale, distribution or sale of the Product in the Territory and owns properties and assets with an aggregate fair market value (as reasonably determined in good faith by a Responsible Officer of Borrower) equal to or greater than $5,000,000, individually and when aggregated together with all other Subsidiaries excluded under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above, shall, in any such case, be (or be deemed to be) an Excluded Subsidiary for any purpose under the Loan Documents and, therefore, such Subsidiary shall constitute a Credit Party for all purposes under the Loan Documents, as of the date of such ownership, co-ownership, maintenance, license, entry or becoming so bound or engagement,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additionally</w:t>
      </w:r>
      <w:r>
        <w:rPr>
          <w:rFonts w:ascii="Times New Roman" w:cs="Times New Roman" w:eastAsia="Times New Roman" w:hAnsi="Times New Roman"/>
          <w:sz w:val="18"/>
          <w:szCs w:val="18"/>
          <w:color w:val="auto"/>
        </w:rPr>
        <w:t xml:space="preserve">, in each case, Borrower shall cause such entity, within the time periods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as and to the extent applicable, to become a Guarantor in accordance therewith.</w:t>
      </w:r>
    </w:p>
    <w:p>
      <w:pPr>
        <w:spacing w:after="0" w:line="20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Lender or required to be withheld or deducted from a payment to Lender, (a) Taxes imposed on or measured by net income (however denominated), franchise Taxes, and branch profits Taxes, in each case, (i) imposed as a result of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Lender with respect to any Obligation pursuant to a law in effect on the date on which (i) Lender acquires such interest in any Obligation or</w:t>
      </w:r>
    </w:p>
    <w:p>
      <w:pPr>
        <w:spacing w:after="0" w:line="3" w:lineRule="exact"/>
        <w:rPr>
          <w:sz w:val="20"/>
          <w:szCs w:val="20"/>
          <w:color w:val="auto"/>
        </w:rPr>
      </w:pPr>
    </w:p>
    <w:p>
      <w:pPr>
        <w:jc w:val="both"/>
        <w:ind w:firstLine="8"/>
        <w:spacing w:after="0" w:line="255" w:lineRule="auto"/>
        <w:tabs>
          <w:tab w:leader="none" w:pos="2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 changes its lending office, except in each case to the extent that,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amounts with respect to such Taxes were payable either to Lender’s assignor immediately before Lender became a party hereto or to Lender immediately before it changed its lending office, (c) Taxes attributable to Lender’s failure to comply with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and (d) any withholding Taxes imposed under FATCA.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3" w:name="page174"/>
    <w:bookmarkEnd w:id="17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Consideration</w:t>
      </w:r>
      <w:r>
        <w:rPr>
          <w:rFonts w:ascii="Times New Roman" w:cs="Times New Roman" w:eastAsia="Times New Roman" w:hAnsi="Times New Roman"/>
          <w:sz w:val="18"/>
          <w:szCs w:val="18"/>
          <w:color w:val="auto"/>
        </w:rPr>
        <w:t>” means, individually or collectively, as the context dictates, the Tranche A Exit Consideration and the Tranche B Exit Consideration.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and Import Laws</w:t>
      </w:r>
      <w:r>
        <w:rPr>
          <w:rFonts w:ascii="Times New Roman" w:cs="Times New Roman" w:eastAsia="Times New Roman" w:hAnsi="Times New Roman"/>
          <w:sz w:val="18"/>
          <w:szCs w:val="18"/>
          <w:color w:val="auto"/>
        </w:rPr>
        <w:t>” means any applicable law, regulation, order or directive that applies to the import, export, re-export, transfer, disclosure or provision of goods, software, technology or technical assistance including, without limitation, restrictions or controls administered pursuant to the U.S. Export Administration Regulations, 15 C.F.R. Parts 730-774, administered by the U.S. Department of Commerce, Bureau of Industry and Security; U.S. Customs regulations; and similar import and export laws, regulations, orders and directives of other jurisdictions to the extent applicable.</w:t>
      </w:r>
    </w:p>
    <w:p>
      <w:pPr>
        <w:spacing w:after="0" w:line="176"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Facility</w:t>
      </w:r>
      <w:r>
        <w:rPr>
          <w:rFonts w:ascii="Times New Roman" w:cs="Times New Roman" w:eastAsia="Times New Roman" w:hAnsi="Times New Roman"/>
          <w:sz w:val="17"/>
          <w:szCs w:val="17"/>
          <w:color w:val="auto"/>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IRC, as of the date of this Agreement (including, for the avoidance of doubt, any agreements between the governments of the United States and the jurisdiction in which the applicable Lender is resident implementing such provisions), or any amended or successor version that is substantively comparable and not materially more onerous to comply with, and any current or future regulations promulgated thereunder or official interpretations thereof, any agreements entered into pursuant to Section 1471(b)(1) of the IRC, any intergovernmental agreement entered into in connection with the implementation of the foregoing sections of the IRC and any fiscal or regulatory legislation, regulations, rules or practices adopted pursuant to, or official interpretations implementing such Sections of the IRC or intergovernmental agreements.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foreign or United States state equivalent).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 Laws</w:t>
      </w:r>
      <w:r>
        <w:rPr>
          <w:rFonts w:ascii="Times New Roman" w:cs="Times New Roman" w:eastAsia="Times New Roman" w:hAnsi="Times New Roman"/>
          <w:sz w:val="18"/>
          <w:szCs w:val="18"/>
          <w:color w:val="auto"/>
        </w:rPr>
        <w:t>” means all applicable statutes (including the Food, Drug, and Cosmetic Act (21 U.S.C. § 301 et seq.) and the Public Health Service Act (42 U.S.C. § 262 through § 263)), rules and regulations implemented, administered, or enforced by the FDA and any United States state and foreign equivalents, and as interpreted through FDA Guidance Documents (and United States state and foreign equivalents).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 Guidance Documents</w:t>
      </w:r>
      <w:r>
        <w:rPr>
          <w:rFonts w:ascii="Times New Roman" w:cs="Times New Roman" w:eastAsia="Times New Roman" w:hAnsi="Times New Roman"/>
          <w:sz w:val="18"/>
          <w:szCs w:val="18"/>
          <w:color w:val="auto"/>
        </w:rPr>
        <w:t>” means all applicable guidance documents issued by the FDA.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United States Federal Reserve System,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IRC.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with respect to any Credit Party, any Subsidiary of such Credit Party that is not a Domestic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 Holdco</w:t>
      </w:r>
      <w:r>
        <w:rPr>
          <w:rFonts w:ascii="Times New Roman" w:cs="Times New Roman" w:eastAsia="Times New Roman" w:hAnsi="Times New Roman"/>
          <w:sz w:val="18"/>
          <w:szCs w:val="18"/>
          <w:color w:val="auto"/>
        </w:rPr>
        <w:t>” means, with respect to any Credit Party, a Subsidiary of such Credit Party that (i) is organized, incorporated or formed under the laws of the United States and (ii) has no material assets other than equity in one or more Foreign Subsidiaries or Indebtedness of one or more Foreign Subsidiaries and any other assets incidental thereto.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4" w:name="page175"/>
    <w:bookmarkEnd w:id="174"/>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means, as amended and restated from time to time, collectively, (i) Regulation (EU) 2016/679 of the European Parliament and of the Council of 27 April 2016 on the protection of natural persons with regard to the processing of personal data and on the free movement of such data, and repealing Directive 95/46/EC (General Data Protection Regulation) (the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(ii) the UK Data Protection Act 2018 and the EU GDPR as it forms part of the laws of the United Kingdom by virtue of section 3 of the European Union (Withdrawal) Act 2018 and as amended by the Data Protection, Privacy and Electronic Communications (Amendments etc.) (EU Exit) Regulations 2019 (the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standards set forth in 21 C.F.R. Parts 50, 54, 56, 312, 314 and 316 (and any foreign or United States state equivalents) and FDA’s implementing guidance documents (and any foreign or United States state equivalents), and FDA-adopted International Council for Harmonisation (“</w:t>
      </w:r>
      <w:r>
        <w:rPr>
          <w:rFonts w:ascii="Times New Roman" w:cs="Times New Roman" w:eastAsia="Times New Roman" w:hAnsi="Times New Roman"/>
          <w:sz w:val="18"/>
          <w:szCs w:val="18"/>
          <w:b w:val="1"/>
          <w:bCs w:val="1"/>
          <w:color w:val="auto"/>
        </w:rPr>
        <w:t>ICH</w:t>
      </w:r>
      <w:r>
        <w:rPr>
          <w:rFonts w:ascii="Times New Roman" w:cs="Times New Roman" w:eastAsia="Times New Roman" w:hAnsi="Times New Roman"/>
          <w:sz w:val="18"/>
          <w:szCs w:val="18"/>
          <w:color w:val="auto"/>
        </w:rPr>
        <w:t>”) Good Clinical Practice guidance, including E6(R2) Good Clinical Practice: Integrated Addendum to ICH E6(R1).</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standards set forth in 21 C.F.R. Part 58 (and any foreign or United States state equivalent) and FDA’s implementing guidance documents (and any foreign or United States state equivalents).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standards set forth in 21 C.F.R. Parts 210, 211, 600 and 610 (and any foreign or United States state equivalents) and FDA’s implementing guidance documents (and any foreign or United States state equivalents).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means any consent, authorization, approval, licensure, clearance,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supranational organization, any state or other political subdivision thereof, any agency (including Regulatory Agencies, data protection authorities, and agencies acting as supervisory governmental organizations on issues of privacy protection), government department (including the U.S. Department of Justice), authority (including state attorneys general), instrumentality, regulatory body, ministry, board, commission, court, central bank or other entity exercising executive, legislative, judicial, taxing, regulatory or administrative functions of or pertaining to government, any securities exchange and any self-regulatory organization.</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Payor Programs</w:t>
      </w:r>
      <w:r>
        <w:rPr>
          <w:rFonts w:ascii="Times New Roman" w:cs="Times New Roman" w:eastAsia="Times New Roman" w:hAnsi="Times New Roman"/>
          <w:sz w:val="18"/>
          <w:szCs w:val="18"/>
          <w:color w:val="auto"/>
        </w:rPr>
        <w:t>” means all governmental third party payor programs in which any Credit Party or its Subsidiaries participates, including Medicare, Medicaid, TRICARE or any other U.S. federal or state health care programs.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at any time, any Person that is, pursuant to the terms of any Loan Document, a guarantor of any of the Obligations at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5" w:name="page176"/>
    <w:bookmarkEnd w:id="175"/>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collectively: (a) applicable federal, state or local laws, rules, regulations, orders, ordinances, codes, statutes, standards, and requirements issued under or in connection with Medicare, Medicaid or any other Governmental Payor Programs or issued in connection with or otherwise governing commercial third-party payor programs; (b) applicable federal and state laws and regulations governing health information, including HIPAA; (c) applicable federal, state and local fraud and abuse laws of any Governmental Authority, including the federal Anti- Kickback Statute (42 U.S.C. § 1320a-7(b)), the Stark law (42 U.S.C. § 1395nn and 1396b(s)), the civil False Claims Act (31 U.S.C. § 3729 et seq.), Sections 1320a-7 and 1320a-7a of Title 42 of the United States Code and the regulations promulgated pursuant to such statutes, and also any other U.S. or foreign laws or regulations that are applicable to health care fraud, abuse, corruption, waste, bribery, inducements, false statements, or false claims; (d) the Medicare Prescription Drug, Improvement, and Modernization Act of 2003 (Pub. L. No. 108-173) and the regulations promulgated thereunder and any other federal, state or local laws or regulations (or foreign equivalents thereof) governing the disclosure of payments or providing other items of value or remuneration or drug product samples to health care professionals, to the extent applicable; (e) the Physician Payment Sunshine Act (42 U.S.C. § 1320a-7h); (f) all applicable reporting and disclosure requirements, including any arising under the Medicaid Drug Rebate Program (e.g., Monthly and Quarterly Average Manufacturer Price, Baseline Average Manufacturer Price, and Rebate Per Unit, as applicable), Medicare Part B (Quarterly Average Sales Price), Section 602 of the Veteran’s Health Care Act (Public Health Service 340B Quarterly Ceiling Price), Section 603 of the Veteran’s Health Care Act (Quarterly and Annual Non-Federal Average Manufacturer Price and Federal Ceiling Price), Best Price, Federal Supply Schedule Contract Prices and Tricare Retail Pharmacy Refunds, and Medicare Part D; (g) applicable federal, state or local laws, rules, regulations, ordinances, statutes and requirements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regulation of managed care, third-party payors and Persons bearing the financial risk for the provision or arrangement of health care services,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billings to insurance companies, health maintenance organizations and other Managed Care Plans or otherwise relating to insurance fraud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insurance, health maintenance organization or managed care Requirements of Law; (h) regulations for the protection of human research subjects (including 45 C.F.R. part 46, and any foreign or United States state equivalents); (i) requirements for licensure or permitting of personnel who are engaged in marketing, sales, or medical activities under federal, state, or local laws (or foreign equivalents); (j) requirements concerning disclosure of pricing information and other company information to the public, customers, prescribers or to state and local agencies under federal, state, or local laws (or foreign equivalents); (k) laws and regulations requiring the adoption of compliance codes or policies; (l) the interoperability, information blocking, and health information technology certification program regulations promulgated under the 21st Century Cures Act, the underlying provisions of the 21st Century Cures Act (42 U.S.C. § 300jj et seq.) and regulations implementing information blocking penalties promulgated under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Century Cures Act, as applicable, and (m) any other applicable Requirements of Law relating to research, development, testing, approval, exclusivity, licensure, clearance, authorization, designation, post-approval (or post-licensure, post-clearance, or post-approval, as applicable) monitoring or commitments, reporting, manufacture, production, packaging, labeling, use, commercialization, marketing, promotion, advertising, importing, exporting, storage, transport, distribution, sale or offer for sale or lease, or payment of or for the Product.</w:t>
      </w:r>
    </w:p>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 Notwithstanding anything to the contrary in the foregoing, any Permitted Equity Derivative shall not constitute a Hedging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the Health Insurance Portability and Accountability Act of 1996, as amended and supplemented by the Health Information Technology for Economic and Clinical Health (HITECH) Act of 2009, any and all rules or regulations promulgated from time to time thereunder (including the regulations codified in 45 C.F.R. Parts 160, 162, and 164), and any U.S. state or federal laws with regard to the security, privacy, or notification of breaches of the confidentiality of health information which are not preempted pursuant to 45 C.F.R. Part 160, Subpart B.</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6" w:name="page177"/>
    <w:bookmarkEnd w:id="1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 accrued expenses and trade payables entered into in the ordinary course of business consistent with past practice which are not more than one hundred and eighty (180) days past due or subject to a bona fide dispute, (ii) obligations to pay for services provided by employees and individual independent contractors in the ordinary course of business consistent with past practice which are not more than one hundred and twenty (120) days past due or subject to a bona fide dispute, (iii) liabilities associated with customer prepayments and deposits, and (iv) prepaid or deferred revenue arising in the ordinary course of business), including (A) any obligation or liability to pay deferred purchase price or other similar deferred consideration for such assets, properties, services or rights where such deferred purchase price or consideration becomes due and payable solely upon the passage of time, and (B) any obligation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“Contingent Obligation” that is due and payable (or that becomes due and payable) solely with the passage of time (and not the occurrence of an event or the performance of an act);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Permitted Convertible Indebtedness)),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off-balance sheet loan or similar off balance sheet financing product by such Person; (h) Disqualified Equity Interests; (i) all indebtedness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(limited to the fair market value of the assets subject to such Lien); and (j) any obligation of such Person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Contingent Obligations. For the avoidance of doubt, “Indebtedness” shall include Permitted Convertible Indebtedness, but shall not include any Permitted Equity Derivative.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means, collectively, any and all liabilities, obligations, losses, damages (including natural resource damages), penalties, claims, actions, judgments, suits, costs, reasonable and documented out-of-pocket fees, expenses and disbursements of any kind or nature whatsoever (including the reasonable and documented fees and disbursements of one primary legal counsel for Indemnified Persons plus, as applicable, one local legal counsel in each relevant material jurisdiction and one intellectual property legal counsel, and in the case of an actual or perceived conflict of interest, one additional legal counsel for such affected Indemnified Persons), incurred by any Indemnified Person or asserted against any Indemnified Person by any Person (including Borrower or any other Credit Party) relating to or arising out of or in connection with, or as a result of, this Agreement or the other Loan Documents or the transactions contemplated hereby or thereby (including any Lender’s agreement to make Credit Extensions or the use or intended use of the proceeds thereof, or any enforcement of any of the Loan Documents (including any sale of, collection from, or other realization upon any of the Collateral or the enforcement of any guaranty of the Obligations)), including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Term Loan or the use or proposed use of the proceeds therefrom, (iii) any actual or alleged presence or release of Hazardous Materials on or from any property owned or operated by Borrower or any of its Subsidiaries, or any liability relating to any Environmental Law, any Release of Hazardous Materials or any Hazardous Materials Activity, (iv) any actual or prospective claim, suit, litigation, investigation, hearing or proceeding relating to any of the foregoing, whether based on contract, tort or any other theory, whether brought by, commenced or threatened in writing by any Person (including Borrower or any of its affiliates), and regardless of whether any Indemnified Person is or is designated as a party or a potential party thereto, and (v) the enforcement of the indemnity hereunder, in each case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Other Taxes.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7" w:name="page178"/>
    <w:bookmarkEnd w:id="17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xml:space="preserve">” means, with respect to any Person, any proceeding by or against such Person under the Bankruptcy Code, or any other domestic or foreign bankruptcy or insolvency law, including assignments for the benefit of creditors, compositions, extensions generally with its creditors, or proceedings seeking reorganization, arrangement, rescue process or other relief;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with respect to any Person incorporated, organized or formed in any jurisdiction other than the United States, “Insolvency Proceeding” shall not include any winding-up petition against such Credit Party which is frivolous or vexatious and is discharged or dismissed within thirty (30) days of the commencement thereof or any step or procedure in connection with any transaction otherwise permitted under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w:t>
      </w:r>
    </w:p>
    <w:p>
      <w:pPr>
        <w:spacing w:after="0" w:line="229" w:lineRule="exact"/>
        <w:rPr>
          <w:sz w:val="20"/>
          <w:szCs w:val="20"/>
          <w:color w:val="auto"/>
        </w:rPr>
      </w:pPr>
    </w:p>
    <w:p>
      <w:pPr>
        <w:ind w:left="1040" w:hanging="384"/>
        <w:spacing w:after="0"/>
        <w:tabs>
          <w:tab w:leader="none" w:pos="1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Trademarks, and Patents;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trade secret rights, including any rights to unpatented inventions, know-how, show-how and operating manuals;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3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arising under any contract or Requirements of Law in or relating to Internet Domain Names;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rights;</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Ancillary Rights (including all IP Ancillary Rights related to any of the foregoing);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property or industrial property rights.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the last day of each calendar quarter.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(a) the period commencing on (and including) the Tranche A Closing Date and ending on (and including) the first Interest Date occurring in the calendar quarter immediately following the Tranche A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Date is not a Business Day, the applicable Interest Period shall end on Business Day immediately preceding such date; and (b) thereafter, each period beginning on (and including) the first day following the end of the preceding Interest Period and ending on the earlier of (and including) (x) the next Interest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any such last day is not a Business Day, the applicable Interest Period shall end on the Business Day immediately preceding such date, (y) the next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such day is not a Business Day, the applicable Interest Period shall end on the Business Day immediately preceding such date, and (z) the Term Loan Maturity Date. For the avoidance of doubt, if an Interest Period ends on a Payment Date, the next Interest Period shall commence on (and include) the first day following such Payment Date and shall end on (and include) the earlier of the next Interest Date, the next Payment Date or the Term Loan Maturity Date, as described above.</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Internet Domain Name</w:t>
      </w:r>
      <w:r>
        <w:rPr>
          <w:rFonts w:ascii="Times New Roman" w:cs="Times New Roman" w:eastAsia="Times New Roman" w:hAnsi="Times New Roman"/>
          <w:sz w:val="18"/>
          <w:szCs w:val="18"/>
          <w:color w:val="auto"/>
        </w:rPr>
        <w:t>” means all right, title and interest (and all related IP Ancillary Rights) arising under any contract or Requirements of Law in or relating to Internet domain names.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“inventory” as defined in the Code in effect on the date hereof with such additions to such term as may hereafter be made, and includes all merchandise (including inventory of the Product), materials (including raw materials), parts, components (including component materials and component raw materials), supplies, packing and shipping materials, work in process and finished products, technology (including software, systems, and solutions), and all elements needed to fulfill obligations related to the Product under any Manufacturing Agreements including such inventory as is temporarily out of a Credit Party’s or Subsidiary’s custody or possession or in transit (prior to title having transferred) and including any returned goods and any documents of title representing any of the above.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8" w:name="page179"/>
    <w:bookmarkEnd w:id="17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(a) any beneficial ownership interest in any Person (including Equity Interests), (b) any Acquisition or (c) the making of any advance, loan, extension of credit or capital contribution in or to, any Person. The amount of an Investment shall be the amount actually invested (which, in the case of any Investment by a Credit Party or any of its Subsidiaries constituting the contribution of an asset or property, shall be based on the good faith estimate of the fair market value of such asset or property at the time such Investment is made as reasonably determined in good faith by a Responsible Officer of such Credit Party), less the amount of cash received or returned for such Investment, without adjustment for subsequent increases or decreases in the value of such Investment or write-ups, write-downs or write-offs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amount be less than zero.</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Agreements</w:t>
      </w:r>
      <w:r>
        <w:rPr>
          <w:rFonts w:ascii="Times New Roman" w:cs="Times New Roman" w:eastAsia="Times New Roman" w:hAnsi="Times New Roman"/>
          <w:sz w:val="18"/>
          <w:szCs w:val="18"/>
          <w:color w:val="auto"/>
        </w:rPr>
        <w:t>” means, collectively, (a) those certain IP Security Agreement(s) entered into by and between Parent or another Credit Party, on the one hand, and the Collateral Agent, on the other hand, dated as of the Tranche A Closing Date, and (b) any IP Security Agreement entered into by and between any relevant Credit Party and the Collateral Agent after the Tranche A Closing Date in accordance with the Loan Documents.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Ancillary Rights</w:t>
      </w:r>
      <w:r>
        <w:rPr>
          <w:rFonts w:ascii="Times New Roman" w:cs="Times New Roman" w:eastAsia="Times New Roman" w:hAnsi="Times New Roman"/>
          <w:sz w:val="18"/>
          <w:szCs w:val="18"/>
          <w:color w:val="auto"/>
        </w:rPr>
        <w:t>”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 means “IP Security Agreement”, as such term is defined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IRC</w:t>
      </w:r>
      <w:r>
        <w:rPr>
          <w:rFonts w:ascii="Times New Roman" w:cs="Times New Roman" w:eastAsia="Times New Roman" w:hAnsi="Times New Roman"/>
          <w:sz w:val="18"/>
          <w:szCs w:val="18"/>
          <w:color w:val="auto"/>
        </w:rPr>
        <w:t>” means the Internal Revenue Code of 1986, as amended, or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 or any successor agency.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Data Protection Law</w:t>
      </w:r>
      <w:r>
        <w:rPr>
          <w:rFonts w:ascii="Times New Roman" w:cs="Times New Roman" w:eastAsia="Times New Roman" w:hAnsi="Times New Roman"/>
          <w:sz w:val="18"/>
          <w:szCs w:val="18"/>
          <w:color w:val="auto"/>
        </w:rPr>
        <w:t>” means, collectively, the Israeli Protection of Privacy Law, 5741-1981 (including any regulations promulgated thereunder), the Israeli Protection of Privacy (Data Security) Regulations, 5777-2017, the guidelines issued by the Israeli Privacy Protection Authority, the Israeli Basic Law: Human Dignity and Liberty, 5752-1992, the Israeli Patient’s Rights Law, 5756-1996; the directives and applicable circulars issued by the Israeli Ministry of Health relating to Secondary Use of Medical Data, and other Israeli statutes and regulations concerning protection of privacy, information security, or processing of personal data.</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Security Agreement</w:t>
      </w:r>
      <w:r>
        <w:rPr>
          <w:rFonts w:ascii="Times New Roman" w:cs="Times New Roman" w:eastAsia="Times New Roman" w:hAnsi="Times New Roman"/>
          <w:sz w:val="18"/>
          <w:szCs w:val="18"/>
          <w:color w:val="auto"/>
        </w:rPr>
        <w:t>” means, collectively, (a) that certain Israeli law-governed Fixed Charge Debenture (Unlimited in Amount), dated as of the Tranche A Closing Date, by and between Parent and the Collateral Agent, for the benefit of Lenders and the other Secured Parties, pursuant to which Parent grants the Collateral Agent, for the benefit of Lenders and the other Secured Parties, a first ranking fixed charge over all of Parent’s rights, title, interest and benefits in the Charged Assets (as such term is defined therein) and (b) that certain Israeli law-governed Floating Charge Debenture (Unlimited in Amount), dated as of the Tranche A Closing Date, by and between Parent and the Collateral Agent, for the benefit of Lenders and the other Secured Parties, pursuant to which Parent grants the Collateral Agent, for the benefit of Lenders and the other Secured Parties, a first ranking floating charge over all of Parent’s rights, title, interest and benefits in the Charged Assets (as such term is defined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JELMYTO</w:t>
      </w:r>
      <w:r>
        <w:rPr>
          <w:rFonts w:ascii="Times New Roman" w:cs="Times New Roman" w:eastAsia="Times New Roman" w:hAnsi="Times New Roman"/>
          <w:sz w:val="18"/>
          <w:szCs w:val="18"/>
          <w:color w:val="auto"/>
        </w:rPr>
        <w:t>®” is defined in the definition of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with respect to any Person, the actual knowledge, after reasonable investigation, of the Responsible Officers of such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Person signatory hereto as a “Lender” and its successors and assigns.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Expenses</w:t>
      </w:r>
      <w:r>
        <w:rPr>
          <w:rFonts w:ascii="Times New Roman" w:cs="Times New Roman" w:eastAsia="Times New Roman" w:hAnsi="Times New Roman"/>
          <w:sz w:val="18"/>
          <w:szCs w:val="18"/>
          <w:color w:val="auto"/>
        </w:rPr>
        <w:t>” means, collectively:</w:t>
      </w:r>
    </w:p>
    <w:p>
      <w:pPr>
        <w:spacing w:after="0" w:line="229" w:lineRule="exact"/>
        <w:rPr>
          <w:sz w:val="20"/>
          <w:szCs w:val="20"/>
          <w:color w:val="auto"/>
        </w:rPr>
      </w:pPr>
    </w:p>
    <w:p>
      <w:pPr>
        <w:jc w:val="both"/>
        <w:ind w:firstLine="656"/>
        <w:spacing w:after="0" w:line="253" w:lineRule="auto"/>
        <w:tabs>
          <w:tab w:leader="none" w:pos="104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fees and expenses of the Collateral Agent and, as applicable, each Lender (and their respective successors and assigns) and their respective Related Parties (including the reasonable and documented out-of-pocket fees, expenses and disbursements of any legal counsel, manufacturing consultants or intellectual property experts (it being agreed that such consultant or expert fees, expenses and disbursements shall be limited to one such consultant and one such expert for the Collateral Agent, Lenders and such Related Parties, taken as a whole and in the case of an actual or perceived conflict of interest, one additional legal counsel for such affected Indemnified Person) therefor, (i) incurred in connection with developing, preparing, negotiating, syndicating, executing and delivering, and interpreting, investigating and administering, the Loan Documents (or any term or provision thereof), any commitment, proposal letter, letter of intent or term sheet therefor or any other document prepared in connection therewith, (ii) incurred in connection with the consummation and administration of any transaction contemplated therein, (iii) incurred in connection with the performance of any obligation or agreement contemplated therein, (iv) incurred in connection with any modification or amendment or restatement of any term or provision of, or any supplement to, or the termination (in whole or in part) of, any Loan Document, (v) incurred in connection with internal audit reviews and Collateral audits, or (vi) otherwise incurred with respect to the Credit Parties in connection with the Loan Documents, including any filing or recording fees and expenses; and</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reasonable and documented out-of-pocket costs and expenses incurred by the Collateral Agent and each Lender (and their respective successors and assigns) and their respective Related Parties (including the reasonable and documented out-of-pocket fees, expenses and disbursements of any legal counsel therefor for the Collateral Agent, Lenders and such Related Parties taken as a whole and in the case of an actual or perceived conflict of interest, one additional legal counsel for such affected Indemnified Person) in connection with (i) any refinancing or restructuring of the credit arrangements provided hereunder in the nature of a “work-out,” (ii) the enforcement or protection or preservation of any right or remedy under any Loan Document, any Obligation, with respect to any of the Collateral or any other related right or remedy, or (iii) the commencement, defense, conduct of, intervention in, or the taking of any other action with respect to, any proceeding (including any Insolvency Proceeding) related to any Credit Party or any Subsidiary of any Credit Party in respect of any Loan Document or Obligation, or otherwise in connection with any Loan Document or Obligation (or the response to and preparation for any subpoena or request for document production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with respect to an Insolvency Proceeding, to the extent such enforcement entails the Collateral Agent or any Lender commencing legal action of any sort against Borrower, any fees and expenses incurred in connection therewith shall only be payable by Borrower to the extent the Collateral Agent or any Lender is successful in such legal action.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 claim, mortgage, deed of trust, levy, charge, pledge, security interest or other encumbrance of any kind or assignment for security purposes, whether voluntarily incurred or arising by operation of law or otherwise against any property or assets.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this Agreement, the Disclosure Letter, the Term Loan Notes, the Security Agreement, the Israeli Security Agreement, the RTW Intercreditor Agreement, the IP Agreements, the Perfection Certificate, any Control Agreement, any Collateral Access Agreement, any other Collateral Document, any guaranties executed by a Guarantor in favor of the Collateral Agent for the benefit of Lenders and the other Secured Parties in connection with this Agreement, and any other present or future agreement between or among a Credit Party, the Collateral Agent and any Lender in connection with this Agreement, including in each case, for the avoidance of doubt, any annexes, exhibits or schedules thereto, and any related ancillary documents, accessions, agreements, waivers or consents.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the Tranche A Makewhole Amount or the Tranche B Makewhole Amount or the combination thereof, as the context dictates.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Managed Care Plans</w:t>
      </w:r>
      <w:r>
        <w:rPr>
          <w:rFonts w:ascii="Times New Roman" w:cs="Times New Roman" w:eastAsia="Times New Roman" w:hAnsi="Times New Roman"/>
          <w:sz w:val="18"/>
          <w:szCs w:val="18"/>
          <w:color w:val="auto"/>
        </w:rPr>
        <w:t>” means all health maintenance organizations, preferred provider organizations, individual practice associations, competitive medical plans and similar arrangements.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0" w:name="page181"/>
    <w:bookmarkEnd w:id="18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Agreement</w:t>
      </w:r>
      <w:r>
        <w:rPr>
          <w:rFonts w:ascii="Times New Roman" w:cs="Times New Roman" w:eastAsia="Times New Roman" w:hAnsi="Times New Roman"/>
          <w:sz w:val="18"/>
          <w:szCs w:val="18"/>
          <w:color w:val="auto"/>
        </w:rPr>
        <w:t xml:space="preserve">” means (a) any contract or agreement entered into on or prior to the Effective Date by any Credit Party or any of its Subsidiaries with third parties for (i) the clinical or commercial manufacture or in-bound supply in the Territory of Product for any indication, or (ii) for the commercial manufacture or in-bound supply of the active pharmaceutical ingredient incorporated therein that was included in the NDA for Product (with the Manufacturing Agreements in effect as of the Effective Date being set forth in </w:t>
      </w:r>
      <w:r>
        <w:rPr>
          <w:rFonts w:ascii="Times New Roman" w:cs="Times New Roman" w:eastAsia="Times New Roman" w:hAnsi="Times New Roman"/>
          <w:sz w:val="18"/>
          <w:szCs w:val="18"/>
          <w:u w:val="single" w:color="auto"/>
          <w:color w:val="auto"/>
        </w:rPr>
        <w:t>Schedule 12.1</w:t>
      </w:r>
      <w:r>
        <w:rPr>
          <w:rFonts w:ascii="Times New Roman" w:cs="Times New Roman" w:eastAsia="Times New Roman" w:hAnsi="Times New Roman"/>
          <w:sz w:val="18"/>
          <w:szCs w:val="18"/>
          <w:color w:val="auto"/>
        </w:rPr>
        <w:t xml:space="preserve"> of the Disclosure Letter), and (b) any future contract or agreement entered into after the Effective Date by any Credit Party or any of its Subsidiaries with third parties for (i) the clinical or commercial manufacture or in-bound supply in the Territory of Product for any indication or (ii) for the commercial manufacture or in-bound supply of the active ingredient incorporated therein. For the avoidance of doubt, the licensing and supply agreement with medac Gesellschaft für klinische Spezialpräparate m.b.H. dated January 2024 is a Manufacturing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means “margin stock” within the meaning of Regulations U and X of the Federal Reserve Board as now and from time to time hereafter in effect.</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xml:space="preserve">” means any material adverse change in or material adverse effect on: (a) the business, financial condition, properties or assets (including all or any portion of the Collateral that is material to the exclusivity of each of JELMYTO® and ZUSDURI®), liabilities (actual or contingent), operations or performance of the Credit Parties, taken as a whole, since December 31, 2024; (b) without limiting the generality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 the rights of the Credit Parties, taken as a whole, in or related to the research, development, manufacture, production, use, commercialization, marketing, importing, storage, transport, offer for sale, distribution or sale of each of JELMYTO® and ZUSDURI® in the Specified Territory, (ii) any rights that are material to the business and operations of the Credit Parties and their Subsidiaries, taken as a whole, under any Material Contract, or (iii) the period of regulatory exclusivity granted by the FDA for JELMYTO® or ZUSDURI® (including Orphan Drug exclusivity in the case of JELMYTO®); (c) the ability of the Credit Parties, taken as a whole, to fulfill the payment or performance obligations under this Agreement or any other Loan Document; (d) the binding nature or validity of, or the ability of the Collateral Agent or any Lender to enforce, the Loan Documents or any of its rights or remedies under any of the Loan Documents (except to the extent resulting from any act or omission to act on the part of the Collateral Agent or any Lender); or (e) the validity, perfection (except to the extent expressly permitted under the Loan Documents) or priority of Liens in favor of the Collateral Agent for the benefit of the Lenders and the other Secured Parties. Notwithstanding the foregoing, none of the following events shall, in and of itself, constitute or be deemed to constitute a Material Adverse Change if and only so long as, in each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such event does not involve or relate to JELMYTO® or ZUSDURI®: (i) adverse results or delays in any nonclinical or clinical trial; (ii) the failure to achieve any clinical or non-clinical trial goals or objectives, including the failure to demonstrate the desired safety or efficacy of any drug or companion diagnostic; (iii) any denial, delay or limitation of approval of the FDA (or foreign equivalents) or any other Governmental Authority; or (iv) a change in or discontinuation of a strategic partnership or other collaboration or license arrangement.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xml:space="preserve">” means any contract or other arrangement to which any Credit Party or any of its Subsidiaries is a party (other than the Loan Documents) or by which any of its assets or properties are bound, in each case, relating to the research, development, manufacture, production, use, commercialization, marketing, importing, storage, transport, offer for sale, distribution or sale of the Product in the Territory, for which the breach of, default or nonperformance under, cancellation or termination of or the failure to renew could reasonably be expected to result in a Material Adverse Change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thereof. For the avoidance of doubt, each Manufacturing Agreement and each Company IP Agreement is a Material Contract and the Pre-Paid Forward Contract and each other PPFC Document is a Material Contract. For the avoidance of doubt, the following agreements are not Material Contracts: (a) any customer contracts, (b) any purchase orders or statements of work entered into from time to time in the ordinary course of business pursuant to Manufacturing Agreements, (c) agreements or other contractual arrangements in connection with capital expenditures in the ordinary course of business, (d) agreements or other contractual arrangements entered into in the ordinary course of business in connection with the purchase of materials or the sale of third party products for further distribution and (e) distribution agreements entered into in the ordinary course of business with third parties for the sale of the Product in a specific territory outside of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Medicaid</w:t>
      </w:r>
      <w:r>
        <w:rPr>
          <w:rFonts w:ascii="Times New Roman" w:cs="Times New Roman" w:eastAsia="Times New Roman" w:hAnsi="Times New Roman"/>
          <w:sz w:val="18"/>
          <w:szCs w:val="18"/>
          <w:color w:val="auto"/>
        </w:rPr>
        <w:t>” means the health care assistance program established by Title XIX of the SSA (42 U.S.C. 1396 et seq.).</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Medicare</w:t>
      </w:r>
      <w:r>
        <w:rPr>
          <w:rFonts w:ascii="Times New Roman" w:cs="Times New Roman" w:eastAsia="Times New Roman" w:hAnsi="Times New Roman"/>
          <w:sz w:val="18"/>
          <w:szCs w:val="18"/>
          <w:color w:val="auto"/>
        </w:rPr>
        <w:t>” means the health insurance program for the aged and disabled established by Title XVIII of the SSA (42 U.S.C. 1395 et seq.).</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1" w:name="page182"/>
    <w:bookmarkEnd w:id="18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any deed of trust, leasehold deed of trust, mortgage, leasehold mortgage, deed to secure debt, leasehold deed to secure debt or other document creating a Lien on real estate or any interest in real estate.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within the meaning of Section 4001(a)(3) or Section 3(37) of ERISA (a) to which Parent or its Subsidiaries or their respective ERISA Affiliates is then making or accruing an obligation to make contributions; (b) to which Parent or its Subsidiaries or their respective ERISA Affiliates has within the preceding five (5) plan years made contributions; or (c) with respect to which Parent or its Subsidiaries could incur material liability.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submitted to the FDA pursuant to 21 U.S.C. § 355 seeking authorization to market a new drug in the United States.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as of any date of determination with respect to each of JELMYTO® and ZUSDURI®, the net consolidated product revenue (consistent with the calculation of same in Parent’s financial statements) of Parent and its Subsidiaries of JELMYTO® or ZUSDURI®, respectively, for the twelve (12) months prior to such date (excluding, for the avoidance of doubt, any (i) upfront or milestone payments received by Parent or any of its Subsidiaries, (ii) advancements, payments or reimbursements of expenses of Parent or any of its Subsidiaries, and (iii) any other non-sales-based revenue or proceeds received by Parent or any of its Subsidiaries), determined on a consolidated basis in accordance with Applicable Accounting Standards as set forth in Parent’s financial statements or as otherwise evidenced in a manner reasonably satisfactory to the Required Lenders.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collectively, the Credit Parties’ obligations to pay when due any and all debts, principal, interest, Lender Expenses, the Additional Consideration, the Exit Consideration, the Makewhole Amount, the Prepayment Premium and any other fees, expenses, indemnities and amounts any Credit Party owes any Lender or the Collateral Agent now or later, under this Agreement or any other Loan Document, including interest accruing after Insolvency Proceedings begin (whether or not allowed), and to perform Borrower’s (or Parent’s as applicable) duties under the Loan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means, collectively with respect to any Person, such Person’s formation and constitutional documents and, (a) if such Person is a corporation, its bylaws (or similar organizational regulations), (b) if such Person is an exempted company or a company limited by shares, its memorandum and articles of association (or similar organizational regulations), (c) if such Person is a limited liability company, its limited liability company agreement (or similar agreement), and (d) if such Person is a partnership, its partnership agreement (or similar agreement), in each case including all amendments, restatements, amendment and restatements, supplements and other modifications thereto.</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Orphan Drug</w:t>
      </w:r>
      <w:r>
        <w:rPr>
          <w:rFonts w:ascii="Times New Roman" w:cs="Times New Roman" w:eastAsia="Times New Roman" w:hAnsi="Times New Roman"/>
          <w:sz w:val="18"/>
          <w:szCs w:val="18"/>
          <w:color w:val="auto"/>
        </w:rPr>
        <w:t>” means a drug or biologic that meets the definition for “orphan drug” provided in 21 C.F.R. § 316.3(b)(10) that has been granted an orphan drug designation by the Secretary of U.S. Department of Health and Human Services under 21 U.S.C. § 360bb, and any foreign equivalents.</w:t>
      </w:r>
    </w:p>
    <w:p>
      <w:pPr>
        <w:spacing w:after="0" w:line="155" w:lineRule="exact"/>
        <w:rPr>
          <w:sz w:val="20"/>
          <w:szCs w:val="20"/>
          <w:color w:val="auto"/>
        </w:rPr>
      </w:pPr>
    </w:p>
    <w:p>
      <w:pPr>
        <w:jc w:val="both"/>
        <w:ind w:firstLine="70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Taxes imposed as a result of a present or former connection (including present or former connection of its agents) between such Lender and the jurisdiction imposing such Tax (other than connections arising solely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2" w:name="page183"/>
    <w:bookmarkEnd w:id="18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excise, filing, value added Taxes, mortgage or 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 Lender Transfer.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and patent applications (including any improvements, continuations, continuations-in-part, divisions,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and international counterparts of any of the foregoing. For the avoidance of doubt, patents and patent applications under this definition include individual patent claims and include all patents and patent applications filed with the U.S. Patent and Trademark Office or which could be nationalized in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means, with respect to the Term Loans and as the context dictates: (a) the first Interest Date occurring in the calendar quarter immediately following the Tranche A Closing Date; (b) thereafter, each succeeding Interest Date; and (c) the Term Loan Maturity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PCI Cap</w:t>
      </w:r>
      <w:r>
        <w:rPr>
          <w:rFonts w:ascii="Times New Roman" w:cs="Times New Roman" w:eastAsia="Times New Roman" w:hAnsi="Times New Roman"/>
          <w:sz w:val="18"/>
          <w:szCs w:val="18"/>
          <w:color w:val="auto"/>
        </w:rPr>
        <w:t xml:space="preserve">” means, as of the date of the pricing of any issuance or incurrence of Permitted Convertible Indebtedness or other date of determination, as applicable, an amount not to exceed, in the aggregate, $250,000,000;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Default or Event of Default has occurred and is continuing as of such date (including, for the avoidance of doubt, any Material Adverse Change or Withdrawal Event).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defined in Section 4.6.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any Acquisition, so long as:</w:t>
      </w:r>
    </w:p>
    <w:p>
      <w:pPr>
        <w:spacing w:after="0" w:line="229" w:lineRule="exact"/>
        <w:rPr>
          <w:sz w:val="20"/>
          <w:szCs w:val="20"/>
          <w:color w:val="auto"/>
        </w:rPr>
      </w:pPr>
    </w:p>
    <w:p>
      <w:pPr>
        <w:ind w:right="20" w:firstLine="656"/>
        <w:spacing w:after="0" w:line="282" w:lineRule="auto"/>
        <w:tabs>
          <w:tab w:leader="none" w:pos="11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as of, or could reasonably be expected to result from, the consummation of such Acquisition;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or assets being acquired or licensed, or the Person whose Equity Interests are being acquired, are useful in or engaged in, as applicable, (i) the same, similar or related line of business as that then-conducted by Parent and its Subsidiaries, or (ii) a line of business that is related or ancillary to or in furtherance of a line of business as that then-conducted by Parent and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Asset Acquisition, the subject assets are being acquired or licensed by a Credit Party and, within the timeframes expressly set forth in Section 5.12 with respect to all such assets constituting Collateral, such Credit Party shall have executed and delivered or authorized, as applicable, any and all joinders, security agreements, financing statements and any other documentation, and made such other deliveries,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reasonably requested by the Collateral Agent in order to include the newly acquired or licensed assets within the Collateral, in each case to the extent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8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Stock Acquisition, any and all Equity Interests are being acquired in such Acquisition directly or indirectly by a Credit Party and, within the timeframes expressly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such Credit Party shall have complied with its obligations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in each case to the extent such Equity Interests are subject thereto; and</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or Liens assumed in connection with such Acquisition are otherwise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3" w:name="page184"/>
    <w:bookmarkEnd w:id="18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Indebtedness</w:t>
      </w:r>
      <w:r>
        <w:rPr>
          <w:rFonts w:ascii="Times New Roman" w:cs="Times New Roman" w:eastAsia="Times New Roman" w:hAnsi="Times New Roman"/>
          <w:sz w:val="18"/>
          <w:szCs w:val="18"/>
          <w:color w:val="auto"/>
        </w:rPr>
        <w:t xml:space="preserve">” means Indebtedness of the Parent or any Subsidiary of Parent that is a Credit Party having a feature which entitles the holder thereof in certain circumstances to convert or exchange all or a portion of such Indebtedness into Equity Interests in Parent or such Subsidiary (or other securities or property following a merger event or other change of the common stock of Parent or such Subsidiary), cash or any combination of cash and such Equity Interests (or such other securities or property) based on the market price of such Equity Interests (or such other securities or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such Indebtedness shall be unsecured, (b) such Indebtedness shall not be guaranteed by any Subsidiary of Parent, (c) such Indebtedness shall bear interest at a rate per annum not to exceed five percent (5.0%), (d) such Indebtedness shall not include covenants and defaults (other than covenants and defaults customary for convertible indebtedness but not customary for loans, as determined by Parent in its good faith judgment) that are, taken as a whole, more restrictive on the Credit Parties than the provisions of this Agreement (as determined by Parent in its good faith judgment), (e) immediately prior to and after giving effect to the incurrence of such Indebtedness, no Default or Event of Default shall have occurred and be continuing or could reasonably be expected to occur as a result therefrom (after giving effect to this Agreement), (f) such Indebtedness shall not (i) mature or be mandatorily redeemable, pursuant to a sinking fund obligation or otherwise, (ii) be redeemable at the option of the holder thereof, in whole or in part or (iii) provide for the scheduled payment of dividends or distributions (other than scheduled cash interest payments) in cash, in each case of the foregoing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earlier than twelve (12) months after the Term Loan Maturity Date (it being understood, for the avoidance of doubt, that (w) a redemption right of Parent or such Subsidiary in respect of such Indebtedness, (x) conversion rights of holders in respect of such Indebtedness,</w:t>
      </w:r>
    </w:p>
    <w:p>
      <w:pPr>
        <w:spacing w:after="0" w:line="4" w:lineRule="exact"/>
        <w:rPr>
          <w:sz w:val="20"/>
          <w:szCs w:val="20"/>
          <w:color w:val="auto"/>
        </w:rPr>
      </w:pPr>
    </w:p>
    <w:p>
      <w:pPr>
        <w:jc w:val="both"/>
        <w:ind w:firstLine="8"/>
        <w:spacing w:after="0" w:line="251" w:lineRule="auto"/>
        <w:tabs>
          <w:tab w:leader="none" w:pos="26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acceleration rights of holders of such Indebtedness upon the occurrence of an event of default specified in the agreement governing such Indebtedness and (z) the obligation to pay customary amounts to holders of such Indebtedness in connection with a “change of control” or “fundamental change”, in each case, shall not be considered in connection with the determination of scheduled maturity date for purposes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(g) immediately after giving effect to the incurrence of any such Indebtedness (and any prepayment, repurchase or redemption of any existing Permitted Convertible Indebtedness using cash proceeds of the issuance of such Indebtedness (and any cash proceeds received pursuant to the exercise, early unwind or termination of any Permitted Equity Derivatives in connection with such prepayment, repurchase or redemption)), the amount of all Permitted Convertible Indebtedness then outstanding shall not exceed the PCI Cap; (h) as of the date of pricing for, and as of the Trading Day immediately preceding the creation, incurrence or assumption of, any such Indebtedness, (i) Parent’s market capitalization is greater than $750,000,000 and (ii) the first FDA approval of UGN-103 has been obtained for marketing and distribution in the United States; and (h) Parent shall have delivered to the Collateral Agent a certificate of a Responsible Officer of Parent certifying as to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with respect to any such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Distributions</w:t>
      </w:r>
      <w:r>
        <w:rPr>
          <w:rFonts w:ascii="Times New Roman" w:cs="Times New Roman" w:eastAsia="Times New Roman" w:hAnsi="Times New Roman"/>
          <w:sz w:val="18"/>
          <w:szCs w:val="18"/>
          <w:color w:val="auto"/>
        </w:rPr>
        <w:t xml:space="preserve">” means, in each case subject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if applicable:</w:t>
      </w:r>
    </w:p>
    <w:p>
      <w:pPr>
        <w:spacing w:after="0" w:line="229" w:lineRule="exact"/>
        <w:rPr>
          <w:sz w:val="20"/>
          <w:szCs w:val="20"/>
          <w:color w:val="auto"/>
        </w:rPr>
      </w:pPr>
    </w:p>
    <w:p>
      <w:pPr>
        <w:ind w:firstLine="656"/>
        <w:spacing w:after="0" w:line="282" w:lineRule="auto"/>
        <w:tabs>
          <w:tab w:leader="none" w:pos="116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other payments by any Wholly-Owned Subsidiary of Parent on its Equity Interests to, or the redemption, retirement or purchase by any Wholly-Owned Subsidiary of Parent of its Equity Interests from, Parent or any other Wholly-Owned Subsidiary of Parent;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other payments by any non-Wholly-Owned Subsidiary on its Equity Interests to, or the redemption, retirement or purchase by any non-Wholly-Owned Subsidiary of its Equity Interests from, Parent or any other Subsidiary or each other owner of such non-Wholly-Owned Subsidiary’s Equity Interests based on their relative ownership interests of the relevant class of such Equity Interests;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3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 redemptions or conversions by Parent in whole or in part any of its Equity Interests for or into another class of its Equity Interests or rights to acquire its Equity Interests or with proceeds from substantially concurrent equity contributions or issuances of new Equity Interests;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payments arising from a Permitted Acquisition or other Permitted Investment by Parent or any of its Subsidiaries;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by Borrower solely in non-cash pay and non-redeemable capital stock (including, for the avoidance of doubt, dividends and distributions payable solely in Equity Interests);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4" w:name="page185"/>
    <w:bookmarkEnd w:id="184"/>
    <w:p>
      <w:pPr>
        <w:ind w:firstLine="656"/>
        <w:spacing w:after="0" w:line="282" w:lineRule="auto"/>
        <w:tabs>
          <w:tab w:leader="none" w:pos="107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the issuance of fractional shares arising out of stock dividends, splits or combinations or in connection with the exercise of warrants, options or other securities convertible into or exchangeable for Equity Interests;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Acquisition or other Investment by Parent or any of its Subsidiaries, (i) the receipt or acceptance of the return to Parent or any of its Subsidiaries of Equity Interests of Parent constituting a portion of the purchase price consideration in settlement of indemnification claims, or as a result of a purchase price adjustment (including earn-outs or similar obligations) and (ii) payments or distributions to equity holders pursuant to appraisal rights required under Requirements of Law;</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rights pursuant to any shareholder rights plan or the redemption of such rights for nominal consideration in accordance with the terms of any shareholder rights plan;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payments on its Equity Interests by any Subsidiary to any Credit Party;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payments on its Equity Interests by any Subsidiary that is not a Credit Party to any other Subsidiary that is not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Equity Interests of Parent or its Subsidiaries in connection with the exercise of stock options by way of cashless exercise, or in connection with the satisfaction of withholding tax obligations;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to directors, officers, employees or contractors of Borrower of common stock of Borrower upon the vesting of restricted stock, restricted stock units, or other rights to acquire common stock of Borrower, in each case pursuant to plans or agreements approved by Borrower’s Board of Directors or stockholders;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1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retirement or other acquisition or retirement for value of Equity Interests of Parent or any of its Subsidiaries held by any future, present or former employee, consultant, officer or director (or spouse, ex-spouse or estate of any of the foregoing or trust for the benefit of any of the foregoing or any lineal descendants thereof) of Parent or any of its Subsidiaries pursuant to any management equity plan or stock option plan or any other management or employee benefit plan or agreement, or any stock subscription or shareholder agreement or employment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payments made under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do not exceed in any calendar year the sum of (i) $3,000,000 plus (ii) the amount of any payments received in such calendar year under key-man life insurance policies;</w:t>
      </w:r>
    </w:p>
    <w:p>
      <w:pPr>
        <w:spacing w:after="0" w:line="18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on its Equity Interests by Parent or any of its Subsidiaries payable solely in additional shares of its common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Permitted Convertible Indebtedness and any Refinancing Convertible Debt relating thereto, the Credit Parties or its Subsidiaries may enter into Permitted Equity Derivatives (and may settle, terminate or unwind any such Permitted Equity Derivatives in connection with any refinancing, repurchase, redemption, early conversion or maturity of such Permitted Convertible Indebtedness).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 Derivative</w:t>
      </w:r>
      <w:r>
        <w:rPr>
          <w:rFonts w:ascii="Times New Roman" w:cs="Times New Roman" w:eastAsia="Times New Roman" w:hAnsi="Times New Roman"/>
          <w:sz w:val="18"/>
          <w:szCs w:val="18"/>
          <w:color w:val="auto"/>
        </w:rPr>
        <w:t xml:space="preserve">” means any call or capped call option (or substantively equivalent equity derivative transaction) or “call spread” transaction (which consists of separate call option and warrant transactions) relating to the Equity Interests of Parent or any other Credit Party purchased by Parent or such Credit Party in connection with the issuance or incurrence of Permitted Convertible Indebtedness and any Refinancing Convertible Debt relating thereto by Parent or such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purchase price for such call or capped call option or such other transaction (net of any proceeds received from the issuance of any related warrant transactions) does not exceed the net cash proceeds received by Parent or such other Credit Party from the issuance or incurrence of such Permitted Convertible Indebtedness or Refinancing Convertible Debt.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5480" w:right="2520" w:hanging="4824"/>
        <w:spacing w:after="0" w:line="532" w:lineRule="auto"/>
        <w:tabs>
          <w:tab w:leader="none" w:pos="104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Credit Parties to Secured Parties under this Agreement and the other Loan Documents;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ind w:left="1040" w:hanging="384"/>
        <w:spacing w:after="0"/>
        <w:tabs>
          <w:tab w:leader="none" w:pos="1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Effective Date and shown on </w:t>
      </w:r>
      <w:r>
        <w:rPr>
          <w:rFonts w:ascii="Times New Roman" w:cs="Times New Roman" w:eastAsia="Times New Roman" w:hAnsi="Times New Roman"/>
          <w:sz w:val="18"/>
          <w:szCs w:val="18"/>
          <w:u w:val="single" w:color="auto"/>
          <w:color w:val="auto"/>
        </w:rPr>
        <w:t>Schedule 12.2</w:t>
      </w:r>
      <w:r>
        <w:rPr>
          <w:rFonts w:ascii="Times New Roman" w:cs="Times New Roman" w:eastAsia="Times New Roman" w:hAnsi="Times New Roman"/>
          <w:sz w:val="18"/>
          <w:szCs w:val="18"/>
          <w:color w:val="auto"/>
        </w:rPr>
        <w:t xml:space="preserve"> of the Disclosure Letter;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Convertible Indebtedness (for the avoidance of doubt, in an aggregate outstanding amount not to exceed the PCI Cap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Permitted Convertible Indebtedness will not be deemed to be outstanding to the extent that, in connection with the issuance of any Refinancing Convertible Debt the Permitted Convertible Indebtedness to be refinanced is cancelled within three (3) Business Days of the incurrence of such Refinancing Convertible Debt;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13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not to exceed $5,000,000 in the aggregate at any time outstanding, consisting of (i) Indebtedness incurred to finance the purchase, construction, repair, or improvement of fixed assets and (ii) Capital Lease Obligations;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5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connection with trade credit, corporate credit cards, purchasing cards or bank card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Indebtedness that is secured shall not exceed $1,000,000 in the aggregate at any time outstanding;</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Permitted Indebtedness;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indemnity obligations and royalty payments or sales milestones based on net sales incurred in connection with any Permitted Acquisition, Permitted Transfer, Permitted Investment or any in-licensing or any collaboration, co-promotion or co-marketing arrangement; in each instance only if such Indebtedness is due and payable upon the occurrence of an event or the performance of an act (and not solely with the passage of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Parent or any of its Subsidiaries with respect to letters of credit, bank guarantees, bankers' acceptances, warehouse receipts or similar instruments outstanding and to the extent secured, secured solely by cash or Cash Equivalents, in each case entered into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(i) by a Credit Party to another Credit Party; (ii) by a Subsidiary of Parent that is not a Credit Party to another Subsidiary of Parent that is not a Credit Party; (iii) by a Credit Party to a Subsidiary of Parent that is not a Credit Party; or (iv) by a Subsidiary of Parent that is not a Credit Party to a Credit Party, not to exceed $5,000,000 in the aggregate at any time outstanding;</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Contingent Obligations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(i) of a Credit Party of Permitted Indebtedness of another Credit Party (or obligations that do not constitute Indebtedness hereunder and are not prohibited hereunder); (ii) of a Subsidiary of Parent which is not a Credit Party of Permitted Indebtedness (or obligations that do not constitute Indebtedness hereunder and are not prohibited hereunder) of another Subsidiary of Parent which is not a Credit Party; (iii) of a Subsidiary of Parent which is not a Credit Party of Permitted Indebtedness (or obligations that do not constitute Indebtedness hereunder and are not prohibited hereunder) of a Credit Party; or (iv) of a Credit Party of Permitted Indebtedness (or obligations that do not constitute Indebtedness hereunder and are not prohibited hereunder) of a Subsidiary of Parent which is not a Credit Party not to exceed $10,000,000 in the aggregate at any time outstanding;</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not to exceed $5,000,000 in the aggregate at any time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additional amounts payable in Equity Interests and cash in lieu of fractional shares consisting of earn-outs and other obligations in respect of deferred purchase price of assets, property, services or rights, incurred in connection with any Permitted Acquisition, Permitted Transfer, Permitted Investment or any in-licensing or any collaboration, co-promotion or co-marketing arrangement;</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(direct or indirect) Subsidiary of Parent (or of any Person not previously a Subsidiary that is merged or consolidated with or into a Subsidiary of Parent in a transaction permitted hereunder)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such Indebtedness is at all times Subordinated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jc w:val="both"/>
        <w:ind w:firstLine="656"/>
        <w:spacing w:after="0" w:line="261" w:lineRule="auto"/>
        <w:tabs>
          <w:tab w:leader="none" w:pos="112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11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bonds, bid bonds, appeal bonds, surety bonds and completion guarantees and similar obligations arising in the ordinary course of business;</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netting services, overdraft protection and other cash management services, in each case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guarantees resulting from endorsement of negotiable instruments for collection by any Credit Party in the ordinary course of business;</w:t>
      </w:r>
    </w:p>
    <w:p>
      <w:pPr>
        <w:spacing w:after="0" w:line="161"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incurred in connection with any items of Permitted Distributions in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of the definition of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w:t>
      </w:r>
    </w:p>
    <w:p>
      <w:pPr>
        <w:spacing w:after="0" w:line="206"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amount not to exceed $5,000,000 at any time outstanding; and</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proviso immediately below, extensions, refinancings, renewals, modifications, amendments, restatements and, in the case of any items of Permitted Indebtedness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or Permitted Indebtedness constituting notes governed by an indenture (including Permitted Convertible Indebtedness), exchanges, of any items of Permitted Indebtedness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principal amount thereof is not increased (other than by any reasonable amount of premium (if any), interest (including post-petition interest), fees, expenses, charges or additional or contingent interest reasonably incurred in connection with the same and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any Indebtedness permitted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thereof, (x) the maturity thereof is not shortened to before the Term Loan Maturity Date, (y) the amount of all Permitted Convertible Indebtedness permitted hereunder and then outstanding does not exceed the PCI Cap,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to or addition of any direct or indirect obligor with respect thereto.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“Permitted Indebtedness” shall not include any Hedging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or anything in this Agreement to the contrary, no direct or indirect synthetic royalty or similar financing transaction involving the sale of revenues or royalties entered into after the Tranche A Closing Date and, except to the extent incurred in connection with any Permitted Acquisitions, Permitted Investments, in-licensing agreements or any collaboration, co-promotion or co-marketing arrangements, in each case entered into by any Credit Party or any of its Subsidiaries, no Indebtedness constituting royalty payments or sales milestones based on net sales or similar payments that is, directly or indirectly, created, incurred, assumed or guaranteed after the Tranche A Closing Date by a Credit Party or any of its Subsidiaries, shall in any instance be permitted under this Agreement without the prior written consent of the Collateral Agent or the Required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656"/>
        <w:spacing w:after="0" w:line="282" w:lineRule="auto"/>
        <w:tabs>
          <w:tab w:leader="none" w:pos="109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(including Investments in Subsidiaries) existing on the Effective Date and shown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of the Disclosure Letter, including any extensions, renewals or reinvestments thereof;</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and Cash Equivalents;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Investments consisting of deposit accounts or securities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ind w:left="1040" w:hanging="384"/>
        <w:spacing w:after="0"/>
        <w:tabs>
          <w:tab w:leader="none" w:pos="10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Permitted Transfers;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agreements approved by Borrower’s Board of Directors;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3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accounts receivable of, or prepaid royalties and other credit extensions or advances, to customers, suppliers or manufacturers who are not Affiliates, in the ordinary course of business or otherwise to support capacity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apply to Investments of any Credit Party in any of its Subsidiaries;</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consisting of the licensing or development of technology or the providing of technical support;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required in connection with a Permitted Acquisition (including the formation of any Subsidiary for the purpose of effectuating such Permitted Acquisition, the capitalization of such Subsidiary whether by capital contribution or intercompany loans to the extent otherwise permitted by the terms of this Agreement, related Investments in Subsidiaries necessary to consummate such Permitted Acquisition and the receipt of any non-cash consideration in such Permitted Acquisition) and (ii) consisting of earnest money or escrow deposits required in connection with a Permitted Acquisition or other acquisition of properties or assets not otherwise prohibited hereunder;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6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the formation of any Subsidiary for the purpose of consummating a merger or acquisition transaction permitted by </w:t>
      </w:r>
      <w:r>
        <w:rPr>
          <w:rFonts w:ascii="Times New Roman" w:cs="Times New Roman" w:eastAsia="Times New Roman" w:hAnsi="Times New Roman"/>
          <w:sz w:val="18"/>
          <w:szCs w:val="18"/>
          <w:u w:val="single" w:color="auto"/>
          <w:color w:val="auto"/>
        </w:rPr>
        <w:t>Section 6.3(a)(i)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hereof, which such transaction is otherwise a Permitted Investment;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2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any Person that (i) becomes a Subsidiary of Parent (or of any Person not previously a Subsidiary of Parent that is merged or consolidated with or into a Subsidiary of Parent in a transaction permitted hereunder) after the Effective Date, or (ii) are assumed after the Effective Date by Parent or any Subsidiary of Parent in connection with an acquisition of assets from such Person by Parent or such Subsidiary, in either case,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any such Investment (x) exists at the time such Person becomes a Subsidiary of Parent (or is merged or consolidated with or into a Subsidiary of Parent) or such assets are acquired, (y) was not made in contemplation of or in connection with such Person becoming a Subsidiary of Parent (or merging or consolidating with or into a Subsidiary of Parent) or such acquisition of assets, and (z) could not reasonably be expected to result in a Default or an Event of Default;</w:t>
      </w:r>
    </w:p>
    <w:p>
      <w:pPr>
        <w:spacing w:after="0" w:line="188"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arising as a result of the licensing of Intellectual Property in the ordinary course of business and not prohibited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any Permitted Equity Derivative, including the payment of premiums in connection therewith;</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(i) any Credit Party in any other Credit Party; (ii) any Subsidiary of Parent which is not a Credit Party in another Subsidiary of Parent which is not a Credit Party; (iii) any Subsidiary of Parent which is not a Credit Party in any Credit Party; (iv) any Credit Party in a Subsidiary of Parent which is not a Credit Party, not to exceed $5,000,000 in the aggregate outstanding at any time; and (v) Parent and its Subsidiaries consisting of Equity Interests in their respective Subsidiaries existing on (x) the Tranche A Closing Date and (y) each other Closing Date, in each case of this </w:t>
      </w:r>
      <w:r>
        <w:rPr>
          <w:rFonts w:ascii="Times New Roman" w:cs="Times New Roman" w:eastAsia="Times New Roman" w:hAnsi="Times New Roman"/>
          <w:sz w:val="18"/>
          <w:szCs w:val="18"/>
          <w:u w:val="single" w:color="auto"/>
          <w:color w:val="auto"/>
        </w:rPr>
        <w:t>sub-clause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only if the formation or acquisition of, or merger or consolidation resulting in a Person becoming, a Subsidiary is not prohibited 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jc w:val="both"/>
        <w:ind w:firstLine="656"/>
        <w:spacing w:after="0" w:line="266" w:lineRule="auto"/>
        <w:tabs>
          <w:tab w:leader="none" w:pos="108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capital stock of Parent or any of its Subsidiaries deemed to occur upon the exercise of options, warrants or other rights to acquire capital stock of Parent or such Subsidiary solely to the extent that shares of such capital stock represent a portion of the exercise price of such options, warrants or such rights;</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non-cash consideration received for any Permitted Transfer;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7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acquisitions from third parties of inventory, equipment, office supplies, software and other similar assets in the ordinary course of business;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Indebtedness that is not Permitted Indebtedness is incurred or assumed in connection therewith;</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to exceed $5,000,000 outstanding at any time;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foregoing Investments shall be a “Permitted Investment” if any Indebtedness or Liens assumed in connection with such Investment are not otherwise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other than in connection with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above, “Permitted Investments” shall not include any Hedging Agreements.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means, collectively: (a) any non-exclusive license or covenant not to sue in any geography within the Territory, of or with respect to any Intellectual Property (including, for clarity, any Company IP); (b) any exclusive license or covenant not to sue as to any geography within the Territory other than the U.S., of or with respect to any Intellectual Property (including, for clarity, any Company IP); (c) any non-exclusive grant or covenant not to sue in any geography within the Territory, or any exclusive grant or covenant not to sue as to any geography within the Territory other than the U.S., of development, manufacturing, production, commercialization, marketing, co-promotion, distribution, sale, lease or similar commercial rights with respect to Product; and (d) any intercompany license, covenant not to sue, or other similar arrangement (i) in any geography within the Territory, between or among Credit Parties, and (ii) in any geography within the Territory other than the U.S., between or among Credit Parties and their respective Subsidiaries. Notwithstanding the foregoing or any other provision of this Agreement, no Excluded License entered into after the Tranche A Closing Date shall be a “Permitted License” hereunder without the prior written consent of the Collateral Agent or the Required Lenders.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040" w:hanging="384"/>
        <w:spacing w:after="0"/>
        <w:tabs>
          <w:tab w:leader="none" w:pos="10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and for the benefit of any Lender and the other Secured Parties securing the Obligations pursuant to any Loan Document;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set forth on </w:t>
      </w:r>
      <w:r>
        <w:rPr>
          <w:rFonts w:ascii="Times New Roman" w:cs="Times New Roman" w:eastAsia="Times New Roman" w:hAnsi="Times New Roman"/>
          <w:sz w:val="18"/>
          <w:szCs w:val="18"/>
          <w:u w:val="single" w:color="auto"/>
          <w:color w:val="auto"/>
        </w:rPr>
        <w:t>Schedule 12.4</w:t>
      </w:r>
      <w:r>
        <w:rPr>
          <w:rFonts w:ascii="Times New Roman" w:cs="Times New Roman" w:eastAsia="Times New Roman" w:hAnsi="Times New Roman"/>
          <w:sz w:val="18"/>
          <w:szCs w:val="18"/>
          <w:color w:val="auto"/>
        </w:rPr>
        <w:t xml:space="preserve"> of the Disclosure Letter;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incurred in the ordinary course of business and which are not yet due and payable or if due and payable, (i) are being contested in good faith and by appropriate proceedings promptly instituted and diligently conducted and (ii) for which adequate reserves therefor have been set aside on the books of the applicable Person and maintained in conformity with Applicable Accounting Standards, if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2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made in the ordinary course of business (other than Liens imposed by ERISA) in connection with workers’ compensation, payroll taxes, employment insurance, unemployment insurance, old-age pensions, or other similar social security legislation, (ii) pledges or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Parent or any of its Subsidiaries, (iii)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statutory or common law Liens of landlords, (iv) Liens otherwise arising by operation of law in favor of the owner or sublessor of leased premises and confined to the property rented, (v) Liens that are restrictions on transfer of securities imposed by applicable securities laws, (vi) Liens resulting from a filing by a lessor as a precautionary filing for a true lease, and (vii) pledges or deposits to secure performance of tenders, bids, leases, statutory or regulatory obligations, surety and appeal bonds, government contracts, performance and return-of-money bonds and other obligations of like nature, in each case other than for borrowed money and entered into in the ordinary course of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9" w:name="page190"/>
    <w:bookmarkEnd w:id="189"/>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attachments or judgments, orders, or decrees in circumstances not constituting an Event of Default under either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(including the right of set-off) in favor of banks or other financial institutions incurred on deposits made in accounts held at such institutions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are not given in connection with the incurrence of any Indebtedness, (ii) relate solely to obligations for administrative and other banking fees and expenses incurred in the ordinary course of business in connection with the establishment or maintenance of such accounts and (iii) are within the general parameters customary in the banking industry;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11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pooled deposit or sweep accounts of Parent or any of its Subsidiaries to permit satisfaction of overdraft or similar obligations incurred in the ordinary course of business or (ii) relating to purchase orders and other agreements entered into with customers of Parent or any of its Subsidiaries in the ordinary course of business, including vendors’ liens to secure payment arising under Article 2 of the Code or similar provisions of Requirements of Law in the ordinary course of business, covering only the goods sold and securing only the unpaid purchase price for such goods and related expenses;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Parent or any of its Subsidiaries in connection with any Permitted Acquisition, Permitted Investment or other acquisition of assets or properties not otherwise prohibited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assets or properties at the time of its acquisition or existing on the assets or properties of any Person at the time such Person becomes a Subsidiary of Parent, in each case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neither such Lien was created nor the Indebtedness secured thereby was incurred in contemplation of such acquisition or such Person becoming a Subsidiary of Parent,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(iii) the Indebtedness and other obligations secured thereby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and (iv) such Liens are of the type otherwise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(including any extensions, refinancings, modifications, amendments or restatements of such Indebtedness permitted under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does not extend to or cover any assets or properties other than those that are (i) subject to such Capital Lease Obligations or (ii) acquired with or otherwise financed or refinanced by such Indebtedness;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interfere with the ordinary conduct of the business of any Credit Party or any Subsidiary of any Credit Party;</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0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Lien, escrow arrangements securing indemnification obligations associated with any Permitted Acquisition or Permitted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0" w:name="page191"/>
    <w:bookmarkEnd w:id="190"/>
    <w:p>
      <w:pPr>
        <w:jc w:val="both"/>
        <w:ind w:firstLine="656"/>
        <w:spacing w:after="0" w:line="256" w:lineRule="auto"/>
        <w:tabs>
          <w:tab w:leader="none" w:pos="109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leases or subleases of real property granted in the ordinary course of business (including, if referring to a Person other than a Credit Party or a Subsidiary, in the ordinary course of such Person’s business), (ii) licenses, sublicenses, leases or subleases of personal property (other than Intellectual Property) granted to third parties in the ordinary course of business, in each case which do not interfere in any material respect with the operations of the business of any Credit Party or any of its Subsidiaries and do not prohibit granting the Collateral Agent a security interest in any Credit Party’s personal property held at such location for the benefit of the Lenders and other Secured Parties, (iii) Permitted Licenses, and (iv) retained interests of lessors or licensors or similar party under any in-licenses;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other current assets pledged to secure (i) Indebtedness in respect of corporate credit cards, purchasing cards or bank card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Liens shall not secure more than $1,000,000 of such Indebtedness in the aggregate at any time, or (ii) Indebtedness in the form of letters of credit or bank guarantees;</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properties or assets of Parent or any of its Subsidiaries which do not constitute Collateral under the Loan Documents, other than</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3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IP that does not constitute Collateral under the Loan Documents but is related to any research, development, manufacture, production, use, commercialization, marketing, importing, storage, transport, offer for sale, distribution or sale of the Product in the Territory and (ii) Equity Interests of any Subsidiary;</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3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any properties or assets of Parent or any of its Subsidiaries imposed by law or regulation which were incurred in the ordinary course of business, including landlords’, carriers’, warehousemen’s, mechanics’, materialmen’s, contractors’, suppliers of materials’, architects’ and repairmen’s Liens, and other similar Liens arising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do not materially detract from the value of such properties or assets subject thereto or materially impair the use of such properties or assets subject thereto in the operations of the business of Parent or such Subsidiary or (ii) are being contested in good faith by appropriate proceedings which conclusively operate to stay the sale or forfeiture of any portion of such properties or assets subject thereto, and for which adequate reserves have been set aside on the books of the applicable Person and maintained in conformity with Applicable Accounting Standards, if required;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Requirement of Law which were incurred in the ordinary course of business,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goods sold to Parent or any of its Subsidiaries in the ordinary course of business in favor of the seller thereof, but only to the extent securing the unpaid purchase price for such goods and any related expenses;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provisos immediately below, the modification, replacement, extension or renewal of the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31" w:val="left"/>
        </w:tabs>
        <w:numPr>
          <w:ilvl w:val="0"/>
          <w:numId w:val="1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modification, replacement, extension or renewal must (i) be limited to the assets or properties encumbered by the existing Lien (and any additions, accessions, parts, improvements and attachments thereto and the proceeds thereof) and (ii) not increase the principal amount of any Indebtedness secured by the existing Lien (other than by any reasonable premium or other reasonable amount paid and fees and expenses reasonably incurred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any of the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above secure Indebtedness of a Credit Party, such Liens, and any such modification, replacement, extension or renewal thereof, shall constitute Permitted Liens if and only to the extent that such Indebtedness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Negative Pledges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20" w:firstLine="656"/>
        <w:spacing w:after="0" w:line="282" w:lineRule="auto"/>
        <w:tabs>
          <w:tab w:leader="none" w:pos="10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lease, license or other similar agreement entered into in the ordinary course of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1" w:name="page192"/>
    <w:bookmarkEnd w:id="191"/>
    <w:p>
      <w:pPr>
        <w:jc w:val="both"/>
        <w:ind w:left="-20" w:firstLine="656"/>
        <w:spacing w:after="0" w:line="266" w:lineRule="auto"/>
        <w:tabs>
          <w:tab w:leader="none" w:pos="103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relating to Permitted Indebtedness, in the case of each relevant agreement, document or instrument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0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9"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Requirements of Law;</w:t>
      </w:r>
    </w:p>
    <w:p>
      <w:pPr>
        <w:spacing w:after="0" w:line="225"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that exist as of the Effective Date under Indebtedness existing on the Effective Date;</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112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2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Operating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7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10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08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3" w:lineRule="exact"/>
        <w:rPr>
          <w:rFonts w:ascii="Times New Roman" w:cs="Times New Roman" w:eastAsia="Times New Roman" w:hAnsi="Times New Roman"/>
          <w:sz w:val="18"/>
          <w:szCs w:val="18"/>
          <w:color w:val="auto"/>
        </w:rPr>
      </w:pPr>
    </w:p>
    <w:p>
      <w:pPr>
        <w:ind w:left="1080" w:hanging="44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Loan Document;</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75"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with respect to any license acquired in a Permitted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92" w:name="page193"/>
    <w:bookmarkEnd w:id="192"/>
    <w:p>
      <w:pPr>
        <w:ind w:left="-20" w:firstLine="656"/>
        <w:spacing w:after="0" w:line="282" w:lineRule="auto"/>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61"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110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agreement evidencing any Permitted Indebtedness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and</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Subsidiary Distribution Restrictions</w:t>
      </w:r>
      <w:r>
        <w:rPr>
          <w:rFonts w:ascii="Times New Roman" w:cs="Times New Roman" w:eastAsia="Times New Roman" w:hAnsi="Times New Roman"/>
          <w:sz w:val="18"/>
          <w:szCs w:val="18"/>
          <w:color w:val="auto"/>
        </w:rPr>
        <w:t xml:space="preserve">” means, in each case notwithstanding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20" w:firstLine="656"/>
        <w:spacing w:after="0" w:line="282" w:lineRule="auto"/>
        <w:tabs>
          <w:tab w:leader="none" w:pos="106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61"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lease, license or other similar agreement entered into in the ordinary course of business;</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3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relating to Permitted Indebtedness, in the case of each relevant agreement, document or instrument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0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1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pacing w:after="0" w:line="175" w:lineRule="exact"/>
        <w:rPr>
          <w:rFonts w:ascii="Times New Roman" w:cs="Times New Roman" w:eastAsia="Times New Roman" w:hAnsi="Times New Roman"/>
          <w:sz w:val="18"/>
          <w:szCs w:val="18"/>
          <w:color w:val="auto"/>
        </w:rPr>
      </w:pPr>
    </w:p>
    <w:p>
      <w:pPr>
        <w:ind w:left="1000" w:hanging="364"/>
        <w:spacing w:after="0"/>
        <w:tabs>
          <w:tab w:leader="none" w:pos="1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Requirements of Law;</w:t>
      </w:r>
    </w:p>
    <w:p>
      <w:pPr>
        <w:spacing w:after="0" w:line="225"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that exist as of the Effective Date under Indebtedness existing on the Effective Date;</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112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8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Operating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7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Parent in good faith);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93" w:name="page194"/>
    <w:bookmarkEnd w:id="193"/>
    <w:p>
      <w:pPr>
        <w:jc w:val="both"/>
        <w:ind w:firstLine="656"/>
        <w:spacing w:after="0" w:line="266" w:lineRule="auto"/>
        <w:tabs>
          <w:tab w:leader="none" w:pos="113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Parent in good faith);</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2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Loan Document;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2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agreement evidencing any Permitted Indebtedness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Transaction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61" w:lineRule="auto"/>
        <w:tabs>
          <w:tab w:leader="none" w:pos="103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properties or assets which do not constitute Collateral under the Loan Documents, other than any Company IP that does not constitute Collateral under the Loan Documents but is related to the research, development, manufacture, production, use, commercialization, marketing, importing, storage, transport, offer for sale, distribution or sale of the Product in the Specified Territory (other than, for the avoidance of doubt, any such Company IP Transferred pursuant to any Permitted License);</w:t>
      </w:r>
    </w:p>
    <w:p>
      <w:pPr>
        <w:spacing w:after="0" w:line="17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Inventory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surplus, damaged, worn out or obsolete equipment that is, in the reasonable judgment of a Responsible Officer of Parent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17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made in connection with Permitted Liens, Permitted Acquisitions or Permitted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4" w:name="page195"/>
    <w:bookmarkEnd w:id="194"/>
    <w:p>
      <w:pPr>
        <w:ind w:right="20" w:firstLine="656"/>
        <w:spacing w:after="0" w:line="282" w:lineRule="auto"/>
        <w:tabs>
          <w:tab w:leader="none" w:pos="10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cash and Cash Equivalents made in connection with Permitted Distributions or otherwise in the ordinary course of business for equivalent value and in a manner that is not prohibited under this Agreement or the other Loan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(i) between or among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properties or assets constituting Collateral under the Loan Documents, any and all steps as may be required to be taken in order to create and maintain a first priority security interest in and Lien upon such properties and assets in favor of the Collateral Agent for the benefit of Lenders and the other Secured Parties are taken contemporaneously with the completion of any such Transfer, and (ii) between or among non-Credit Parties;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sale or issuance of Equity Interests of any Subsidiary of Parent to any Credit Party or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 or issuance by a Credit Party shall be to another Credit Party; and (ii) the sale, transfer, issuance or other disposition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shares of the Equity Interests of any Subsidiary of Parent in order to qualify members of the governing body of such Subsidiary if required by Requirements of Law;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without recourse or sale or other disposition of unpaid and overdue accounts receivable arising in the ordinary course of business in connection with the compromise, collection or settlement thereof and not part of a financing transaction;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abandonment, disclaimer, forfeiture, dedication to the public, cancellation, non-renewal or discontinuance of use or maintenance of Company IP that a Responsible Officer of Parent reasonably determines in good faith (i) is no longer economically practicable to maintain or useful in the ordinary course of business and that (ii) could not reasonably be expected to be adverse to the rights, remedies and benefits available to, or conferred upon, the Collateral Agent or any Lender under any Loan Document in any material respect;</w:t>
      </w:r>
    </w:p>
    <w:p>
      <w:pPr>
        <w:spacing w:after="0" w:line="17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Parent or any of its Subsidiaries pursuant to any Permitted License;</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licenses or grants of rights of distribution, co-promotion or similar commercial rights (i) between or among the Credit Parties, or (ii) between or among the Credit Parties and Subsidiaries that are not Credit Parties entered into prior to the Effective Date, and renewals, replacements and extensions thereof (including additional licenses or grants in relation to new territories) on comparable terms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leases or subleases, in each case other than relating to any Company IP, granted to third parties in the ordinary course of business and not material to the research, development, manufacture, production, use (by any Credit Party or its Subsidiaries), commercialization, marketing, importing, storage, transport, packaging, labelling, promotion, advertising, offer for sale, distribution or sale of the Product in the Territory;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disclaimer, forfeiture, dedication to the public, or other disposition of any Company IP that is (i) not material to the research, development, manufacture, production, use (by any Credit Party or its Subsidiaries), commercialization, marketing, importing, storage, transport, packaging, labelling, promotion, advertising, offer for sale, distribution or sale of the Product in the Territory or (ii) no longer used or useful in any material respect in any Product line of business of Parent and its Subsidiaries;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6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disposition or any sale, lease, license or other disposition of property (other than, for the avoidance of doubt, any Company IP) in settlement of, or to make payment in satisfaction of, any property or casualty insurance;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3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leases, licenses, transfers or other dispositions of property to the extent that (i) such property is exchanged for credit against the purchase price of similar replacement property or (ii) the proceeds of such sale, lease, license, transfer or other disposition are promptly applied to the purchase price of similar replacement property;</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early unwind, settlement or termination of any Permitted Equity Derivative;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Transfers made in the ordinary course of business on commercially reasonable arm’s length terms.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5" w:name="page196"/>
    <w:bookmarkEnd w:id="19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exempted company, institution, public benefit corporation, firm, joint stock company, estate, entity or government agency.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information protected under applicable Data Protection Laws as “personal data,” “personal information,” “personally identifiable information,” “protected health information,” “medical information,” “health information,” “sensitive information,” “individually identifiable health information,” “identifiable private information,” “bulk sensitive personal data,” “United States government-related data,” or any similar terms under applicable Data Protection Laws, including customer, consumer, patient, clinical trial participant and employee information collected, created, received, maintained, stored, transmitted, or otherwise processed by or for Parent or any of its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 Breach</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 respect to which Borrower or its Subsidiaries have any liability (including under Section 4069 of ERISA).</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PPFC Documents</w:t>
      </w:r>
      <w:r>
        <w:rPr>
          <w:rFonts w:ascii="Times New Roman" w:cs="Times New Roman" w:eastAsia="Times New Roman" w:hAnsi="Times New Roman"/>
          <w:sz w:val="18"/>
          <w:szCs w:val="18"/>
          <w:color w:val="auto"/>
        </w:rPr>
        <w:t>” means, collectively, the Pre-Paid Forward Contract and each other “Transaction Document” (as such term is defined in the Pre-Paid Forward Contract).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Pre-Paid Forward Contract</w:t>
      </w:r>
      <w:r>
        <w:rPr>
          <w:rFonts w:ascii="Times New Roman" w:cs="Times New Roman" w:eastAsia="Times New Roman" w:hAnsi="Times New Roman"/>
          <w:sz w:val="18"/>
          <w:szCs w:val="18"/>
          <w:color w:val="auto"/>
        </w:rPr>
        <w:t>” means that certain Pre-Paid Forward Contract, dated as of March 18, 2021, as amended as of April 30, 2021 and as further amended as of August 14, 2024, by and between Parent and RTW Investments ICAV (for and on behalf of its sub-fund, RTW Fund 2).</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means the Tranche A Prepayment Premium or the Tranche B Prepayment Premium or the combination thereof, as the context dictates.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Loan 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Term Loan Notes</w:t>
      </w:r>
      <w:r>
        <w:rPr>
          <w:rFonts w:ascii="Times New Roman" w:cs="Times New Roman" w:eastAsia="Times New Roman" w:hAnsi="Times New Roman"/>
          <w:sz w:val="18"/>
          <w:szCs w:val="18"/>
          <w:color w:val="auto"/>
        </w:rPr>
        <w:t>” means, collectively, the following promissory notes issued under the Prior Loan Agreement: (i) that certain Second Amended and Restated Secured Tranche A Loan Promissory Note issued to BPCR Limited Partnership on March 13, 2024 in the original principal amount of $37,500,000.00; (ii) that certain Second Amended and Restated Secured Tranche A Loan Promissory Note issued to BioPharma Credit Investments V (Master) LP on March 13, 2024 in the original principal amount of $37,500,000.00; (iii) that certain Second Amended and Restated Secured Tranche B Loan Promissory Note issued to BPCR Limited Partnership on March 13, 2024 in the original principal amount of $12,500,000.00; (iv) that certain Second Amended and Restated Secured Tranche B Loan Promissory Note issued to BioPharma Credit Investments V (Master) LP on March 13, 2024 in the original principal amount of $12,500,000.00; and (v) that certain Secured Tranche C Loan Promissory Note issued to BioPharma Credit Investments V (Master) LP on September 23, 2024 in the original principal amount of $25,000,000.00.</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(a)(i) the pharmaceutical product known as JELMYTO® (mitomycin) (and foreign-named equivalents) for pyelocalyceal solution and any successors thereto, including the pharmaceutical product known as UGN-104 (collectively, “</w:t>
      </w:r>
      <w:r>
        <w:rPr>
          <w:rFonts w:ascii="Times New Roman" w:cs="Times New Roman" w:eastAsia="Times New Roman" w:hAnsi="Times New Roman"/>
          <w:sz w:val="18"/>
          <w:szCs w:val="18"/>
          <w:b w:val="1"/>
          <w:bCs w:val="1"/>
          <w:color w:val="auto"/>
        </w:rPr>
        <w:t>JELMYTO</w:t>
      </w:r>
      <w:r>
        <w:rPr>
          <w:rFonts w:ascii="Times New Roman" w:cs="Times New Roman" w:eastAsia="Times New Roman" w:hAnsi="Times New Roman"/>
          <w:sz w:val="18"/>
          <w:szCs w:val="18"/>
          <w:color w:val="auto"/>
        </w:rPr>
        <w:t xml:space="preserve">®”), (ii) any pharmaceutical product for the treatment of upper tract urothelial cancer in a hydrogel formulation that contains any radioisomer, stereoisomer, racemates, solvates, salt forms, bases, anhydrides, hydrates, polymorphs, metabolites, ester forms deuterated forms or pro-drugs of mitomycin, and (iii) any pharmaceutical product that contains any of the foregoing, including an active ingredient thereof, in each case of </w:t>
      </w:r>
      <w:r>
        <w:rPr>
          <w:rFonts w:ascii="Times New Roman" w:cs="Times New Roman" w:eastAsia="Times New Roman" w:hAnsi="Times New Roman"/>
          <w:sz w:val="18"/>
          <w:szCs w:val="18"/>
          <w:u w:val="single" w:color="auto"/>
          <w:color w:val="auto"/>
        </w:rPr>
        <w:t>sub-clauses (a)(i)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above, in any dosage form, dosing regimen, strength or route of administration; and (b)(i) the pharmaceutical product known as ZUSDURI® (mitomycin), formerly known as UGN-102, (and foreign-named equivalents) for intravesical solution and any successors thereto, including the pharmaceutical product known as UGN-103 (collectively, “</w:t>
      </w:r>
      <w:r>
        <w:rPr>
          <w:rFonts w:ascii="Times New Roman" w:cs="Times New Roman" w:eastAsia="Times New Roman" w:hAnsi="Times New Roman"/>
          <w:sz w:val="18"/>
          <w:szCs w:val="18"/>
          <w:b w:val="1"/>
          <w:bCs w:val="1"/>
          <w:color w:val="auto"/>
        </w:rPr>
        <w:t>ZUSDURI</w:t>
      </w:r>
      <w:r>
        <w:rPr>
          <w:rFonts w:ascii="Times New Roman" w:cs="Times New Roman" w:eastAsia="Times New Roman" w:hAnsi="Times New Roman"/>
          <w:sz w:val="18"/>
          <w:szCs w:val="18"/>
          <w:color w:val="auto"/>
        </w:rPr>
        <w:t xml:space="preserve">®”), (ii) any pharmaceutical product for the treatment of bladder cancer in a hydrogel formulation that contains any radioisomer, stereoisomer, racemates, solvates, salt forms, bases, anhydrides, hydrates, polymorphs, metabolites, ester forms deuterated forms or pro-drugs of mitomycin, and (iii) any pharmaceutical product that contains any of the foregoing, including an active ingredient thereof, in each case of </w:t>
      </w:r>
      <w:r>
        <w:rPr>
          <w:rFonts w:ascii="Times New Roman" w:cs="Times New Roman" w:eastAsia="Times New Roman" w:hAnsi="Times New Roman"/>
          <w:sz w:val="18"/>
          <w:szCs w:val="18"/>
          <w:u w:val="single" w:color="auto"/>
          <w:color w:val="auto"/>
        </w:rPr>
        <w:t>sub-clauses (b)(i)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in any dosage form, dosing regimen, strength or route of administration.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6" w:name="page197"/>
    <w:bookmarkEnd w:id="196"/>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Revenue Forecast</w:t>
      </w:r>
      <w:r>
        <w:rPr>
          <w:rFonts w:ascii="Times New Roman" w:cs="Times New Roman" w:eastAsia="Times New Roman" w:hAnsi="Times New Roman"/>
          <w:sz w:val="18"/>
          <w:szCs w:val="18"/>
          <w:color w:val="auto"/>
        </w:rPr>
        <w:t xml:space="preserve">” means that certain revenue forecast for JELMYTO® and ZUSDURI® dated December 2025 and delivered (or otherwise made available) by or on behalf of Parent to the Collateral Agent and Lenders and included in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of the Disclosure Letter.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Convertible Debt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means any “registered organization” as defined in the Code with such additions to such term as may hereafter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Agency</w:t>
      </w:r>
      <w:r>
        <w:rPr>
          <w:rFonts w:ascii="Times New Roman" w:cs="Times New Roman" w:eastAsia="Times New Roman" w:hAnsi="Times New Roman"/>
          <w:sz w:val="18"/>
          <w:szCs w:val="18"/>
          <w:color w:val="auto"/>
        </w:rPr>
        <w:t>” means a U.S. or foreign Governmental Authority with responsibility for the approval or licensure of the marketing and sale of pharmaceuticals or other regulation of pharmaceuticals, or otherwise having authority to regulate the Product, including the FDA.</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means all approvals (including orphan-drug exclusive approval under 21 C.F.R. § 316.34), designations (including orphan-drug designation under 21 C.F.R. § 316.24), authorizations, licensures or clearances and any product or establishment licenses, registrations or authorizations of any Regulatory Agency necessary for the manufacture, use, import, export, storage, transport, offer for sale, or distribution or sale of the Product.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Submission Material</w:t>
      </w:r>
      <w:r>
        <w:rPr>
          <w:rFonts w:ascii="Times New Roman" w:cs="Times New Roman" w:eastAsia="Times New Roman" w:hAnsi="Times New Roman"/>
          <w:sz w:val="18"/>
          <w:szCs w:val="18"/>
          <w:color w:val="auto"/>
        </w:rPr>
        <w:t>” means all regulatory filings, submissions, approvals, licensures, and authorizations related to any research, development, manufacture, production, use, commercialization, post-approval (or post-licensure, post-authorization, or post-clearance, as applicable) monitoring and reporting (including post-marketing safety reports), marketing, importing, storage, transport, offer for sale, distribution or sale of the Product in the Territory, including all data and information provided in, and used to develop, any of the foregoing, and any other material that is exempt from disclosure under 5 U.S.C. § 552.</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 prior to the Tranche A Closing Date, Lenders obligated with respect to greater than fifty percent (50%) of the Term Loan Commitments and (b), as of any date of determination thereafter, Lenders representing greater than fifty percent (50%) of the principal amount of the Term Loans outstanding as of such date.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as to any Person, the organizational or governing documents of such Person, and any law (statutory or common, foreign or domestic), treaty, order, policy, rule or regulation or determination of an arbitrator or a court or other Governmental Authority (including Environmental Laws, Health Care Laws, Data Protection Laws, FDA Laws, and all other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 including, with respect to Borrower, the rules or requirements of any applicable U.S. national securities exchange applicable to Borrower or any of its Equity Interests.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7" w:name="page198"/>
    <w:bookmarkEnd w:id="19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Officers</w:t>
      </w:r>
      <w:r>
        <w:rPr>
          <w:rFonts w:ascii="Times New Roman" w:cs="Times New Roman" w:eastAsia="Times New Roman" w:hAnsi="Times New Roman"/>
          <w:sz w:val="18"/>
          <w:szCs w:val="18"/>
          <w:color w:val="auto"/>
        </w:rPr>
        <w:t>” means, with respect to any Credit Party: (a) collectively, for purposes of determining the Persons with Knowledge with respect to such Credit Party, each of the Chief Executive Officer, Chief Financial Officer, General Counsel, Chief Medical Officer, Chief Commercial Officer, Chief Business Officer, Executive Vice-President, Research and Development and Technical Operations and Executive Vice-President, Regulatory Affairs and Quality of such Credit Party or, in each case, if none, of Parent; and (b) collectively, for purposes of determining the Persons authorized to provide the certifications of a Responsible Officer of such Credit Party required under the Loan Documents, each of the Chief Executive Officer, Chief Financial Officer and General Counsel of such Credit Party or, in each case, if none, of Parent.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means any material license or other material agreement of the kind or nature subject or purported to be subject from time to time to a Lien under any Collateral Document, with respect to which a Credit Party is the licensee and pursuant to which such Credit Party controls Company IP (a) that prohibits or otherwise restricts such Credit Party from granting a security interest in its interest therein to the Collateral Agent, for the benefit of Lenders and the other Secured Parties (other than as a result of customary anti-assignment provisions) in a manner enforceable under Requirements of Law, or (b) for which a breach of or default thereunder could reasonably be expected to interfere with the Collateral Agent’s or any Lender’s right to sell or otherwise dispose of any Collateral. For the avoidance of doubt, software, open source code, application programming interfaces or trademarks, copyrights or patents of others that are commercially available to the public under the shrinkwrap licenses, clickwrap licenses, online terms of service or other terms of use or similar agreements and intellectual property rights of customers used by Borrower in the course of providing service to third parties in the ordinary course of business shall not constitute a Restricted License.</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RTW Intercreditor Agreement</w:t>
      </w:r>
      <w:r>
        <w:rPr>
          <w:rFonts w:ascii="Times New Roman" w:cs="Times New Roman" w:eastAsia="Times New Roman" w:hAnsi="Times New Roman"/>
          <w:sz w:val="18"/>
          <w:szCs w:val="18"/>
          <w:color w:val="auto"/>
        </w:rPr>
        <w:t>” means that certain New York law-governed intercreditor agreement, dated as of the Tranche A Closing Date, among Parent, RTW Investments ICAV (for and on behalf of its sub-fund, RTW Fund 2) and the Collateral Agent (for the benefit of Lenders and the other Secured Parties), in form and substance consistent with the parameters of an “Applicable Intercreditor Agreement” set forth in the definition thereof in Section 1.1 of the Pre-Paid Forward Contract and otherwise satisfactory to the Collateral Agent.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comprehensive Sanctions (including Cuba, Iran, North Korea, Crimea, the so-called Donetsk People’s Republic and so-called Luhansk People’s Republic, Kherson, Zaporizhzhia and other regions of Ukraine that are the subject or target of comprehensive Sanctions).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and any analogous Governmental Authority.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Certificate</w:t>
      </w:r>
      <w:r>
        <w:rPr>
          <w:rFonts w:ascii="Times New Roman" w:cs="Times New Roman" w:eastAsia="Times New Roman" w:hAnsi="Times New Roman"/>
          <w:sz w:val="18"/>
          <w:szCs w:val="18"/>
          <w:color w:val="auto"/>
        </w:rPr>
        <w:t>” means, with respect to any Person, a certificate of such Person executed by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authorized signatory or director certifying as to the various matters set forth therein.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5 of the FTC Act</w:t>
      </w:r>
      <w:r>
        <w:rPr>
          <w:rFonts w:ascii="Times New Roman" w:cs="Times New Roman" w:eastAsia="Times New Roman" w:hAnsi="Times New Roman"/>
          <w:sz w:val="18"/>
          <w:szCs w:val="18"/>
          <w:color w:val="auto"/>
        </w:rPr>
        <w:t>” means the Section 5(a) of the U.S. Federal Trade Commission Act (15 U.S.C. § 45), which prohibits unfair and deceptive acts or practices in or affecting commerce and serves as the primary basis for U.S. Federal Trade Commission authority on privacy and security.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each Lender, each other Indemnified Person and each other holder of any Obligation of a Credit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the Guaranty and Security Agreement, dated as of the Tranche A Closing Date, by and among the Credit Parties and the Collateral Agent, in form and substance substantially similar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or in such form or substance as the Credit Parties and the Collateral Agent may otherwise agree.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Program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8" w:name="page199"/>
    <w:bookmarkEnd w:id="19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Sensitive Information</w:t>
      </w:r>
      <w:r>
        <w:rPr>
          <w:rFonts w:ascii="Times New Roman" w:cs="Times New Roman" w:eastAsia="Times New Roman" w:hAnsi="Times New Roman"/>
          <w:sz w:val="18"/>
          <w:szCs w:val="18"/>
          <w:color w:val="auto"/>
        </w:rPr>
        <w:t>” means, collectively, (a) any Personal Data that is subject to any Data Protection Law, (b) any confidential or proprietary information in which Parent or any of its Subsidiaries have IP Ancillary Rights or any other Intellectual Property rights (including Company IP), (c) any information with respect to which Parent or any of its Subsidiaries have contractual non-disclosure obligations, and (d) Regulatory Submission Materials.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xml:space="preserve">” means “Software”, as such term is defined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Intellectual Property.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as of any date of determination, that, as of such date, (a) the value of the assets (including goodwill minus disposition costs) of such Person (both at fair value and present fair saleable value)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Territory</w:t>
      </w:r>
      <w:r>
        <w:rPr>
          <w:rFonts w:ascii="Times New Roman" w:cs="Times New Roman" w:eastAsia="Times New Roman" w:hAnsi="Times New Roman"/>
          <w:sz w:val="18"/>
          <w:szCs w:val="18"/>
          <w:color w:val="auto"/>
        </w:rPr>
        <w:t>” means the United States, United Kingdom, Germany, France, Italy and Israel. “</w:t>
      </w:r>
      <w:r>
        <w:rPr>
          <w:rFonts w:ascii="Times New Roman" w:cs="Times New Roman" w:eastAsia="Times New Roman" w:hAnsi="Times New Roman"/>
          <w:sz w:val="18"/>
          <w:szCs w:val="18"/>
          <w:b w:val="1"/>
          <w:bCs w:val="1"/>
          <w:color w:val="auto"/>
        </w:rPr>
        <w:t>SSA</w:t>
      </w:r>
      <w:r>
        <w:rPr>
          <w:rFonts w:ascii="Times New Roman" w:cs="Times New Roman" w:eastAsia="Times New Roman" w:hAnsi="Times New Roman"/>
          <w:sz w:val="18"/>
          <w:szCs w:val="18"/>
          <w:color w:val="auto"/>
        </w:rPr>
        <w:t>” means the Social Security Act of 1935, codified at Title 42, Chapter 7, of the United States Code.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w:t>
      </w:r>
      <w:r>
        <w:rPr>
          <w:rFonts w:ascii="Times New Roman" w:cs="Times New Roman" w:eastAsia="Times New Roman" w:hAnsi="Times New Roman"/>
          <w:sz w:val="18"/>
          <w:szCs w:val="18"/>
          <w:color w:val="auto"/>
        </w:rPr>
        <w:t>” means the purchase or other acquisition by Parent or any of its Subsidiaries of (or resulting in the ownership of) any Equity Interests (by merger, stock purchase or otherwise) in any other Person.</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xml:space="preserve">” means any Indebtedness in the form of or otherwise constituting term debt incurred by any Credit Party or any Subsidiary thereof (including any Indebtedness incurred in connection with any Acquisition or other Investment) that: (a) is subordinated in right of payment to the Obligations at all times until all of the Obligations have been paid, performed or discharged in full and Borrower has no further right to obtain any Credit Extension hereunder pursuant to a subordination, intercreditor or other similar agreement that is in form and substance reasonably satisfactory to the Collateral Agent (which agreement shall include turnover provisions that are reasonably satisfactory to the Collateral Agent); (b) except as permitted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is not subject to scheduled amortization, redemption (mandatory), sinking fund or similar payment and does not have a final maturity, in each case, before a date that is at least 120 days following the Term Loan Maturity Date; (c) does not include covenants (including financial covenants) and agreements (excluding agreements with respect to maturity, amortization, pricing and other economic terms) that, taken as a whole, are more restrictive or onerous on the Credit Parties in any material respect than the comparable covenants and agreements, taken as a whole, in the Loan Documents (as reasonably determined by a Responsible Officer of such Credit Party in good faith); (d) is not subject to repayment or prepayment, including pursuant to a put option exercisable by the holder of any such Indebtedness, prior to a date that is at least 120 days following the final maturity thereof except in the case of an event of default or change of control (or, in each case,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Notwithstanding the foregoing, Permitted Convertible Indebtedness and Indebtedness under the Pre-Paid Forward Contract and other PPFC Documents shall not constitute Subordinated Debt.</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if applicable)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present or future taxes, levies, imposts, duties, deductions, withholdings (including backup withholding), assessments, fees or other charges of any nature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each of the Tranche A Loan or the Tranche B Loan, as applicable, and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Tranche A Loan and the Tranche B Loan, as the context dictates.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means each of the Tranche A Commitment or the Tranche B Commitment, as applicable, and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collectively, the Tranche A Commitment and the Tranche B Commitment, as the context dictates.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means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w:t>
      </w:r>
    </w:p>
    <w:p>
      <w:pPr>
        <w:spacing w:after="0" w:line="9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Note</w:t>
      </w:r>
      <w:r>
        <w:rPr>
          <w:rFonts w:ascii="Times New Roman" w:cs="Times New Roman" w:eastAsia="Times New Roman" w:hAnsi="Times New Roman"/>
          <w:sz w:val="18"/>
          <w:szCs w:val="18"/>
          <w:color w:val="auto"/>
        </w:rPr>
        <w:t>” means each of the Tranche A Note or the Tranche B Note (as applicable), and “</w:t>
      </w:r>
      <w:r>
        <w:rPr>
          <w:rFonts w:ascii="Times New Roman" w:cs="Times New Roman" w:eastAsia="Times New Roman" w:hAnsi="Times New Roman"/>
          <w:sz w:val="18"/>
          <w:szCs w:val="18"/>
          <w:b w:val="1"/>
          <w:bCs w:val="1"/>
          <w:color w:val="auto"/>
        </w:rPr>
        <w:t>Term Loan Notes</w:t>
      </w:r>
      <w:r>
        <w:rPr>
          <w:rFonts w:ascii="Times New Roman" w:cs="Times New Roman" w:eastAsia="Times New Roman" w:hAnsi="Times New Roman"/>
          <w:sz w:val="18"/>
          <w:szCs w:val="18"/>
          <w:color w:val="auto"/>
        </w:rPr>
        <w:t>” means, collectively, the Tranche A Notes and the Tranche B Notes, as the context dictates.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anywhere in the world.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including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exchanges in the United States are open for the buying and selling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Additional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Closing Date</w:t>
      </w:r>
      <w:r>
        <w:rPr>
          <w:rFonts w:ascii="Times New Roman" w:cs="Times New Roman" w:eastAsia="Times New Roman" w:hAnsi="Times New Roman"/>
          <w:sz w:val="18"/>
          <w:szCs w:val="18"/>
          <w:color w:val="auto"/>
        </w:rPr>
        <w:t xml:space="preserve">” means the date on which the Tranche A Loan is advanced by Lenders, which, subject to the satisfaction of the conditions precedent to the Tranche A Loan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shall be the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Commitment</w:t>
      </w:r>
      <w:r>
        <w:rPr>
          <w:rFonts w:ascii="Times New Roman" w:cs="Times New Roman" w:eastAsia="Times New Roman" w:hAnsi="Times New Roman"/>
          <w:sz w:val="18"/>
          <w:szCs w:val="18"/>
          <w:color w:val="auto"/>
        </w:rPr>
        <w:t xml:space="preserve">” means, with respect to any Lender, the commitment of such Lender to make the Credit Extensions relating to the Tranche A Loan on the Tranche A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Exit Consideration</w:t>
      </w:r>
      <w:r>
        <w:rPr>
          <w:rFonts w:ascii="Times New Roman" w:cs="Times New Roman" w:eastAsia="Times New Roman" w:hAnsi="Times New Roman"/>
          <w:sz w:val="18"/>
          <w:szCs w:val="18"/>
          <w:color w:val="auto"/>
        </w:rPr>
        <w:t xml:space="preserve">” means, with respect to any prepayment or repayment of the Tranche A Loan by Borrower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w:t>
      </w:r>
      <w:r>
        <w:rPr>
          <w:rFonts w:ascii="Times New Roman" w:cs="Times New Roman" w:eastAsia="Times New Roman" w:hAnsi="Times New Roman"/>
          <w:sz w:val="18"/>
          <w:szCs w:val="18"/>
          <w:color w:val="auto"/>
        </w:rPr>
        <w:t xml:space="preserve"> or as a result of the acceleration of the maturity of the Tranche A Loan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any repayment of the Tranche A Loan by Borrower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otherwise (including, for the avoidance of doubt, on the Term Loan Maturity Date), in each such case, an amount equal to the product of (a) the amount of principal so prepaid or repaid,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0.01.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Loan Amount</w:t>
      </w:r>
      <w:r>
        <w:rPr>
          <w:rFonts w:ascii="Times New Roman" w:cs="Times New Roman" w:eastAsia="Times New Roman" w:hAnsi="Times New Roman"/>
          <w:sz w:val="18"/>
          <w:szCs w:val="18"/>
          <w:color w:val="auto"/>
        </w:rPr>
        <w:t>” means an original principal amount equal to Two Hundred Million Dollars ($200,000,000.00).</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Makewhole Amount</w:t>
      </w:r>
      <w:r>
        <w:rPr>
          <w:rFonts w:ascii="Times New Roman" w:cs="Times New Roman" w:eastAsia="Times New Roman" w:hAnsi="Times New Roman"/>
          <w:sz w:val="18"/>
          <w:szCs w:val="18"/>
          <w:color w:val="auto"/>
        </w:rPr>
        <w:t>” means, as of any date of prepayment of the Tranche A Loan occurring prior to the first year anniversary of the Tranche A Closing Date, an amount equal to the sum of all interest that would have accrued and been payable from such date of prepayment through the first year anniversary of the Tranche A Closing Date on the amount of principal prepaid. For purposes of calculating the Tranche A Makewhole Amount:</w:t>
      </w:r>
    </w:p>
    <w:p>
      <w:pPr>
        <w:ind w:firstLine="8"/>
        <w:spacing w:after="0" w:line="260" w:lineRule="auto"/>
        <w:tabs>
          <w:tab w:leader="none" w:pos="25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determination shall be such date of prepayment, using the interest rate as in effect on such date and (b) the Default Rate shall not apply to any interest that would have accrued and been payable from and after such date of determination.</w:t>
      </w:r>
    </w:p>
    <w:p>
      <w:pPr>
        <w:spacing w:after="0" w:line="17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Note</w:t>
      </w:r>
      <w:r>
        <w:rPr>
          <w:rFonts w:ascii="Times New Roman" w:cs="Times New Roman" w:eastAsia="Times New Roman" w:hAnsi="Times New Roman"/>
          <w:sz w:val="18"/>
          <w:szCs w:val="18"/>
          <w:color w:val="auto"/>
        </w:rPr>
        <w:t xml:space="preserve">” means a promissory note in substantially the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A Prepayment Premium</w:t>
      </w:r>
      <w:r>
        <w:rPr>
          <w:rFonts w:ascii="Times New Roman" w:cs="Times New Roman" w:eastAsia="Times New Roman" w:hAnsi="Times New Roman"/>
          <w:sz w:val="17"/>
          <w:szCs w:val="17"/>
          <w:color w:val="auto"/>
        </w:rPr>
        <w:t xml:space="preserve">” means, with respect to any prepayment of the Tranche A Loan by Borrower (x) pursuant to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or</w:t>
      </w:r>
    </w:p>
    <w:p>
      <w:pPr>
        <w:spacing w:after="0" w:line="43" w:lineRule="exact"/>
        <w:rPr>
          <w:sz w:val="20"/>
          <w:szCs w:val="20"/>
          <w:color w:val="auto"/>
        </w:rPr>
      </w:pPr>
    </w:p>
    <w:p>
      <w:pPr>
        <w:ind w:right="20" w:firstLine="8"/>
        <w:spacing w:after="0" w:line="260" w:lineRule="auto"/>
        <w:tabs>
          <w:tab w:leader="none" w:pos="27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product of the amount of any principal so prepaid, multiplied by:</w:t>
      </w:r>
    </w:p>
    <w:p>
      <w:pPr>
        <w:spacing w:after="0" w:line="181" w:lineRule="exact"/>
        <w:rPr>
          <w:rFonts w:ascii="Times New Roman" w:cs="Times New Roman" w:eastAsia="Times New Roman" w:hAnsi="Times New Roman"/>
          <w:sz w:val="18"/>
          <w:szCs w:val="18"/>
          <w:color w:val="auto"/>
        </w:rPr>
      </w:pPr>
    </w:p>
    <w:p>
      <w:pPr>
        <w:ind w:right="20" w:firstLine="656"/>
        <w:spacing w:after="0" w:line="199" w:lineRule="auto"/>
        <w:tabs>
          <w:tab w:leader="none" w:pos="1042"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prepayment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or acceleration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occurs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A Closing Date, 0.03;</w:t>
      </w:r>
    </w:p>
    <w:p>
      <w:pPr>
        <w:spacing w:after="0" w:line="199" w:lineRule="exact"/>
        <w:rPr>
          <w:rFonts w:ascii="Times New Roman" w:cs="Times New Roman" w:eastAsia="Times New Roman" w:hAnsi="Times New Roman"/>
          <w:sz w:val="18"/>
          <w:szCs w:val="18"/>
          <w:color w:val="auto"/>
        </w:rPr>
      </w:pPr>
    </w:p>
    <w:p>
      <w:pPr>
        <w:ind w:firstLine="656"/>
        <w:spacing w:after="0" w:line="220" w:lineRule="auto"/>
        <w:tabs>
          <w:tab w:leader="none" w:pos="115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prepayment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or acceleration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occurs on or after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A Closing Date but prior to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A Closing Date, 0.02; and</w:t>
      </w:r>
    </w:p>
    <w:p>
      <w:pPr>
        <w:spacing w:after="0" w:line="36" w:lineRule="exact"/>
        <w:rPr>
          <w:rFonts w:ascii="Times New Roman" w:cs="Times New Roman" w:eastAsia="Times New Roman" w:hAnsi="Times New Roman"/>
          <w:sz w:val="18"/>
          <w:szCs w:val="18"/>
          <w:color w:val="auto"/>
        </w:rPr>
      </w:pPr>
    </w:p>
    <w:p>
      <w:pPr>
        <w:ind w:firstLine="656"/>
        <w:spacing w:after="0" w:line="220" w:lineRule="auto"/>
        <w:tabs>
          <w:tab w:leader="none" w:pos="114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prepayment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or acceleration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occurs on or after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A Closing Date but prior to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 0.01.</w:t>
      </w:r>
    </w:p>
    <w:p>
      <w:pPr>
        <w:spacing w:after="0" w:line="37"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8"/>
          <w:szCs w:val="18"/>
          <w:color w:val="auto"/>
        </w:rPr>
        <w:t>For the avoidance of doubt, no Tranche A Prepayment Premium shall be due and owing for any payment of principal of the Tranche A Loan made on or after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A Closing Date, including on the Term Loan Maturity Date.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Additional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Closing Date</w:t>
      </w:r>
      <w:r>
        <w:rPr>
          <w:rFonts w:ascii="Times New Roman" w:cs="Times New Roman" w:eastAsia="Times New Roman" w:hAnsi="Times New Roman"/>
          <w:sz w:val="18"/>
          <w:szCs w:val="18"/>
          <w:color w:val="auto"/>
        </w:rPr>
        <w:t xml:space="preserve">” means the date on which the Tranche B Loan is advanced by Lenders, which, subject to the satisfaction of the conditions precedent to the Tranche B Loan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shall be sixty (60) days following the delivery by Borrower to the Collateral Agent of a completed Advance Request Form for the Tranche B Loan and no later than August 29, 2027.</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Commitment</w:t>
      </w:r>
      <w:r>
        <w:rPr>
          <w:rFonts w:ascii="Times New Roman" w:cs="Times New Roman" w:eastAsia="Times New Roman" w:hAnsi="Times New Roman"/>
          <w:sz w:val="18"/>
          <w:szCs w:val="18"/>
          <w:color w:val="auto"/>
        </w:rPr>
        <w:t xml:space="preserve">” means, with respect to any Lender, the commitment of such Lender to make the Credit Extensions relating to the Tranche B Loan on the Tranche B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parties hereto agree that such commitment, and any obligations of such Lender hereunder with respect thereto, shall terminate automatically without any further action by any party hereto and be of no further force and effect if (x) any prepayment of principal amount of any Tranche A Loan is made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any Term Loan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on or before the Tranche B Closing Date or (y) the Tranche B Closing Date does not occur on or before August 29, 2027 (in either of which case, for purposes of this Agreement, such Lender’s Tranche B Commitment equals zero).</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Exit Consideration</w:t>
      </w:r>
      <w:r>
        <w:rPr>
          <w:rFonts w:ascii="Times New Roman" w:cs="Times New Roman" w:eastAsia="Times New Roman" w:hAnsi="Times New Roman"/>
          <w:sz w:val="18"/>
          <w:szCs w:val="18"/>
          <w:color w:val="auto"/>
        </w:rPr>
        <w:t xml:space="preserve">” means, with respect to any prepayment or repayment of the Tranche B Loan by Borrower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w:t>
      </w:r>
      <w:r>
        <w:rPr>
          <w:rFonts w:ascii="Times New Roman" w:cs="Times New Roman" w:eastAsia="Times New Roman" w:hAnsi="Times New Roman"/>
          <w:sz w:val="18"/>
          <w:szCs w:val="18"/>
          <w:color w:val="auto"/>
        </w:rPr>
        <w:t xml:space="preserve"> or as a result of the acceleration of the maturity of the Tranche B Loan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or any repayment of the Tranche B Loan by Borrower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otherwise (including, for the avoidance of doubt, on the Term Loan Maturity Date), in any such case, an amount equal to the product of (a) the amount of principal so prepaid or repaid,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0.01.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Loan Amount</w:t>
      </w:r>
      <w:r>
        <w:rPr>
          <w:rFonts w:ascii="Times New Roman" w:cs="Times New Roman" w:eastAsia="Times New Roman" w:hAnsi="Times New Roman"/>
          <w:sz w:val="18"/>
          <w:szCs w:val="18"/>
          <w:color w:val="auto"/>
        </w:rPr>
        <w:t xml:space="preserve">” means an original principal amount of Fifty Million Dollars ($50,000,000.00);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of the events described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proviso to the definition of Tranche B Commitment occurs, the Tranche B Loan Amount, for purposes of this Agreement, equals zero.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Makewhole Amount</w:t>
      </w:r>
      <w:r>
        <w:rPr>
          <w:rFonts w:ascii="Times New Roman" w:cs="Times New Roman" w:eastAsia="Times New Roman" w:hAnsi="Times New Roman"/>
          <w:sz w:val="18"/>
          <w:szCs w:val="18"/>
          <w:color w:val="auto"/>
        </w:rPr>
        <w:t>” as of any date of prepayment of the Tranche B Loan occurring prior to the first year anniversary of the Tranche B Closing Date, an amount equal to the sum of all interest that would have accrued and been payable from such date of prepayment through the first year anniversary of the Tranche B Closing Date on the amount of principal prepaid. For purposes of calculating the Tranche B Makewhole Amount:</w:t>
      </w:r>
    </w:p>
    <w:p>
      <w:pPr>
        <w:ind w:firstLine="8"/>
        <w:spacing w:after="0" w:line="260" w:lineRule="auto"/>
        <w:tabs>
          <w:tab w:leader="none" w:pos="25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determination shall be such date of prepayment, using the interest rate as in effect on such date, and (b) the Default Rate shall not apply to any interest that would have accrued and been payable from and after such date of determination.</w:t>
      </w:r>
    </w:p>
    <w:p>
      <w:pPr>
        <w:spacing w:after="0" w:line="17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Note</w:t>
      </w:r>
      <w:r>
        <w:rPr>
          <w:rFonts w:ascii="Times New Roman" w:cs="Times New Roman" w:eastAsia="Times New Roman" w:hAnsi="Times New Roman"/>
          <w:sz w:val="18"/>
          <w:szCs w:val="18"/>
          <w:color w:val="auto"/>
        </w:rPr>
        <w:t xml:space="preserve">” means a promissory note in substantially the form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Prepayment Premium</w:t>
      </w:r>
      <w:r>
        <w:rPr>
          <w:rFonts w:ascii="Times New Roman" w:cs="Times New Roman" w:eastAsia="Times New Roman" w:hAnsi="Times New Roman"/>
          <w:sz w:val="18"/>
          <w:szCs w:val="18"/>
          <w:color w:val="auto"/>
        </w:rPr>
        <w:t xml:space="preserve">” means, with respect to any prepayment of the Tranche B Loan by Borrower (x)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w:t>
      </w:r>
    </w:p>
    <w:p>
      <w:pPr>
        <w:spacing w:after="0" w:line="31" w:lineRule="exact"/>
        <w:rPr>
          <w:sz w:val="20"/>
          <w:szCs w:val="20"/>
          <w:color w:val="auto"/>
        </w:rPr>
      </w:pPr>
    </w:p>
    <w:p>
      <w:pPr>
        <w:ind w:right="20" w:firstLine="8"/>
        <w:spacing w:after="0" w:line="260" w:lineRule="auto"/>
        <w:tabs>
          <w:tab w:leader="none" w:pos="27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product of the amount of any principal so prepaid, multiplied by:</w:t>
      </w:r>
    </w:p>
    <w:p>
      <w:pPr>
        <w:spacing w:after="0" w:line="181" w:lineRule="exact"/>
        <w:rPr>
          <w:rFonts w:ascii="Times New Roman" w:cs="Times New Roman" w:eastAsia="Times New Roman" w:hAnsi="Times New Roman"/>
          <w:sz w:val="18"/>
          <w:szCs w:val="18"/>
          <w:color w:val="auto"/>
        </w:rPr>
      </w:pPr>
    </w:p>
    <w:p>
      <w:pPr>
        <w:ind w:right="20" w:firstLine="656"/>
        <w:spacing w:after="0" w:line="199" w:lineRule="auto"/>
        <w:tabs>
          <w:tab w:leader="none" w:pos="104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prepayment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or acceleration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occurs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B Closing Date, 0.03;</w:t>
      </w:r>
    </w:p>
    <w:p>
      <w:pPr>
        <w:spacing w:after="0" w:line="199" w:lineRule="exact"/>
        <w:rPr>
          <w:rFonts w:ascii="Times New Roman" w:cs="Times New Roman" w:eastAsia="Times New Roman" w:hAnsi="Times New Roman"/>
          <w:sz w:val="18"/>
          <w:szCs w:val="18"/>
          <w:color w:val="auto"/>
        </w:rPr>
      </w:pPr>
    </w:p>
    <w:p>
      <w:pPr>
        <w:ind w:firstLine="656"/>
        <w:spacing w:after="0" w:line="220" w:lineRule="auto"/>
        <w:tabs>
          <w:tab w:leader="none" w:pos="1151"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prepayment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or acceleration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occurs on or after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-year anniversary of the Tranche B Closing Date but prior to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B Closing Date, 0.02; and</w:t>
      </w:r>
    </w:p>
    <w:p>
      <w:pPr>
        <w:spacing w:after="0" w:line="36" w:lineRule="exact"/>
        <w:rPr>
          <w:rFonts w:ascii="Times New Roman" w:cs="Times New Roman" w:eastAsia="Times New Roman" w:hAnsi="Times New Roman"/>
          <w:sz w:val="18"/>
          <w:szCs w:val="18"/>
          <w:color w:val="auto"/>
        </w:rPr>
      </w:pPr>
    </w:p>
    <w:p>
      <w:pPr>
        <w:ind w:firstLine="656"/>
        <w:spacing w:after="0" w:line="220" w:lineRule="auto"/>
        <w:tabs>
          <w:tab w:leader="none" w:pos="114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prepayment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or acceleration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occurs on or after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-year anniversary of the Tranche B Closing Date but prior to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B Closing Date, 0.01.</w:t>
      </w:r>
    </w:p>
    <w:p>
      <w:pPr>
        <w:spacing w:after="0" w:line="37"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8"/>
          <w:szCs w:val="18"/>
          <w:color w:val="auto"/>
        </w:rPr>
        <w:t>For the avoidance of doubt, no Tranche B Prepayment Premium shall be due and owing for any payment of principal of the Tranche B Loan made on or after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-year anniversary of the Tranche B Closing Date, including on the Term Loan Maturity Date.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 those regulations promulgated pursuant to the IRC.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TRICARE</w:t>
      </w:r>
      <w:r>
        <w:rPr>
          <w:rFonts w:ascii="Times New Roman" w:cs="Times New Roman" w:eastAsia="Times New Roman" w:hAnsi="Times New Roman"/>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UKBA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its fifty (50) states, the District of Columbia, Puerto Rico and any other jurisdiction within the United States of America.</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2" w:name="page203"/>
    <w:bookmarkEnd w:id="20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Event</w:t>
      </w:r>
      <w:r>
        <w:rPr>
          <w:rFonts w:ascii="Times New Roman" w:cs="Times New Roman" w:eastAsia="Times New Roman" w:hAnsi="Times New Roman"/>
          <w:sz w:val="18"/>
          <w:szCs w:val="18"/>
          <w:color w:val="auto"/>
        </w:rPr>
        <w:t>” means, as applicable: (a) any voluntary withdrawal or removal of the Product in the Territory by any Credit Party or any of its Subsidiaries other than in connection with the introduction of a successor Product; (b) the loss of marketing authorization for the Product in the Territory; (c) the receipt by any Credit Party or any of its Subsidiaries of any written notice from the FDA or any other Regulatory Agency of pending recommendation to withdraw marketing authorization for the Product in the Territory; or (d) the receipt by any Credit Party or any of its Subsidiaries of any written notice from the FDA or any other Regulatory Agency of final decision to withdraw marketing authorization for the Product in the Territory.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 and a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/s/Chris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 Degnan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Parent and a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/s/Chris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 Degnan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to Second Amended and Restated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BIOPHARMA CREDIT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Collateral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30689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BPCR LIMITED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30689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 CREDIT INVESTMENTS V (MASTER)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Lender</w:t>
      </w:r>
    </w:p>
    <w:p>
      <w:pPr>
        <w:sectPr>
          <w:pgSz w:w="11900" w:h="16838" w:orient="portrait"/>
          <w:cols w:equalWidth="0" w:num="1">
            <w:col w:w="10139"/>
          </w:cols>
          <w:pgMar w:left="320" w:top="576"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BioPharma Credit Investments V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260" w:space="400"/>
            <w:col w:w="9479"/>
          </w:cols>
          <w:pgMar w:left="320" w:top="576" w:right="1440"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By: Pharmakon Advisors, LP,</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its Investment Manager</w:t>
      </w:r>
    </w:p>
    <w:p>
      <w:pPr>
        <w:sectPr>
          <w:pgSz w:w="11900" w:h="16838" w:orient="portrait"/>
          <w:cols w:equalWidth="0" w:num="1">
            <w:col w:w="10139"/>
          </w:cols>
          <w:pgMar w:left="32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30689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 and Managing Member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i w:val="1"/>
          <w:iCs w:val="1"/>
          <w:color w:val="auto"/>
        </w:rPr>
        <w:t>[Signature Page to Second Amended and Restated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type w:val="continuous"/>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EXHIBIT A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LOAN ADVANCE REQUEST FORM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that certain Second Amended and Restated Loan Agreement, dated as of February 26, 2026, by and among UROGEN PHARMA,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UROGEN PHARMA LTD., a company incorporated in Israel with company registration number 513537621 (as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a Credit Party), the other Guarantors signatory thereto or otherwise party thereto from time to time, as additional Credit Parties, BIOPHARMA CREDIT PLC (in its capacity as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BPCR LIMITED PARTNERSHIP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BIOPHARMA CREDIT INVESTMENTS V (MASTER) LP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acting by its general partner, BioPharma Credit Investments V GP LLC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any capitalized term not otherwise defined herein having the meaning ascribed to such term in the Loan Agreement. This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Advance Request is being delivered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Loan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being the duly elected and acting __________ of Borrower does hereby certify to each Lender and the Collateral Agent, solely</w:t>
      </w:r>
    </w:p>
    <w:p>
      <w:pPr>
        <w:spacing w:after="0" w:line="182" w:lineRule="auto"/>
        <w:rPr>
          <w:sz w:val="20"/>
          <w:szCs w:val="20"/>
          <w:color w:val="auto"/>
        </w:rPr>
      </w:pPr>
      <w:r>
        <w:rPr>
          <w:rFonts w:ascii="Times New Roman" w:cs="Times New Roman" w:eastAsia="Times New Roman" w:hAnsi="Times New Roman"/>
          <w:sz w:val="17"/>
          <w:szCs w:val="17"/>
          <w:color w:val="auto"/>
        </w:rPr>
        <w:t>in his/her capacity as an authorized officer of Borrower and not in his/her personal capacity, that, on [the Tranche A Closing Date]</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[[__________, 20__]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Tranche B Closing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980" w:hanging="324"/>
        <w:spacing w:after="0"/>
        <w:tabs>
          <w:tab w:leader="none" w:pos="9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requests a borrowing of [the Tranche A Loan]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 Tranche B Loan]</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firstLine="656"/>
        <w:spacing w:after="0" w:line="226" w:lineRule="auto"/>
        <w:tabs>
          <w:tab w:leader="none" w:pos="99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Credit Parties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Loan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on the Tranche [A][B] Closing Date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or as of such earlier date, as applicable);</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since the [Effective Date]</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[Tranche A Closing Date]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or is occurring as of the date hereof;</w:t>
      </w:r>
    </w:p>
    <w:p>
      <w:pPr>
        <w:spacing w:after="0" w:line="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Credit Parties is in compliance with the covenants and requirements contained in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the Loan Agreement;</w:t>
      </w:r>
    </w:p>
    <w:p>
      <w:pPr>
        <w:spacing w:after="0" w:line="225" w:lineRule="exact"/>
        <w:rPr>
          <w:sz w:val="20"/>
          <w:szCs w:val="20"/>
          <w:color w:val="auto"/>
        </w:rPr>
      </w:pPr>
    </w:p>
    <w:p>
      <w:pPr>
        <w:ind w:firstLine="656"/>
        <w:spacing w:after="0" w:line="220" w:lineRule="auto"/>
        <w:tabs>
          <w:tab w:leader="none" w:pos="98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conditions referred to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Loan Agreement to the making of the Tranche [A][B] Loan</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to be made on the Tranche [A][B] Closing Date</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have been satisfied (or waived in writing by the Required Lenders);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or Withdrawal Event has occurred since the [Effective Date]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[Tranche A Closing Date]</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 Responsible Officer of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230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0"/>
          <w:szCs w:val="20"/>
          <w:color w:val="auto"/>
        </w:rPr>
      </w:pPr>
    </w:p>
    <w:p>
      <w:pPr>
        <w:ind w:left="120" w:hanging="112"/>
        <w:spacing w:after="0"/>
        <w:tabs>
          <w:tab w:leader="none" w:pos="120" w:val="left"/>
        </w:tabs>
        <w:numPr>
          <w:ilvl w:val="0"/>
          <w:numId w:val="18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in Advance Request Form for Tranche A Loan only.</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6"/>
          <w:szCs w:val="16"/>
          <w:color w:val="auto"/>
        </w:rPr>
        <w:t xml:space="preserve"> To be included in Advance Request Form for Tranche B Loan only.</w:t>
      </w:r>
    </w:p>
    <w:p>
      <w:pPr>
        <w:jc w:val="both"/>
        <w:ind w:right="6240"/>
        <w:spacing w:after="0" w:line="20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To be included in Advance Request Form for Tranche A Loan only. </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To be included in Advance Request Form for Tranche B Loan only.</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As applicable.</w:t>
      </w:r>
    </w:p>
    <w:p>
      <w:pPr>
        <w:jc w:val="both"/>
        <w:ind w:right="6240"/>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To be included in Advance Request Form for Tranche A Loan only. </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To be included in Advance Request Form for Tranche B Loan only. </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xml:space="preserve"> As applicable.</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6"/>
          <w:szCs w:val="16"/>
          <w:color w:val="auto"/>
        </w:rPr>
        <w:t xml:space="preserve"> As applicable.</w:t>
      </w:r>
    </w:p>
    <w:p>
      <w:pPr>
        <w:jc w:val="both"/>
        <w:ind w:right="6180"/>
        <w:spacing w:after="0" w:line="22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7"/>
          <w:szCs w:val="17"/>
          <w:color w:val="auto"/>
        </w:rPr>
        <w:t xml:space="preserve"> To be included in Advance Request Form for Tranche A Loan only. </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 xml:space="preserve"> To be included in Advance Request Form for Tranche B Loan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6" w:name="page207"/>
    <w:bookmarkEnd w:id="206"/>
    <w:p>
      <w:pPr>
        <w:ind w:left="980" w:hanging="324"/>
        <w:spacing w:after="0"/>
        <w:tabs>
          <w:tab w:leader="none" w:pos="98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[Tranche A Loan]</w:t>
      </w: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17"/>
          <w:szCs w:val="17"/>
          <w:color w:val="auto"/>
        </w:rPr>
        <w:t xml:space="preserve"> [Tranche B Loan]</w:t>
      </w:r>
      <w:r>
        <w:rPr>
          <w:rFonts w:ascii="Times New Roman" w:cs="Times New Roman" w:eastAsia="Times New Roman" w:hAnsi="Times New Roman"/>
          <w:sz w:val="28"/>
          <w:szCs w:val="28"/>
          <w:color w:val="auto"/>
          <w:vertAlign w:val="superscript"/>
        </w:rPr>
        <w:t>15</w:t>
      </w:r>
      <w:r>
        <w:rPr>
          <w:rFonts w:ascii="Times New Roman" w:cs="Times New Roman" w:eastAsia="Times New Roman" w:hAnsi="Times New Roman"/>
          <w:sz w:val="17"/>
          <w:szCs w:val="17"/>
          <w:color w:val="auto"/>
        </w:rPr>
        <w:t xml:space="preserve"> shall be disbursed as set forth on </w:t>
      </w:r>
      <w:r>
        <w:rPr>
          <w:rFonts w:ascii="Times New Roman" w:cs="Times New Roman" w:eastAsia="Times New Roman" w:hAnsi="Times New Roman"/>
          <w:sz w:val="17"/>
          <w:szCs w:val="17"/>
          <w:u w:val="single" w:color="auto"/>
          <w:color w:val="auto"/>
        </w:rPr>
        <w:t>Attachment A</w:t>
      </w:r>
      <w:r>
        <w:rPr>
          <w:rFonts w:ascii="Times New Roman" w:cs="Times New Roman" w:eastAsia="Times New Roman" w:hAnsi="Times New Roman"/>
          <w:sz w:val="17"/>
          <w:szCs w:val="17"/>
          <w:color w:val="auto"/>
        </w:rPr>
        <w:t xml:space="preserve"> hereto</w:t>
      </w:r>
      <w:r>
        <w:rPr>
          <w:rFonts w:ascii="Times New Roman" w:cs="Times New Roman" w:eastAsia="Times New Roman" w:hAnsi="Times New Roman"/>
          <w:sz w:val="28"/>
          <w:szCs w:val="28"/>
          <w:color w:val="auto"/>
          <w:vertAlign w:val="superscript"/>
        </w:rPr>
        <w:t>16</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Dated: ________________, 202_</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4230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hanging="192"/>
        <w:spacing w:after="0"/>
        <w:tabs>
          <w:tab w:leader="none" w:pos="200" w:val="left"/>
        </w:tabs>
        <w:numPr>
          <w:ilvl w:val="0"/>
          <w:numId w:val="18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included in Advance Request Form for Tranche A Loan only.</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To be included in Advance Request Form for Tranche B Loan only.</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To be prepared by Lenders’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TRANCHE A NOTE HAS BEEN ISSUED WITH “ORIGINAL ISSUE DISCOUNT” (WITHIN THE MEANING OF SECTION 1273 OF THE INTERNAL REVENUE CODE OF 1986, AS AMENDED). HOLDERS OF THIS TRANCHE A NOTE SHOULD CONTACT CHRIS DEGNAN, CHIEF FINANCIAL OFFICER, UROGEN PHARMA, 400 ALEXANDER PARK DRIVE, PRINCETON, NEW JERSEY 08540 IN WRITING TO OBTAIN (1) THE ISSUE PRICE AND ISSUE DATE OF THIS TRANCHE A NOTE, (2) THE AMOUNT OF ORIGINAL ISSUE DISCOUNT ON THIS TRANCHE A NOTE AND (3) THE YIELD TO MATURITY OF THIS TRANCHE A NOTE.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TRANCHE A LOAN PROMISSORY NOTE</w:t>
      </w:r>
    </w:p>
    <w:p>
      <w:pPr>
        <w:spacing w:after="0" w:line="229" w:lineRule="exact"/>
        <w:rPr>
          <w:sz w:val="20"/>
          <w:szCs w:val="20"/>
          <w:color w:val="auto"/>
        </w:rPr>
      </w:pPr>
    </w:p>
    <w:p>
      <w:pPr>
        <w:spacing w:after="0"/>
        <w:tabs>
          <w:tab w:leader="none" w:pos="9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Dated: February 26, 2026</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VALUE RECEIVED, the undersigned, UROGEN PHARMA, INC., a private limited company incorporated under the laws of England and Wales and limited by shares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to [BPCR LIMITED PARTNERSHIP] [BIOPHARMA CREDIT INVESTMENTS V (MASTER) LP]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its registered assignees, the principal amount of [ ● ]($[ ● ]), plus interest on the aggregate unpaid principal amount of this Secured Tranche A Loan Promissory Note (this “</w:t>
      </w:r>
      <w:r>
        <w:rPr>
          <w:rFonts w:ascii="Times New Roman" w:cs="Times New Roman" w:eastAsia="Times New Roman" w:hAnsi="Times New Roman"/>
          <w:sz w:val="18"/>
          <w:szCs w:val="18"/>
          <w:b w:val="1"/>
          <w:bCs w:val="1"/>
          <w:color w:val="auto"/>
        </w:rPr>
        <w:t>Tranche A Note</w:t>
      </w:r>
      <w:r>
        <w:rPr>
          <w:rFonts w:ascii="Times New Roman" w:cs="Times New Roman" w:eastAsia="Times New Roman" w:hAnsi="Times New Roman"/>
          <w:sz w:val="18"/>
          <w:szCs w:val="18"/>
          <w:color w:val="auto"/>
        </w:rPr>
        <w:t xml:space="preserve">”) at a fixed rate equal to eight and one-quarter percent (8.25%)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and in accordance with the terms of the Second Amended and Restated Loan Agreement dated as of February 26, 2026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Lender, BioPharma Credit PLC, as Collateral Agent, the other Lenders from time to time party thereto and the other parties thereto (as may be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xml:space="preserve">”). If not sooner paid, the entire principal amount, all accrued and unpaid interest hereunder, all due and unpaid Lender Expenses and any other amounts payable under the Loan Documents shall be due and payable on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applicable principal (and any and all other outstanding amounts payable under the Loan Documents) shall be due and payable on the Business Day immediately preceding such date. Any capitalized term not otherwise defined herein shall have the meaning attributed to such term in the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Borrower shall make four (4) equal quarterly payments of principal of each Term Loan commencing on the Payment Date occurring in the second calendar quarter of 2030 and continuing quarterly thereafter through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such date is not a Business Day, the applicable principal shall be due and payable on the Business Day immediately preceding such date. All unpaid principal with respect to the Tranche A Loan (and, for the avoidance of doubt, all accrued and unpaid interest, all due and unpaid Lender Expenses and any other amounts payable under the Loan Documents) is due and payable in full on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date is not a Business Day, the applicable principal (and any and all other outstanding amounts payable under the Loan Documents) shall be due and payable on the Business Day immediately preceding such date. Interest shall accrue on this Tranche A Note commencing on, and including, the date of this Tranche A Note, and shall accrue on this Tranche A Note, or any portion thereof, for the day on which this Tranche A Note or such portion is paid. Interest on this Tranche A Note shall be payable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Loan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this Tranche A Note are payable in lawful money of the United States of America to Lender as set forth in the Loan Agreement and this Tranche A Note.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Tranche A Note may not be prepaid except as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Loan Agreement or as expressly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Loan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Tranche A Note and the obligation of Borrower to repay the unpaid principal amount of this Tranche A Note, interest thereon, and all other amounts due Lender under the Loan Agreement are secured pursuant to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9" w:name="page210"/>
    <w:bookmarkEnd w:id="20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Tranche A Note are hereby waived.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TRANCHE A NOTE SHALL BE GOVERNED BY, AND CONSTRUED AND INTERPRETED IN ACCORDANCE WITH, THE LAWS OF THE STATE OF NEW YORK.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Note Register; Ownership of Note</w:t>
      </w:r>
      <w:r>
        <w:rPr>
          <w:rFonts w:ascii="Times New Roman" w:cs="Times New Roman" w:eastAsia="Times New Roman" w:hAnsi="Times New Roman"/>
          <w:sz w:val="18"/>
          <w:szCs w:val="18"/>
          <w:color w:val="auto"/>
        </w:rPr>
        <w:t xml:space="preserve">. The ownership of an interest in this Tranche A Note shall be registered on a record of ownership maintained by Borrower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of the Loan Agreement. Notwithstanding anything else in this Tranche A Note to the contrary, the right to the principal of, and stated interest on, this Tranche A Note may be transferred only if the transfer is registered on such record of ownership and the transferee is identified as the owner of an interest in the obligation. Borrower shall be entitled to treat the registered holder of this Tranche A Note (as recorded on such record of ownership) as the owner in fact thereof for all purposes and shall not be bound to recognize any equitable or other claim to or interest in this Tranche A Note on the part of any other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0" w:name="page211"/>
    <w:bookmarkEnd w:id="2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Borrower has caused this Tranche A Note to be duly executed by one of its officers thereunto duly authorized on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1" w:name="page212"/>
    <w:bookmarkEnd w:id="211"/>
    <w:p>
      <w:pPr>
        <w:jc w:val="both"/>
        <w:spacing w:after="0" w:line="258" w:lineRule="auto"/>
        <w:rPr>
          <w:sz w:val="20"/>
          <w:szCs w:val="20"/>
          <w:color w:val="auto"/>
        </w:rPr>
      </w:pPr>
      <w:r>
        <w:rPr>
          <w:rFonts w:ascii="Times New Roman" w:cs="Times New Roman" w:eastAsia="Times New Roman" w:hAnsi="Times New Roman"/>
          <w:sz w:val="18"/>
          <w:szCs w:val="18"/>
          <w:color w:val="auto"/>
        </w:rPr>
        <w:t>THIS TRANCHE B NOTE HAS BEEN ISSUED WITH “ORIGINAL ISSUE DISCOUNT” (WITHIN THE MEANING OF SECTION 1273 OF THE INTERNAL REVENUE CODE OF 1986, AS AMENDED). HOLDERS OF THIS TRANCHE B NOTE SHOULD CONTACT CHRIS DEGNAN, CHIEF FINANCIAL OFFICER, UROGEN PHARMA, 400 ALEXANDER PARK DRIVE, PRINCETON, NEW JERSEY 08540 IN WRITING TO OBTAIN (1) THE ISSUE PRICE AND ISSUE DATE OF THIS TRANCHE B NOTE, (2) THE AMOUNT OF ORIGINAL ISSUE DISCOUNT ON THIS TRANCHE B NOTE AND (3) THE YIELD TO MATURITY OF THIS TRANCHE B NOTE.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TRANCHE B LOAN PROMISSORY NOTE</w:t>
      </w:r>
    </w:p>
    <w:p>
      <w:pPr>
        <w:spacing w:after="0" w:line="31" w:lineRule="exact"/>
        <w:rPr>
          <w:sz w:val="20"/>
          <w:szCs w:val="20"/>
          <w:color w:val="auto"/>
        </w:rPr>
      </w:pPr>
    </w:p>
    <w:p>
      <w:pPr>
        <w:spacing w:after="0"/>
        <w:tabs>
          <w:tab w:leader="none" w:pos="9220" w:val="left"/>
          <w:tab w:leader="none" w:pos="10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-19050</wp:posOffset>
            </wp:positionV>
            <wp:extent cx="6565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VALUE RECEIVED, the undersigned, UROGEN PHARMA, INC., a private limited company incorporated under the laws of England and Wales and limited by shares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to [BPCR LIMITED PARTNERSHIP] [BIOPHARMA CREDIT INVESTMENTS V (MASTER) LP]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its registered assignees, the principal amount of [ ● ]($[ ● ]), plus interest on the aggregate unpaid principal amount of this Secured Tranche B Loan Promissory Note (this “</w:t>
      </w:r>
      <w:r>
        <w:rPr>
          <w:rFonts w:ascii="Times New Roman" w:cs="Times New Roman" w:eastAsia="Times New Roman" w:hAnsi="Times New Roman"/>
          <w:sz w:val="18"/>
          <w:szCs w:val="18"/>
          <w:b w:val="1"/>
          <w:bCs w:val="1"/>
          <w:color w:val="auto"/>
        </w:rPr>
        <w:t>Tranche B Note</w:t>
      </w:r>
      <w:r>
        <w:rPr>
          <w:rFonts w:ascii="Times New Roman" w:cs="Times New Roman" w:eastAsia="Times New Roman" w:hAnsi="Times New Roman"/>
          <w:sz w:val="18"/>
          <w:szCs w:val="18"/>
          <w:color w:val="auto"/>
        </w:rPr>
        <w:t xml:space="preserve">”) at a fixed rate equal to eight and one-quarter percent (8.25%)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and in accordance with the terms of the Second Amended and Restated Loan Agreement dated as of February 26, 2026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Lender, BioPharma Credit PLC, as Collateral Agent, the other Lenders from time to time party thereto and the other parties thereto (as may be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xml:space="preserve">”). If not sooner paid, the entire principal amount, all accrued and unpaid interest hereunder, all due and unpaid Lender Expenses and any other amounts payable under the Loan Documents shall be due and payable on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applicable principal (and any and all other outstanding amounts payable under the Loan Documents) shall be due and payable on the Business Day immediately preceding such date. Any capitalized term not otherwise defined herein shall have the meaning attributed to such term in the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Borrower shall make four (4) equal quarterly payments of principal of each Term Loan commencing on the Payment Date occurring in the second calendar quarter of 2030 and continuing quarterly thereafter through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such date is not a Business Day, the applicable principal shall be due and payable on the Business Day immediately preceding such date. All unpaid principal with respect to the Tranche B Loan (and, for the avoidance of doubt, all accrued and unpaid interest, all due and unpaid Lender Expenses and any other amounts payable under the Loan Documents) is due and payable in full on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date is not a Business Day, the applicable principal (and any and all other outstanding amounts payable under the Loan Documents) shall be due and payable on the Business Day immediately preceding such date. Interest shall accrue on this Tranche B Note commencing on, and including, the date of this Tranche B Note, and shall accrue on this Tranche B Note, or any portion thereof, for the day on which this Tranche B Note or such portion is paid. Interest on this Tranche B Note shall be payable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Loan Agreement.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this Tranche B Note are payable in lawful money of the United States of America to Lender as set forth in the Loan Agreement and this Tranche B Note.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Tranche B Note may not be prepaid except as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Loan Agreement or as expressly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Loan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Tranche B Note and the obligation of Borrower to repay the unpaid principal amount of this Tranche B Note, interest thereon, and all other amounts due Lender under the Loan Agreement are secured pursuant to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Tranche B Note are hereby waived.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TRANCHE B NOTE SHALL BE GOVERNED BY, AND CONSTRUED AND INTERPRETED IN ACCORDANCE WITH, THE LAWS OF THE STATE OF NEW YORK.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Note Register; Ownership of Note</w:t>
      </w:r>
      <w:r>
        <w:rPr>
          <w:rFonts w:ascii="Times New Roman" w:cs="Times New Roman" w:eastAsia="Times New Roman" w:hAnsi="Times New Roman"/>
          <w:sz w:val="18"/>
          <w:szCs w:val="18"/>
          <w:color w:val="auto"/>
        </w:rPr>
        <w:t xml:space="preserve">. The ownership of an interest in this Tranche B Note shall be registered on a record of ownership maintained by Borrower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of the Loan Agreement. Notwithstanding anything else in this Tranche B Note to the contrary, the right to the principal of, and stated interest on, this Tranche B Note may be transferred only if the transfer is registered on such record of ownership and the transferee is identified as the owner of an interest in the obligation. Borrower shall be entitled to treat the registered holder of this Tranche B Note (as recorded on such record of ownership) as the owner in fact thereof for all purposes and shall not be bound to recognize any equitable or other claim to or interest in this Tranche B Note on the part of any other Person.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3" w:name="page214"/>
    <w:bookmarkEnd w:id="21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Borrower has caused this Tranche B Note to be duly executed by one of its officers thereunto duly authorized on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UROGEN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387350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7"/>
          <w:szCs w:val="17"/>
          <w:color w:val="auto"/>
        </w:rPr>
        <w:t>AMENDED AND RESTATED GUARANTY AND SECURITY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February 26,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UROGEN PHARMA, INC.</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i w:val="1"/>
          <w:iCs w:val="1"/>
          <w:color w:val="auto"/>
        </w:rPr>
        <w:t>Grantor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i w:val="1"/>
          <w:iCs w:val="1"/>
          <w:color w:val="auto"/>
        </w:rPr>
        <w:t>Grantor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EACH OTHER GRANTOR FROM TIME TO TIME PARTY HERETO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favor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xml:space="preserve"> on behalf of Lenders and the other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78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3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DEFINED TERMS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1.2  Certain Other Terms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2.2  Limitation of Guaranty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2.3  Authorization; Other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2.4  Guaranty Absolute and Unconditional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Reliance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GRANT OF SECURITY INTEREST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  Grant of Security Interest in Collateral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  Title; No Other Liens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4.2  Perfection and Priority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Pledged Stock</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4.4  Pledged Debt Instruments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5.1  Maintenance of Perfected Security Interest; Further Documentation and Consents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5.2  Pledged Collateral and Pledged Investment Property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REMEDIAL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6.1  Code and Other Remedies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6.2  Accounts and Payments in Respect of General Intangibles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Pledged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6.4  Proceeds to be Turned over to and Held by Collateral Agent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6.5  Sale of Pledged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Deficiency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Accounts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6.8  Directions, Notices or Instructions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ADDITIONAL RIGHTS OF COLLATERAL AGENT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  Collateral Agent’s Appointment as Attorney-in-Fact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7.2  Authorization to File Financing Statements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7.3  Authority of Collateral Agent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7.4  Duty; Obligations and Liabilities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MISCELLANEOUS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8.2  Release of Collateral and Guarantee Obligations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8.3</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Independent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8.4  No Waiver by Course of Conduct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8.5  Amendments in Writing</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8.6  Additional Grantors and Guarantors; Additional Pledged Collateral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0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8.7</w:t>
            </w: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8.8</w:t>
            </w: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8.9</w:t>
            </w: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Section 8.10</w:t>
            </w: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Section 8.11</w:t>
            </w: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Choice of Law</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Section 8.12</w:t>
            </w: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Jury Trial Waiver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Section 8.13</w:t>
            </w: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Intercreditor Agreement</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Section 8.14</w:t>
            </w: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Israeli Security Agreement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Section 8.15</w:t>
            </w: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 Form of Pledge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 Form of Joinder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 Form of [Patent] [Trademark][Copyright] Security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 Form of Uncertificated Stock Control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218" w:name="page219"/>
    <w:bookmarkEnd w:id="21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AMENDED AND RESTATED GUARANTY AND SECURITY AGREEMENT, dated as of February 26, 2026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UROGEN PHARMA,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a Grantor), UROGEN PHARMA LTD., a company incorporated in Israel with company registration number 513537621 (as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and a Grantor) and each other Person that becomes a party hereto in the capacity of a Grantor hereunder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in favor of BIOPHARMA CREDIT PLC, a public limited company incorporated under the laws of England and Wales (as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 behalf of Lenders and each other Secured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that certain Amended and Restated Loan Agreement, dated as of March 13,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Borrower, Parent, the Collateral Agent and the other parties thereto (the “</w:t>
      </w:r>
      <w:r>
        <w:rPr>
          <w:rFonts w:ascii="Times New Roman" w:cs="Times New Roman" w:eastAsia="Times New Roman" w:hAnsi="Times New Roman"/>
          <w:sz w:val="18"/>
          <w:szCs w:val="18"/>
          <w:u w:val="single" w:color="auto"/>
          <w:color w:val="auto"/>
        </w:rPr>
        <w:t>Prior Loan Agreement</w:t>
      </w:r>
      <w:r>
        <w:rPr>
          <w:rFonts w:ascii="Times New Roman" w:cs="Times New Roman" w:eastAsia="Times New Roman" w:hAnsi="Times New Roman"/>
          <w:sz w:val="18"/>
          <w:szCs w:val="18"/>
          <w:color w:val="auto"/>
        </w:rPr>
        <w:t>”), Lenders agreed to make extensions of credit to Borrower upon the terms and subject to the conditions set forth therein, including the execution and delivery of that certain Guaranty and Security Agreement, dated as of March 16, 2022, by and among Borrower, Parent and the Collateral Agent (the “</w:t>
      </w:r>
      <w:r>
        <w:rPr>
          <w:rFonts w:ascii="Times New Roman" w:cs="Times New Roman" w:eastAsia="Times New Roman" w:hAnsi="Times New Roman"/>
          <w:sz w:val="18"/>
          <w:szCs w:val="18"/>
          <w:u w:val="single" w:color="auto"/>
          <w:color w:val="auto"/>
        </w:rPr>
        <w:t>Prior Guaranty and Security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that certain Second Amended and Restated Loan Agreement, dated as of February 26, 2026, by and among Borrower, Parent, the Collateral Agent and Lenders (as the same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the Prior Loan Agreement has been superseded and replaced in its entirety by the Loan Agreement and the Prior Loan Agreement has no further force and effect;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this Agreement amends and restates in its entirety, and replaces, the terms of (and obligations outstanding under) the Prior Guaranty and Security Agreement. The parties hereto agree that the Prior Guaranty and Security Agreement is hereby superseded and replaced in its entirety by this Agreement and the Prior Guaranty and Security Agreement has no further force or effect;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each Grantor other than Borrower agrees to guaranty, jointly and severally, the Obligations (as defined in the Loan Agreement) of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each Grantor will derive substantial direct and indirect benefits from the making of the extensions of credit under the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Lenders to make Term Loans to Borrower under the Loan Agreement that the Grantors shall have executed and delivered this Agreement to the Collateral Agent and each Lender for the benefit of Lenders and the other Secured Parties.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mutual promises herein contained and for valuable consideration the receipt and sufficiency of which is hereby acknowledged and to induce each of the Collateral Agent, Lenders and the Credit Parties to enter into the Loan Agreement and to induce each Lender to make extensions of credit to Borrower thereunder, each Grantor hereunder hereby agrees with the Collateral Agent, each intending to be legally bound,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DEFINED TERMS</w:t>
      </w:r>
    </w:p>
    <w:p>
      <w:pPr>
        <w:spacing w:after="0" w:line="225"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herein without definition are used as defined in the Loan Agreement.</w:t>
      </w:r>
    </w:p>
    <w:p>
      <w:pPr>
        <w:spacing w:after="0" w:line="225" w:lineRule="exact"/>
        <w:rPr>
          <w:sz w:val="20"/>
          <w:szCs w:val="20"/>
          <w:color w:val="auto"/>
        </w:rPr>
      </w:pPr>
    </w:p>
    <w:p>
      <w:pPr>
        <w:jc w:val="both"/>
        <w:ind w:firstLine="1304"/>
        <w:spacing w:after="0" w:line="255" w:lineRule="auto"/>
        <w:tabs>
          <w:tab w:leader="none" w:pos="170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have the meanings given to them in the Code and terms used herein without definition that are defined in the Code have the meanings given to them in the Code (such meanings to be equally applicable to both the singular and plural forms of the terms defined):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as-extracted collateral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certificated 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check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commercial tort claim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commodity contract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entitlement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financial asset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fixture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general intangible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health-care-insurance receivable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letter-of-credit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supporting obligation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tangible chattel paper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uncertificated security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9" w:name="page220"/>
    <w:bookmarkEnd w:id="219"/>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following terms shall have the following meanings: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Amended and Restated Guaranty and Security Agreement, as it may be amended, restated, amended and restated, supplemented or otherwise modified from time to time.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IP Office</w:t>
      </w:r>
      <w:r>
        <w:rPr>
          <w:rFonts w:ascii="Times New Roman" w:cs="Times New Roman" w:eastAsia="Times New Roman" w:hAnsi="Times New Roman"/>
          <w:sz w:val="18"/>
          <w:szCs w:val="18"/>
          <w:color w:val="auto"/>
        </w:rPr>
        <w:t>” means, as applicable, the United States Patent and Trademark Office or the United States Copyright Office or any similar offices or agencies in such other jurisdictions as required by and pursuant to Section 5.12(e) of the Loan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BioPharma Credit PLC, together with its successors and permitted assigns.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jc w:val="both"/>
        <w:ind w:left="660" w:firstLine="644"/>
        <w:spacing w:after="0" w:line="255" w:lineRule="auto"/>
        <w:tabs>
          <w:tab w:leader="none" w:pos="165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“intent-to-use” application for registration of a United States Trademark for which a “Statement of Use” pursuant to Section 1(d) of the Lanham Act, 15 U.S.C. § 1051 (or any successor provision) or an “Amendment to Allege Use” pursuant to Section 1(c) of the Lanham Act, 15 U.S.C. § 1051 (or any successor provision) has not been filed with and accepted by the Applicable IP Office, solely to the extent, if any, that, and only during the period, if any, in which, the grant of a security interest therein would impair the validity or enforceability of any registration that issues from such intent-to-use United States Trademark application under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filing and acceptance by the Applicable IP Office of such statement of use or amendment to allege use (as applicable), such intent-to-use application shall be considered Collateral for all purposes under the Loan Documents;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7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interests in any permit, lease, license, contract, instrument or other agreement held by any Grantor with respect to which, the grant to the Collateral Agent, in favor of and for the benefit of Lenders and the other Secured Parties, of a security interest therein and Lien thereupon, and the pledge to the Collateral Agent thereof, in favor of and for the benefit of Lenders and the other Secured Parties, to secure the Obligations (and any guaranty thereof) are prohibited by the terms thereof, but only, in each case, to the extent, and for so long as, such prohibition is not terminated or rendered unenforceable or otherwise deemed ineffective by the Code (including Sections 9-406(d), 9-407(a), 9-408(a) and 9-409 of the Code) or by any applicable Requirements of Law;</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1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interests in any permit, lease, license, contract, instrument or other agreement held by any Grantor with respect to which, the grant to the Collateral Agent, in favor of and for the benefit of Lenders and the other Secured Parties, of a security interest in and Lien thereupon, and the pledge to the Collateral Agent thereof, in favor of and for the benefit of Lenders and the other Secured Parties, to secure the Obligations (and any guaranty thereof) require the consent, authorization, approval or waiver of any Governmental Authority or other third party (other than Parent or an Affiliate of Parent) and such consent, authorization, approval or waiver has not been obtained by such Grantor or Parent following their respective commercially reasonable efforts to obtain the same;</w:t>
      </w:r>
    </w:p>
    <w:p>
      <w:pPr>
        <w:spacing w:after="0" w:line="214"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8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 or property subject or purported to be subject to a Lien under any Collateral Document held by any Grantor with respect to which, the grant to the Collateral Agent, in favor of and for the benefit of Lenders and the other Secured Parties, of a security interest in and Lien thereupon, and the pledge to the Collateral Agent thereof, in favor of and for the benefit of Lenders and the other Secured Parties, to secure the Obligations (and any guaranty thereof) require the consent, authorization, approval or waiver of any Governmental Authority or other third party (other than Parent or an Affiliate of Parent) and such consent, authorization, approval or waiver has not been obtained by such Grantor or Parent following their respective commercially reasonable efforts to obtain the same;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0" w:name="page221"/>
    <w:bookmarkEnd w:id="220"/>
    <w:p>
      <w:pPr>
        <w:jc w:val="both"/>
        <w:ind w:left="-460" w:firstLine="644"/>
        <w:spacing w:after="0" w:line="272" w:lineRule="auto"/>
        <w:tabs>
          <w:tab w:leader="none" w:pos="59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property or asset subject or purported to be subject to a Lien under any Collateral Document held by any Grantor that is a non-Wholly-Owned Subsidiary with respect to which, the grant to the Collateral Agent, in favor of and for the benefit of Lenders and the other Secured Parties, of a security interest therein and Lien thereupon, and the pledge to the Collateral Agent thereof, in favor of and for the benefit of Lenders and the other Secured Parties, to secure the Obligations (and any guaranty thereof) are validly prohibited by, or would give any third party (other than Parent or an Affiliate of Parent) the right to terminate its obligations under, the Operating Documents of, the joint venture agreement or shareholder agreement with respect to, or any other contract with such third party relating to such non-Wholly-Owned Subsidiary (other than customary non-assignment provisions which are ineffective under Article 9 of the Code or other Requirements of Law), but only, in each case, to the extent, and for so long as such Operating Documents, joint venture agreement, shareholder agreement or other contract is in effect;</w:t>
      </w:r>
    </w:p>
    <w:p>
      <w:pPr>
        <w:spacing w:after="0" w:line="171" w:lineRule="exact"/>
        <w:rPr>
          <w:rFonts w:ascii="Times New Roman" w:cs="Times New Roman" w:eastAsia="Times New Roman" w:hAnsi="Times New Roman"/>
          <w:sz w:val="17"/>
          <w:szCs w:val="17"/>
          <w:color w:val="auto"/>
        </w:rPr>
      </w:pPr>
    </w:p>
    <w:p>
      <w:pPr>
        <w:jc w:val="both"/>
        <w:ind w:left="-460" w:firstLine="644"/>
        <w:spacing w:after="0" w:line="258" w:lineRule="auto"/>
        <w:tabs>
          <w:tab w:leader="none" w:pos="6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subject or purported to be subject to a Lien under any Collateral Document held by any Grantor with respect to which, the cost, difficulty, burden or consequences (including adverse Tax consequences) of granting the Collateral Agent, in favor of and for the benefit of Lenders and the other Secured Parties, a security interest therein and Lien thereupon, and pledging to the Collateral Agent thereof, in favor of and for the benefit of Lenders and the other Secured Parties, to secure the Obligations (and any guaranty thereof) are excessive relative to the value to be afforded to Secured Parties thereby;</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under any Federal or state governmental license, permit, franchise or authorization to the extent that the granting of a security interest therein is specifically prohibited or restricted by any Requirements of Law;</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subject to a Permitted Lien to the extent the documents governing such Permitted Lien or the Permitted Indebtedness secured thereby validly prohibit other Liens on such assets or property, but only, in each case, to the extent, and for so long as, such prohibition is not terminated or rendered unenforceable or otherwise deemed ineffective by the Code (including Sections 9-406(d), 9-407(a), 9-408(a) and 9-409 of the Code) or by any applicable Requirements of Law;</w:t>
      </w:r>
    </w:p>
    <w:p>
      <w:pPr>
        <w:spacing w:after="0" w:line="179"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interests in real property;</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63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interests in real property (i) not located in the United States or (ii) with a fair market value (reasonably determined in good faith by a Responsible Officer of Parent) of less than $10,000,000;</w:t>
      </w:r>
    </w:p>
    <w:p>
      <w:pPr>
        <w:spacing w:after="0" w:line="161" w:lineRule="exact"/>
        <w:rPr>
          <w:rFonts w:ascii="Times New Roman" w:cs="Times New Roman" w:eastAsia="Times New Roman" w:hAnsi="Times New Roman"/>
          <w:sz w:val="18"/>
          <w:szCs w:val="18"/>
          <w:color w:val="auto"/>
        </w:rPr>
      </w:pPr>
    </w:p>
    <w:p>
      <w:pPr>
        <w:ind w:left="720" w:hanging="536"/>
        <w:spacing w:after="0"/>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73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with an amount less than $500,000 and all letter-of-credit rights with respect thereto to the extent not perfected by the filing of a UCC-1 financing statement;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7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 with a predicted value of less than $500,000 (as reasonably determined by a Responsible Officer of Parent in good faith and based upon reasonable assumptions)</w:t>
      </w:r>
    </w:p>
    <w:p>
      <w:pPr>
        <w:spacing w:after="0" w:line="161" w:lineRule="exact"/>
        <w:rPr>
          <w:rFonts w:ascii="Times New Roman" w:cs="Times New Roman" w:eastAsia="Times New Roman" w:hAnsi="Times New Roman"/>
          <w:sz w:val="18"/>
          <w:szCs w:val="18"/>
          <w:color w:val="auto"/>
        </w:rPr>
      </w:pPr>
    </w:p>
    <w:p>
      <w:pPr>
        <w:ind w:left="720" w:hanging="536"/>
        <w:spacing w:after="0"/>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Equity Interests;</w:t>
      </w:r>
    </w:p>
    <w:p>
      <w:pPr>
        <w:spacing w:after="0" w:line="225" w:lineRule="exact"/>
        <w:rPr>
          <w:rFonts w:ascii="Times New Roman" w:cs="Times New Roman" w:eastAsia="Times New Roman" w:hAnsi="Times New Roman"/>
          <w:sz w:val="18"/>
          <w:szCs w:val="18"/>
          <w:color w:val="auto"/>
        </w:rPr>
      </w:pPr>
    </w:p>
    <w:p>
      <w:pPr>
        <w:ind w:left="660" w:hanging="476"/>
        <w:spacing w:after="0"/>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 and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7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 or property held by any Grantor (including any asset or property not located in the United States) with respect to which Borrower and Collateral Agent reasonably determine by mutual written agreement that the grant to Collateral Agent, in favor of and for the benefit of Lenders and the other Secured Parties, of a security interest therein and Lien thereupon, and the pledge to Collateral Agent, in favor of and for the benefit of Lenders and the other Secured Parties, thereof, to secure the Obligations (and any guaranty thereof) are specifically prohibited by Requirements of Law, but only, in each such case, to the extent, and for so long as, such prohibition is not rendered or deemed ineffective by the Code (or any other applicable Requirements of Law) notwithstanding such prohibition;</w:t>
      </w:r>
    </w:p>
    <w:p>
      <w:pPr>
        <w:spacing w:after="0" w:line="1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21" w:name="page222"/>
    <w:bookmarkEnd w:id="221"/>
    <w:p>
      <w:pPr>
        <w:jc w:val="both"/>
        <w:ind w:right="20" w:hanging="17"/>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not include any proceeds, products, substitutions or replacements of Excluded Property unless such proceeds, products, substitutions or replacements would otherwise constitute Excluded Property.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Fraudulent Transfer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xml:space="preserve">” means each of the Borrower and each other Person that becomes a party hereto in the capacity as a “Grantor”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collectively, Borrower and each other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Parent and each other Grantor other than Borrower and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Parent and each other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the guaranty of the Guaranteed Obligations made by Guarantors as set forth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License</w:t>
      </w:r>
      <w:r>
        <w:rPr>
          <w:rFonts w:ascii="Times New Roman" w:cs="Times New Roman" w:eastAsia="Times New Roman" w:hAnsi="Times New Roman"/>
          <w:sz w:val="18"/>
          <w:szCs w:val="18"/>
          <w:color w:val="auto"/>
        </w:rPr>
        <w:t>” means all express and implied grants or rights to make, have made, use, sell, reproduce, distribute, modify, or otherwise exploit any Intellectual Property in the U.S., as well as all covenants not to sue and co-existence agreements (and all related IP Ancillary Rights) relating to any Intellectual Property in the U.S.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Security Agreement</w:t>
      </w:r>
      <w:r>
        <w:rPr>
          <w:rFonts w:ascii="Times New Roman" w:cs="Times New Roman" w:eastAsia="Times New Roman" w:hAnsi="Times New Roman"/>
          <w:sz w:val="18"/>
          <w:szCs w:val="18"/>
          <w:color w:val="auto"/>
        </w:rPr>
        <w:t xml:space="preserve">” means an intellectual property security agreement in the form attached hereto as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IP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means, collectively, all such intellectual property security agreements.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Guaranteed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means a new drug application filed with the FDA pursuant to Section 505(b) of the U.S. Federal Food, Drug, and Cosmetic Act, along with all supplements and amendments thereto.</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Certificated Stock</w:t>
      </w:r>
      <w:r>
        <w:rPr>
          <w:rFonts w:ascii="Times New Roman" w:cs="Times New Roman" w:eastAsia="Times New Roman" w:hAnsi="Times New Roman"/>
          <w:sz w:val="18"/>
          <w:szCs w:val="18"/>
          <w:color w:val="auto"/>
        </w:rPr>
        <w:t xml:space="preserve">” means all of the Equity Interests (other than Excluded Equity Interests) in any Subsidiary evidenced by a certificate or instrument or other document of title (in each case, as defined in the Code), in each case owned by any Grantor, including a Grantor’s right, title and interest resulting from its ownership of any such Equity Interests as a limited or general partner in any partnership that has issued Pledged Certificated Stock or as a member of any limited liability company that has issued Pledged Certificated Stock, and a Grantor’s right, title and interest resulting from its ownership of any such Equity Interests in, to and under any Operating Document or shareholder agreement of any corporation, partnership or limited liability company to which it is a party, and any distribution of property made on, in respect of or in exchange for the foregoing from time to time, including all certificated Equity Interests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“Pledged Certificated Stock” includes, for the avoidance of doubt, any Pledged Uncertificated Stock that subsequently becomes certificated.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means, collectively, the Pledged Stock and the Pledged Debt Instruments.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Debt Instruments</w:t>
      </w:r>
      <w:r>
        <w:rPr>
          <w:rFonts w:ascii="Times New Roman" w:cs="Times New Roman" w:eastAsia="Times New Roman" w:hAnsi="Times New Roman"/>
          <w:sz w:val="18"/>
          <w:szCs w:val="18"/>
          <w:color w:val="auto"/>
        </w:rPr>
        <w:t xml:space="preserve">” means all right, title and interest of any Grantor in instruments evidencing any Indebtedness owed to such Grantor or other obligations owed to such Grantor, and any distribution of property made on, in respect of or in exchange for the foregoing from time to time, including all Indebtedness described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of the Security Disclosure Letter, issued by the obligors named therein. “Pledged Debt Instruments” excludes any Excluded Property.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2" w:name="page223"/>
    <w:bookmarkEnd w:id="22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Investment Property</w:t>
      </w:r>
      <w:r>
        <w:rPr>
          <w:rFonts w:ascii="Times New Roman" w:cs="Times New Roman" w:eastAsia="Times New Roman" w:hAnsi="Times New Roman"/>
          <w:sz w:val="18"/>
          <w:szCs w:val="18"/>
          <w:color w:val="auto"/>
        </w:rPr>
        <w:t>” means any investment property of any Grantor, and any distribution of property made on, in respect of or in exchange for the foregoing from time to time, other than any Pledged Stock or Pledged Debt Instruments. “Pledged Investment Property” excludes any Excluded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Stock</w:t>
      </w:r>
      <w:r>
        <w:rPr>
          <w:rFonts w:ascii="Times New Roman" w:cs="Times New Roman" w:eastAsia="Times New Roman" w:hAnsi="Times New Roman"/>
          <w:sz w:val="18"/>
          <w:szCs w:val="18"/>
          <w:color w:val="auto"/>
        </w:rPr>
        <w:t>” means all Pledged Certificated Stock and all Pledged Uncertificated Stock.</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Uncertificated Stock</w:t>
      </w:r>
      <w:r>
        <w:rPr>
          <w:rFonts w:ascii="Times New Roman" w:cs="Times New Roman" w:eastAsia="Times New Roman" w:hAnsi="Times New Roman"/>
          <w:sz w:val="18"/>
          <w:szCs w:val="18"/>
          <w:color w:val="auto"/>
        </w:rPr>
        <w:t xml:space="preserve">” means all of the Equity Interests (other than Excluded Equity Interests) in any Subsidiary that is not Pledged Certificated Stock, in each case owned by any Grantor, including Grantor’s right, title and interest resulting from its ownership of any such Equity Interests as a limited or general partner in any partnership not constituting Pledged Certificated Stock or as a member of any limited liability company not constituting Pledged Certificated Stock, a Grantor’s right, title and interest resulting from its ownership of any such Equity Interests in, to and under any Operating Document or shareholder agreement of any partnership or limited liability company to which it is a party, and any distribution of property made on, in respect of or in exchange for the foregoing from time to time, including in each case those interests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to the extent such interests are not certificated.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Disclosure Letter</w:t>
      </w:r>
      <w:r>
        <w:rPr>
          <w:rFonts w:ascii="Times New Roman" w:cs="Times New Roman" w:eastAsia="Times New Roman" w:hAnsi="Times New Roman"/>
          <w:sz w:val="18"/>
          <w:szCs w:val="18"/>
          <w:color w:val="auto"/>
        </w:rPr>
        <w:t>” means the security agreement disclosure letter, dated as of the date hereof, delivered by the Grantors to the Collateral Agent and each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Vehicles</w:t>
      </w:r>
      <w:r>
        <w:rPr>
          <w:rFonts w:ascii="Times New Roman" w:cs="Times New Roman" w:eastAsia="Times New Roman" w:hAnsi="Times New Roman"/>
          <w:sz w:val="18"/>
          <w:szCs w:val="18"/>
          <w:color w:val="auto"/>
        </w:rPr>
        <w:t>” means rolling stock, motor vehicles, vessels, aircraft and other assets subject to certificates of title.</w:t>
      </w:r>
    </w:p>
    <w:p>
      <w:pPr>
        <w:spacing w:after="0" w:line="225"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Certain Other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and as used in this Agreement: (i) references to any Person include its successors and assigns and, in the case of any Governmental Authority, any Person succeeding to its functions and capacities; (ii) each authorization herein shall be deemed irrevocable and coupled with an interest; and (iii) where the context requires, provisions relating to any Collateral when used in relation to a Grantor shall refer to such Grantor’s Collateral or any relevant part thereof.</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74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specified herein or therein, all terms defined in this Agreement shall have the defined meanings when used in any certificate or other document made or delivered pursuant hereto.</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The words “hereof”, “herein”,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Common Terms</w:t>
      </w:r>
      <w:r>
        <w:rPr>
          <w:rFonts w:ascii="Times New Roman" w:cs="Times New Roman" w:eastAsia="Times New Roman" w:hAnsi="Times New Roman"/>
          <w:sz w:val="18"/>
          <w:szCs w:val="18"/>
          <w:color w:val="auto"/>
        </w:rPr>
        <w:t>. The words “include”, “included” and “including” are not limiting and mean “including without limitation.” The word “or” has the inclusive meaning represented by the phrase “and/or”. The word “shall” is mandatory. The word “may” is permissive. The singular includes the plural and the plural includes the singular.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4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Time</w:t>
      </w:r>
      <w:r>
        <w:rPr>
          <w:rFonts w:ascii="Times New Roman" w:cs="Times New Roman" w:eastAsia="Times New Roman" w:hAnsi="Times New Roman"/>
          <w:sz w:val="18"/>
          <w:szCs w:val="18"/>
          <w:color w:val="auto"/>
        </w:rPr>
        <w:t>. Whenever any performance obligation hereunder (other than a payment obligation) shall be stated to be due or required to be satisfied on a day other than a Business Day, such performance shall be made or satisfied on the next succeeding Business Day. In the computation of periods of time from a specified date to a later specified date, the word “from” means “from and including”; the words “to” and “until” each mean “to but excluding”, and the word “through” means “to and including.” If any provision of this Agreement refers to any action taken or to be taken by any Person, or which such Person is prohibited from taking, such provision shall be interpreted to encompass any and all means, direct or indirect, of taking, or not taking, such 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3" w:name="page224"/>
    <w:bookmarkEnd w:id="223"/>
    <w:p>
      <w:pPr>
        <w:jc w:val="both"/>
        <w:ind w:left="660" w:firstLine="644"/>
        <w:spacing w:after="0" w:line="258" w:lineRule="auto"/>
        <w:tabs>
          <w:tab w:leader="none" w:pos="171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the context otherwise requires (including to the extent otherwise expressly provided herein), references to any contract, agreement, instrument or other document, including this Agreement and the other Loan Documents, shall be deemed to include any and all amendments, amendments and restatements, supplements or modifications thereto or restatements or substitutions thereof, in each case which are in effect from time to time, but only to the extent such amendments, amendments and restatements, supplements, modifications, restatements or substitutions are not prohibited by the terms of any Loan Document.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4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Except as the context otherwise requires (including to the extent otherwise expressly provided herein), references to any law, statute, treaty, order, policy, rule or regulation include any amendments, supplements and successors thereto, and references to any law, statute, treaty, order, policy, rule or regulation are to be construed as including all statutory and regulatory provisions related thereto or consolidating, amending, replacing, supplementing or interpreting such law, statute, treaty, order, policy, rule or regulation.</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79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Notwithstanding anything to the contrary herein, the representations, warranties and covenants set forth herein in relation to the assets of the Grantors shall not apply to any Excluded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GUARANTY</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To induce Lenders to make the Term Loans to Borrower in accordance with the terms and conditions of the Loan Agreement, each 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pursuant to any Loan Document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This Guaranty by each Guarantor hereunder constitutes a guaranty of payment and not of collection. Each 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Limitation of Guaranty</w:t>
      </w:r>
      <w:r>
        <w:rPr>
          <w:rFonts w:ascii="Times New Roman" w:cs="Times New Roman" w:eastAsia="Times New Roman" w:hAnsi="Times New Roman"/>
          <w:sz w:val="18"/>
          <w:szCs w:val="18"/>
          <w:color w:val="auto"/>
        </w:rPr>
        <w:t>. Any term or provision of this Guaranty or any other Loan Document to the contrary notwithstanding, the maximum aggregate amount for which any Guarantor shall be liable hereunder (the “</w:t>
      </w:r>
      <w:r>
        <w:rPr>
          <w:rFonts w:ascii="Times New Roman" w:cs="Times New Roman" w:eastAsia="Times New Roman" w:hAnsi="Times New Roman"/>
          <w:sz w:val="18"/>
          <w:szCs w:val="18"/>
          <w:u w:val="single" w:color="auto"/>
          <w:color w:val="auto"/>
        </w:rPr>
        <w:t>Maximum Guaranteed Amount</w:t>
      </w:r>
      <w:r>
        <w:rPr>
          <w:rFonts w:ascii="Times New Roman" w:cs="Times New Roman" w:eastAsia="Times New Roman" w:hAnsi="Times New Roman"/>
          <w:sz w:val="18"/>
          <w:szCs w:val="18"/>
          <w:color w:val="auto"/>
        </w:rPr>
        <w:t>”) shall not exceed the maximum amount for which such Guarantor can be liable without rendering this Guaranty or any other Loan Document, as it relates to such Guarantor, subject to avoidance under (a)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w:t>
      </w:r>
      <w:r>
        <w:rPr>
          <w:rFonts w:ascii="Times New Roman" w:cs="Times New Roman" w:eastAsia="Times New Roman" w:hAnsi="Times New Roman"/>
          <w:sz w:val="18"/>
          <w:szCs w:val="18"/>
          <w:u w:val="single" w:color="auto"/>
          <w:color w:val="auto"/>
        </w:rPr>
        <w:t>Fraudulent Transfer Laws</w:t>
      </w:r>
      <w:r>
        <w:rPr>
          <w:rFonts w:ascii="Times New Roman" w:cs="Times New Roman" w:eastAsia="Times New Roman" w:hAnsi="Times New Roman"/>
          <w:sz w:val="18"/>
          <w:szCs w:val="18"/>
          <w:color w:val="auto"/>
        </w:rPr>
        <w:t xml:space="preserve">”) and (b) the Israeli Guarantee Law, 5727-1967. Any analysis of the provisions of this Guaranty for purposes of Fraudulent Transfer Laws shall take into account the right of contribution established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below and, for purposes of such analysis, give effect to any discharge of intercompany debt as a result of any payment made under the Guaranty.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Authorization; Other Agreements</w:t>
      </w:r>
      <w:r>
        <w:rPr>
          <w:rFonts w:ascii="Times New Roman" w:cs="Times New Roman" w:eastAsia="Times New Roman" w:hAnsi="Times New Roman"/>
          <w:sz w:val="18"/>
          <w:szCs w:val="18"/>
          <w:color w:val="auto"/>
        </w:rPr>
        <w:t>. The Collateral Agent, on behalf of Lenders and the other Secured Parties, is hereby authorized, 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w:t>
      </w:r>
    </w:p>
    <w:p>
      <w:pPr>
        <w:spacing w:after="0" w:line="180" w:lineRule="exact"/>
        <w:rPr>
          <w:sz w:val="20"/>
          <w:szCs w:val="20"/>
          <w:color w:val="auto"/>
        </w:rPr>
      </w:pPr>
    </w:p>
    <w:p>
      <w:pPr>
        <w:jc w:val="both"/>
        <w:ind w:firstLine="1304"/>
        <w:spacing w:after="0" w:line="266" w:lineRule="auto"/>
        <w:tabs>
          <w:tab w:leader="none" w:pos="181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Section 11.5 of the Loan Agreement and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hereof (as applicable), (i) modify, amend, supplement or otherwise change, (ii) accelerate or otherwise change the time of payment or (iii) waive or otherwise consent to noncompliance with, any Guaranteed Obligation or any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4" w:name="page225"/>
    <w:bookmarkEnd w:id="224"/>
    <w:p>
      <w:pPr>
        <w:ind w:firstLine="1304"/>
        <w:spacing w:after="0" w:line="282" w:lineRule="auto"/>
        <w:tabs>
          <w:tab w:leader="none" w:pos="168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Guaranteed Obligations any sums by whomever paid or however realized to any Guaranteed Obligation in such order as provided in the Loan Documents;</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at any time any payment received by any Secured Party in respect of any Guaranteed Obligation;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Loan Documents: (i)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Guarantor, maker or endorser of any Guaranteed Obligation or any part thereof; and</w:t>
      </w:r>
    </w:p>
    <w:p>
      <w:pPr>
        <w:spacing w:after="0" w:line="183"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11.1 of the Loan Agreement, settle, release, compromise, collect or otherwise liquidate the Guaranteed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Guaranty Absolute and Unconditional</w:t>
      </w:r>
      <w:r>
        <w:rPr>
          <w:rFonts w:ascii="Times New Roman" w:cs="Times New Roman" w:eastAsia="Times New Roman" w:hAnsi="Times New Roman"/>
          <w:sz w:val="18"/>
          <w:szCs w:val="18"/>
          <w:color w:val="auto"/>
        </w:rPr>
        <w:t xml:space="preserve">. Each Guarantor hereby waives and agrees not to assert any defense (other than the absolute, unconditional and irrevocable payment in full of the Guaranteed Obligations (other than contingent indemnification obligations to the extent no claim giving rise thereto has been asserted), whether arising in connection with or in respect of any of the following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otherwise, and hereby agrees that its obligations under this Guaranty are irrevocable, absolute and unconditional and shall not be discharged as a result of or otherwise affected by any of the following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(which may not be pleaded and evidence of which may not be introduced in any proceeding with respect to this Guaranty, in each case except as otherwise agreed in writing by the Collateral Agent):</w:t>
      </w:r>
    </w:p>
    <w:p>
      <w:pPr>
        <w:spacing w:after="0" w:line="187" w:lineRule="exact"/>
        <w:rPr>
          <w:sz w:val="20"/>
          <w:szCs w:val="20"/>
          <w:color w:val="auto"/>
        </w:rPr>
      </w:pPr>
    </w:p>
    <w:p>
      <w:pPr>
        <w:jc w:val="both"/>
        <w:ind w:firstLine="1304"/>
        <w:spacing w:after="0" w:line="266" w:lineRule="auto"/>
        <w:tabs>
          <w:tab w:leader="none" w:pos="16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obligation of Borrower or any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 any attempt to collect any Guaranteed Obligation or any part thereof from Borrower or any Guarantor or other action to enforce the same or (ii) any action to enforce any Loan Document or any Lien thereunder;</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Person to take any steps to perfect and maintain any Lien on, or to preserve any rights with respect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workout, insolvency, bankruptcy proceeding, reorganization, (by way of voluntary arrangement, scheme of arrangement or otherwise), arrangement, liquidation, administration, receivership, rescue process or dissolution (in each case howsoever described, and including any analogous process, steps and/or proceedings in any applicable jurisdiction including under the Bankruptcy Code) by or against Borrower, any Guarantor or any of Parent’s other Subsidiaries or any procedure, agreement, order, stipulation, election, action or omission thereunder, including any discharge or disallowance of, or bar or stay against collecting, any Guaranteed Obligation (or any interest thereon) in or as a result of any such proceeding;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foreclosure, whether or not through judicial sale, and any other sale or other disposition of any Collateral or any election following the occurrence of an Event of Default and during the continuance thereof by the Collateral Agent, on behalf of Lenders and any other Secured Party, to proceed separately against any Collateral in accordance with the Collateral Agent’s rights and the rights of any Lender or other Secured Party under any applicable Requirements of Law;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5" w:name="page226"/>
    <w:bookmarkEnd w:id="225"/>
    <w:p>
      <w:pPr>
        <w:jc w:val="both"/>
        <w:ind w:firstLine="1304"/>
        <w:spacing w:after="0" w:line="266" w:lineRule="auto"/>
        <w:tabs>
          <w:tab w:leader="none" w:pos="170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defense, setoff, counterclaim or any other circumstance that might otherwise constitute a legal or equitable discharge of Borrower, any Guarantor or any other Subsidiary of Parent, in each case other than the absolute, unconditional and irrevocable payment in full of the Guaranteed Obligations (other than contingent indemnification obligations to the extent no claim giving rise thereto has been asserted).</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Except, in each case, as otherwise expressly required in any of the Loan Documents, to the fullest extent permitted by Requirements of Law, each Guarantor hereby unconditionally and irrevocably 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 arising by reason of any disability or other defense of Borrower or any Guarantor. Until the absolute, unconditional and irrevocable payment in full of the Guaranteed Obligations (other than contingent indemnification obligations to the extent no claim giving rise thereto has been asserted), each Guarantor further unconditionally and irrevocably agrees not to (x) enforce or otherwise exercise any right of subrogation or any right of reimbursement or contribution or similar right against Borrower or any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No obligation of any Guarantor hereunder shall be discharged other than by complete performance.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Guarantor hereby assumes responsibility for keeping itself informed of the financial condition of Borrower, each other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the Collateral Agent nor any Lender or other Secured Party shall have any duty to advise any Guarantor of information known to it regarding such condition or any such circumstances. In the event the Collateral Agent, in its sole discretion, undertakes at any time or from time to time to provide any such information to any Guarantor, such Person shall be under no obligation to (a) undertake any investigation not a part of its regular business routine, (b) disclose any information that any Lender or other Secured Party, pursuant to accepted or reasonable commercial finance or banking practices, wishes to maintain confidential or (c) make any future disclosures of such information or any other information to any Guarantor.</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To the extent that any Guarantor shall be required hereunder to pay any portion of any Guaranteed Obligation exceeding the greater of (a) the amount of the value actually received by such Guarantor and its Subsidiaries from the Term Loans and other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based on the respective net worth of such other Guarantors on such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GRANT OF SECURITY INTEREST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For the purposes of this Agreement, the following tangible and intangible assets and property now owned or at any time hereafter acquired, developed or created by a Grantor or in which a Grantor now has or at any time in the future may acquire any right, title or interest, in each case, wherever located, is collectively referred to as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80" w:hanging="376"/>
        <w:spacing w:after="0"/>
        <w:tabs>
          <w:tab w:leader="none" w:pos="1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as-extracted collateral;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6" w:name="page227"/>
    <w:bookmarkEnd w:id="226"/>
    <w:p>
      <w:pPr>
        <w:ind w:left="1680" w:hanging="376"/>
        <w:spacing w:after="0"/>
        <w:tabs>
          <w:tab w:leader="none" w:pos="16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 including electronic chattel paper or tangible chattel paper;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checks;</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encumbrances;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fixtures;</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all Current Company IP Agreements, Manufacturing Agreements and any other agreements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of any kind);</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Intellectual Property and IP Licenses (including any IP Licenses under the Current Company IP Agreements to which a Grantor is a party and the rights of such Grantor thereunder, and all of a Grantor’s right, title and interest in, to and under any Internet Domain Names and Software), including any similar or equivalent rights to those set forth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the definition of “Intellectual Property”);</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(including all promissory notes and similar instruments);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4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in, to and under any NDA relating to the research, development, manufacture, production, use, commercialization, marketing, importing, storage, transport, offer for sale or lease, distribution, sale or lease of Product in the Territory;</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1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 (including Pledged Collateral, Pledged Investment Property, Equity Interests, securities, securities accounts and security entitlements with respect thereto and financial assets carried therein, and all commodity accounts and commodity contracts);</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 (including cash and cash equivalents);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letters of credit, letter-of-credit rights and supporting obligations;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7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interests in real property located in the United States with a fair market value (reasonably determined in good faith by a Responsible Officer of Parent) greater than or equal to $10,000,000;</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5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commercial tort claims with a predicted value of $500,000 or more (as reasonably determined by a Responsible Officer of Parent in good faith and based upon reasonable assumptions described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of the Security Disclosure Letter);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books, records, ledger cards, files, correspondence, customer lists, blueprints, technical specifications, manuals, computer software, computer printouts, tapes, disks and other electronic storage media and related data processing software and similar items that at any time pertain to or evidence or contain information relating to any of the other property described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7" w:name="page228"/>
    <w:bookmarkEnd w:id="227"/>
    <w:p>
      <w:pPr>
        <w:jc w:val="both"/>
        <w:ind w:firstLine="1304"/>
        <w:spacing w:after="0" w:line="266" w:lineRule="auto"/>
        <w:tabs>
          <w:tab w:leader="none" w:pos="17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of such Grantor held by the Collateral Agent for the benefit of Lenders and any other Secured Party, including all property of every description, in the custody of or in transit to the Collateral Agent for the benefit of Lenders and any other Secured Party for any purpose, including safekeeping, collection or pledge, for the account of such Grantor or as to which such Grantor may have any right or power, including cash;</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products, accessions, rents and profits of or in respect of any of the foregoing;</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personal property of such Grantor, whether tangible or intangible and wherever located, and all proceeds, products, accessions, rents, issues and profits of any and all of the foregoing and all collateral security, supporting obligations and guarantees given by any Person with respect to any of the foregoing;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4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other properties or assets of whatever kind and nature subject or purported to be subject from time to time to a Lien under any Collateral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all cases, all Excluded Property.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Grant of Security Interest in Collateral</w:t>
      </w:r>
      <w:r>
        <w:rPr>
          <w:rFonts w:ascii="Times New Roman" w:cs="Times New Roman" w:eastAsia="Times New Roman" w:hAnsi="Times New Roman"/>
          <w:sz w:val="18"/>
          <w:szCs w:val="18"/>
          <w:color w:val="auto"/>
        </w:rPr>
        <w:t>. Without limiting any other security interest granted to the Collateral Agent, in favor of and for the benefit of Lenders and the other Secured Parties, each Grantor, as collateral security for the prompt and complete payment and performance when due (whether at stated maturity, by acceleration or otherwise) of the Obligations of such Grantor (the “</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hereby pledges, hypothecates and grants to the Collateral Agent, in favor and for the benefit of Lenders and the other Secured Parties, to secure the payment and performance in full of all of the Obligations for the benefit of Lenders and the other Secured Parties, a first priority Lien (subject only to Permitted Liens) on and continuing security interest in, all of its right, title and interest in, to and under the Collateral of such Grantor, wherever located, whether now owned or hereafter acquired or arising;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notwithstanding the foregoing, no Lien or security interest is hereby granted on, and “Collateral” shall not include, any Excluded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and when any property or asset shall cease to be Excluded Property, a first priority Lien (subject only to Permitted Liens) on and security interest in such property or asset shall be deemed granted therein and, therefore, “Collateral” shall then include any such property or asset.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To induce each of the Collateral Agent and Lenders to enter into the Loan Documents, each Grantor, jointly and severally with each other Grantor, represents and warrants each of the following to the Collateral Agent, each Lender and the other Secured Parties that the following statements are true and correct as of the Amendment Effective Date and as of each applicable Closing Date on which a Term Loan is made (both with and without giving effect to the Term Loans), except as otherwise specified below:</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Title; No Other Liens</w:t>
      </w:r>
      <w:r>
        <w:rPr>
          <w:rFonts w:ascii="Times New Roman" w:cs="Times New Roman" w:eastAsia="Times New Roman" w:hAnsi="Times New Roman"/>
          <w:sz w:val="18"/>
          <w:szCs w:val="18"/>
          <w:color w:val="auto"/>
        </w:rPr>
        <w:t xml:space="preserve">. Except for the Lien granted to the Collateral Agent for the benefit of Lenders and the other Secured Parties pursuant to this Agreement and any other Permitted Liens under any Loan Document (including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such Grantor owns or otherwise has the rights it purports to have in each item of the Collateral, free and clear of any and all Liens or claims of others. Such Grantor (a) is the record and beneficial owner of the Collateral pledged by it hereunder constituting instruments or certificates and (b) except for Permitted Subsidiary Distribution Restrictions, has rights in or the power to transfer each other item of Collateral in which a Lien is granted by it hereunder, free and clear of any other Lien other than any Permitted Liens.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8" w:name="page229"/>
    <w:bookmarkEnd w:id="228"/>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Perfection and Priority</w:t>
      </w:r>
      <w:r>
        <w:rPr>
          <w:rFonts w:ascii="Times New Roman" w:cs="Times New Roman" w:eastAsia="Times New Roman" w:hAnsi="Times New Roman"/>
          <w:sz w:val="18"/>
          <w:szCs w:val="18"/>
          <w:color w:val="auto"/>
        </w:rPr>
        <w:t xml:space="preserve">. Other than in respect of money and other Collateral subject to Section 9-311(a)(1) of the Code, the security interest granted to the Collateral Agent pursuant to this Agreement constitutes a valid and continuing first priority perfected security interest (subject, in the case of priority only, to Permitted Liens that are expressly permitted (if at all) by the terms of the Loan Agreement or this Agreement to, or that by operation of law, have superior priority to the Lien and security interest granted to the Collateral Agent for the benefit of Lenders and the other Secured Parties) in favor of and for the benefit of Lenders and the other Secured Parties in all Collateral, subject, for the following Collateral, to the occurrence of the following: (a) in the case of all Collateral in which a security interest may be perfected by filing a financing statement under the Code, the completion of the filings and other actions specified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of the Security Disclosure Letter (which, in the case of all filings and other documents referred to on such schedule, have been duly authorized by the applicable Grantor); (b) with respect to any account over which a Control Agreement is required pursuant to Section 5.5 of the Loan Agreement, the execution of Control Agreements; (c) in the case of all United States Trademarks, Patents and Copyrights for which Code filings are insufficient to effectuate perfection, all appropriate filings having been made with the Applicable IP Office, as applicable; (d) in the case of all Pledged Certificated Stock, Pledged Debt Instruments and Pledged Investment Property, the delivery to the Collateral Agent, for the benefit of Lenders and the other Secured Parties, of such Pledged Certificated Stock, Pledged Debt Instruments and Pledged Investment Property consisting of instruments and certificates, in each case, properly endorsed for transfer to the Collateral Agent or in blank; (e) in the case of all Pledged Uncertificated Stock, the delivery to the Collateral Agent, for the benefit of the Lenders and the other Secured Parties, of an executed uncertificated stock control agreement among the issuer, the registered owner and the Collateral Agent in the form attached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hereto; (f) in the case of letter-of-credit rights that are not supporting obligations of Collateral, the execution of a contractual obligation granting control to Collateral Agent, for the benefit of the Lenders and the other Secured Parties, over such letter-of-credit rights; (g) in the case of electronic chattel paper, the completion of all steps necessary to grant control to Collateral Agent, for the benefit of the Lenders and the other Secured Parties, over such electronic chattel paper; and (h) in the case of all other instruments that are not Pledged Stock, if any, the delivery thereof to the Collateral Agent, for the benefit of Lenders and the other Secured Parties, of such instruments. Such Lien on and security interest in Pledged Stock shall be prior to all other Liens on such Collateral, subject to Permitted Liens having priority over the Collateral Agent’s Lien by operation of law or as and to the extent expressly permitted (if at all) by any Loan Document. Subject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except to the extent expressly not required pursuant to the terms of the Loan Agreement or this Agreement, all actions by each Grantor required under the Loan Documents, or necessary or desirable under the Code and requested by the Collateral Agent, to protect and perfect the first priority Lien on and security interest in the Collateral granted hereunder have been duly taken.</w:t>
      </w:r>
    </w:p>
    <w:p>
      <w:pPr>
        <w:spacing w:after="0" w:line="205"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u w:val="single" w:color="auto"/>
          <w:color w:val="auto"/>
        </w:rPr>
        <w:t>Pledged Stock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69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Pledged Stock issued by any Subsidiary of any Grantor pledged by such Grantor hereunder (i) consist of the number and types of Equity Interests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(or any update thereof or supplement thereto permitted to be made pursuant to the Loan Agreement and received by the Collateral Agent in accordance with the Loan Agreement) and constitutes that percentage of the issued and outstanding equity of all classes of each issuer thereof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of the Security Disclosure Letter, (ii) has been duly authorized, validly issued and is fully paid and nonassessable (other than Pledged Stock in limited liability companies and partnerships), and (iii) if and to the extent applicable, constitutes the legal, valid and binding obligation of the issuer thereof with respect thereto, enforceable in accordance with its terms, subject to applicable bankruptcy, insolvency, reorganization, moratorium or other similar laws affecting creditors’ rights generally and subject to equitable principles (regardless of whether enforcement is sought in equity or at law). As of the date any Joinder Agreement or Pledge Amendment is delivered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the Pledged Stock pledged by each applicable Grantor thereunder (x) is listed on the applicable schedule attached to such Joinder Agreement or Pledge Amendment, as applicable, and constitutes that percentage of the issued and outstanding equity of all classes of each issuer thereof as set forth on such schedule, (y) has been duly authorized, validly issued and is fully paid and non-assessable (other than Pledged Stock in limited liability companies and partnerships) and (z) if and to the extent applicable, constitutes the legal, valid and binding obligation of the issuer thereof with respect thereto,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Pledged Certificated Stock has been delivered to (or otherwise in accordance with the written direction of) the Collateral Agent, for the benefit of Lenders and the other Secured Parties,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(ii) with respect to all Pledged Uncertificated Stock, uncertificated stock control agreements in the form attached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hereto have been delivered to the Collateral Agent, for the benefit of Lenders and the other Secured Parties,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73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the Collateral Agent for the benefit of Lenders and the other Secured Parties shall be entitled to exercise all of the rights of the Grantor granting the security interest in any Pledged Stock, and a transferee or assignee of such Pledged Stock shall become a holder of such Pledged Stock to the same extent as such Grantor and, upon the transfer of the entire interest of such Grantor, such Grantor shall, by operation of law, cease to be a holder of such Pledged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9" w:name="page230"/>
    <w:bookmarkEnd w:id="229"/>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8"/>
          <w:szCs w:val="18"/>
          <w:u w:val="single" w:color="auto"/>
          <w:color w:val="auto"/>
        </w:rPr>
        <w:t>Pledged Debt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80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Pledged Debt Instruments constituting Indebtedness owed to such Grantor by a Subsidiary has been duly authorized, authenticated or issued and delivered by such Subsidiary, is the legal, valid and binding obligation of such Subsidiary and such Subsidiary is not in default thereunder and (ii) to the Knowledge of such Grantor, all other Pledged Debt Instruments not otherwise covered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Indebtedness owed to such Grantor has been duly authorized, authenticated or issued and delivered by the issuer of such Indebtedness, is the legal, valid and binding obligation of such issuer and such issuer is not in default thereunder, subject as to the enforcement of remedies to applicable bankruptcy, insolvency, reorganization, fraudulent conveyance or transfer, moratorium or similar laws affecting creditors’ rights generally and subject to general principles of equity, regardless of whether considered in a proceeding in equity or at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of the Security Disclosure Letter (or any update thereof or supplement thereto permitted to be made pursuant to the Loan Agreement and received by the Collateral Agent in accordance with the Loan Agreement), none of the Pledged Debt Instruments constituting Indebtedness owed to such Grantor is subordinated in right of payment to any other Indebtedness or subject to the terms of an indenture (or similar agreement or instrument).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0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Pledged Debt Instruments constituting Indebtedness owed to such Grantor have been delivered to the Collateral Agent, for the benefit of Lenders and the other Secured Parties, in accordance with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Grantor agrees with the Collateral Agent to the following, until the absolute, unconditional and irrevocable payment in full of the Secured Obligations (other than contingent indemnification obligations to the extent no claim giving rise thereto has been asserted) and unless the Collateral Agent, on behalf of Lenders and the other Secured Parties, otherwise consents in writing:</w:t>
      </w:r>
    </w:p>
    <w:p>
      <w:pPr>
        <w:spacing w:after="0" w:line="176"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Maintenance of Perfected Security Interest; Further Documentation and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79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(i) mutually agreed in writing between Borrower and the Collateral Agent not to be required under this Agreement or the other Loan Documents, (ii) mutually agreed in writing between Borrower and the Collateral Agent to be effected solely by filings of financing statements under the Code or amendments thereto to be made by the Collateral Agent or any Lender or its Related Party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(iii) as otherwise expressly provided in Section 5.14 of the Loan Agreement, such Grantor, in order to grant and maintain a security interest in favor of the Collateral Agent pursuant to this Agreement which constitutes a valid and continuing first priority perfected security interest as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(subject only to Permitted Liens), shall promptly:</w:t>
      </w:r>
    </w:p>
    <w:p>
      <w:pPr>
        <w:spacing w:after="0" w:line="187" w:lineRule="exact"/>
        <w:rPr>
          <w:sz w:val="20"/>
          <w:szCs w:val="20"/>
          <w:color w:val="auto"/>
        </w:rPr>
      </w:pPr>
    </w:p>
    <w:p>
      <w:pPr>
        <w:jc w:val="both"/>
        <w:ind w:left="660" w:firstLine="644"/>
        <w:spacing w:after="0" w:line="261" w:lineRule="auto"/>
        <w:tabs>
          <w:tab w:leader="none" w:pos="168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creation or acquisition of any U.S. deposit account over which a Control Agreement is required pursuant to Section 5.5 of the Loan Agreement but prior to the movement of any cash or other funds into such account (except as may be expressly provided in Section 5.14 of the Loan Agreement), execute and deliver to the Collateral Agent, for the benefit of Lenders and the other Secured Parties, in accordance with Section 5.5 of the Loan Agreement, Control Agreements in form and substance reasonably satisfactory to the Collateral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0" w:name="page231"/>
    <w:bookmarkEnd w:id="230"/>
    <w:p>
      <w:pPr>
        <w:jc w:val="both"/>
        <w:ind w:left="660" w:firstLine="644"/>
        <w:spacing w:after="0" w:line="258" w:lineRule="auto"/>
        <w:tabs>
          <w:tab w:leader="none" w:pos="17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requirements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(as applicable), with respect to any Trademarks, Patents and Copyrights or any IP Rights, execute and deliver to the Collateral Agent, for the benefit of Lenders and the other Secured Parties, all appropriate IP Security Agreements, in form and substance reasonably satisfactory to the Collateral Agent, for the filing thereof by the Collateral Agent or its Related Party, and such Grantor hereby duly authorizes the Collateral Agent and its Related Party to file such IP Security Agreements with the Applicable IP Office;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1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Pledged Certificated Stock, deliver to the Collateral Agent, for the benefit of Lenders and the other Secured Parties, such Pledged Certificated Stock consisting of instruments and certificates, in each case, properly endorsed for transfer to the Collateral Agent or in blank and in form and substance reasonably satisfactory to the Collateral Agent;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7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Pledged Uncertificated Stock, deliver to the Collateral Agent, for the benefit of Lenders and the other Secured Parties, an executed uncertificated stock control agreement among the issuer, the registered owner and the Collateral Agent in the form attached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hereto (and otherwise in form and substance reasonably satisfactory to the Collateral Agent), pursuant to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such issuer agrees to comply with the Collateral Agent’s instructions with respect to such Pledged Uncertificated Stock without further consent by such Grantor;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6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the security interest created by this Agreement as a first priority perfected security interest as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(subject to Permitted Liens) and shall take reasonable efforts to warrant and defend the Collateral covered by such security interest and such priority (subject to Permitted Liens) against the claims and demands of all Persons (other than Secured Parties).</w:t>
      </w:r>
    </w:p>
    <w:p>
      <w:pPr>
        <w:spacing w:after="0" w:line="176" w:lineRule="exact"/>
        <w:rPr>
          <w:sz w:val="20"/>
          <w:szCs w:val="20"/>
          <w:color w:val="auto"/>
        </w:rPr>
      </w:pPr>
    </w:p>
    <w:p>
      <w:pPr>
        <w:jc w:val="both"/>
        <w:ind w:firstLine="1304"/>
        <w:spacing w:after="0" w:line="258" w:lineRule="auto"/>
        <w:tabs>
          <w:tab w:leader="none" w:pos="173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furnish to the Collateral Agent at any time and from time to time statements and schedules further identifying and describing the Collateral and such other documents in connection with the Collateral as the Collateral Agent may reasonably request in writing, in all cases in reasonable detail and in form and substance reasonably satisfactory to the Collateral Agent (including in the case of any commercial tort claim constituting Collateral, for the avoidance of doubt, reasonable detail identifying the specific claims subject to the security interest granted in such commercial tort claims to the Collateral Agent pursuant to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upon the reasonable written request of the Collateral Agent, such Grantor shall, for the purpose of obtaining or preserving the full benefits of this Agreement and the other Collateral Documents and of the rights and powers herein and therein granted,</w:t>
      </w:r>
    </w:p>
    <w:p>
      <w:pPr>
        <w:jc w:val="both"/>
        <w:ind w:firstLine="8"/>
        <w:spacing w:after="0" w:line="252" w:lineRule="auto"/>
        <w:tabs>
          <w:tab w:leader="none" w:pos="21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duly execute and deliver, and have recorded, such further documents, including an authorization to file (or, as applicable, the filing) of any financing statement or amendment under the Code (or other filings under similar Requirements of Law) in effect in the U.S. or any other jurisdiction with respect to the security interest created hereby and (ii) take such further action as the Collateral Agent may reasonably request in writing that is consistent with the requirements hereof and of the other Loan Documents, including executing and delivering any Control Agreements required by Section 5.5 of the Loan Agreement with respect to the Collateral Accounts,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subject to the terms of Section 5.12(e) of the Loan Agreement.</w:t>
      </w:r>
    </w:p>
    <w:p>
      <w:pPr>
        <w:spacing w:after="0" w:line="190"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u w:val="single" w:color="auto"/>
          <w:color w:val="auto"/>
        </w:rPr>
        <w:t>Pledged Collateral and Pledged Investment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1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Pledged Collateral and Pledged Investment Property</w:t>
      </w:r>
      <w:r>
        <w:rPr>
          <w:rFonts w:ascii="Times New Roman" w:cs="Times New Roman" w:eastAsia="Times New Roman" w:hAnsi="Times New Roman"/>
          <w:sz w:val="18"/>
          <w:szCs w:val="18"/>
          <w:color w:val="auto"/>
        </w:rPr>
        <w:t xml:space="preserve">. Without limitation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such Grantor shall promptly, and no later than thirty (30) days after, acquiring any Pledged Collateral not owned on the Closing Date:</w:t>
      </w:r>
    </w:p>
    <w:p>
      <w:pPr>
        <w:spacing w:after="0" w:line="162" w:lineRule="exact"/>
        <w:rPr>
          <w:sz w:val="20"/>
          <w:szCs w:val="20"/>
          <w:color w:val="auto"/>
        </w:rPr>
      </w:pPr>
    </w:p>
    <w:p>
      <w:pPr>
        <w:jc w:val="both"/>
        <w:ind w:left="660" w:firstLine="644"/>
        <w:spacing w:after="0" w:line="256" w:lineRule="auto"/>
        <w:tabs>
          <w:tab w:leader="none" w:pos="172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Agent, properly endorsed, in blank or otherwise in suitable form for transfer and in form and substance reasonably satisfactory to the Collateral Agent, (A) all such Pledged Stock that is Pledged Certificated Stock, (B) each Pledged Debt Instrument evidencing Indebtedness or other monetary obligations in an amount, individually or together with one or more other Pledged Debt Instruments, exceeding $500,000 (as reasonably determined by a Responsible Officer of Parent in good faith) and (C) all certificates and instruments evidencing Pledged Investment Property with a fair market value, individually or together with one or more other such certificates or instruments, exceeding $500,000 (as reasonably determined by a Responsible Officer of Parent in good faith);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1" w:name="page232"/>
    <w:bookmarkEnd w:id="231"/>
    <w:p>
      <w:pPr>
        <w:ind w:left="660" w:firstLine="644"/>
        <w:spacing w:after="0" w:line="282" w:lineRule="auto"/>
        <w:tabs>
          <w:tab w:leader="none" w:pos="178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all Collateral Accounts required to be subject to a Control Agreement pursuant to Section 5.5 of the Loan Agreement to a Control Agreement;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issuer of any such Pledged Stock that is Pledged Uncertificated Stock to execute an uncertificated stock control agreement in the form attached hereto as </w:t>
      </w:r>
      <w:r>
        <w:rPr>
          <w:rFonts w:ascii="Times New Roman" w:cs="Times New Roman" w:eastAsia="Times New Roman" w:hAnsi="Times New Roman"/>
          <w:sz w:val="18"/>
          <w:szCs w:val="18"/>
          <w:u w:val="single" w:color="auto"/>
          <w:color w:val="auto"/>
        </w:rPr>
        <w:t>Annex 4</w:t>
      </w:r>
      <w:r>
        <w:rPr>
          <w:rFonts w:ascii="Times New Roman" w:cs="Times New Roman" w:eastAsia="Times New Roman" w:hAnsi="Times New Roman"/>
          <w:sz w:val="18"/>
          <w:szCs w:val="18"/>
          <w:color w:val="auto"/>
        </w:rPr>
        <w:t xml:space="preserve">, pursuant to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such issuer agrees to comply with the Collateral Agent’s instructions with respect to such Pledged Uncertificated Stock without further consent by such Grantor, and, for the avoidance of doubt, if any such Pledged Uncertificated Stock becomes certificated, promptly (but in any event within thirty (30) days thereof) deliver to the Collateral Agent, in suitable form for transfer and in form and substance reasonably satisfactory to the Collateral Agent, all such certificates, instruments or other similar documents (as defined in the Code).</w:t>
      </w:r>
    </w:p>
    <w:p>
      <w:pPr>
        <w:spacing w:after="0" w:line="187" w:lineRule="exact"/>
        <w:rPr>
          <w:sz w:val="20"/>
          <w:szCs w:val="20"/>
          <w:color w:val="auto"/>
        </w:rPr>
      </w:pPr>
    </w:p>
    <w:p>
      <w:pPr>
        <w:jc w:val="both"/>
        <w:ind w:firstLine="1304"/>
        <w:spacing w:after="0" w:line="261" w:lineRule="auto"/>
        <w:tabs>
          <w:tab w:leader="none" w:pos="179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During the continuance of any Event of Default and in connection with the exercise of rights or remedies hereunder or under any other Loan Document, the Collateral Agent shall have the right, at any time in its discretion and without prior notice to any Grantor, to (i) transfer to or to register in its name or in the name of its nominees any Pledged Stock and (ii) exchange any certificate or instrument representing or evidencing any Pledged Stock for certificates or instruments of smaller or larger denominations.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Distributions with respect to Pledged Collateral and Pledged Investment Property</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subject to any limitations set forth in the Loan Agreement, such Grantor shall be entitled to receive all cash distributions paid in respect of the Pledged Collateral and the Pledged Investment Property.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9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such Grantor shall be entitled to exercise all voting, consent and corporate, partnership, limited liability company and similar rights with respect to the Pledged Collateral and Pledged Investment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consent, waiver or ratification given or right exercised (or failed to be exercised) or other action taken (or failed to be taken) by such Grantor in any manner that would reasonably be expected to (i) violate or be inconsistent with any of the terms of this Agreement or any other Loan Document or (ii) have the effect of materially impairing such Collateral or the position of any Secured Party or their rights or interests in such Collateral.</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If such Grantor shall at any time after the date hereof acquire any Copyright, Trademark or Patent or any IP License that constitutes Collateral, such Grantor shall, within thirty (30) days after delivery of financial statements pursuant to Section 5.2(a) of the Loan Agreement, execute and deliver to the Collateral Agent, in form and substance reasonably acceptable to the Collateral Agent and suitable for filing in the Applicable IP Office, the IP Security Agreement(s) in the form attached hereto as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or in any other form, as required by the Applicable IP Office or other registry in the applicable jurisdiction, in each case, in respect of any such newly-acquired Copyright(s), Trademark(s) or Patent(s) or any such newly-acquired IP Licenses (as applicable) of such Grantor registered in the Applicable IP Office.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REMEDIAL PROVISIONS</w:t>
      </w:r>
    </w:p>
    <w:p>
      <w:pPr>
        <w:spacing w:after="0" w:line="225"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Code and Other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Remedies</w:t>
      </w:r>
      <w:r>
        <w:rPr>
          <w:rFonts w:ascii="Times New Roman" w:cs="Times New Roman" w:eastAsia="Times New Roman" w:hAnsi="Times New Roman"/>
          <w:sz w:val="18"/>
          <w:szCs w:val="18"/>
          <w:color w:val="auto"/>
        </w:rPr>
        <w:t>. During the continuance of an Event of Default, the Collateral Agent, on behalf of Lenders and the other Secured Parties, may exercise, in addition to all other rights and remedies granted to it in this Agreement, any IP Agreement, any other Loan Document or in any other instrument or agreement securing, evidencing or relating to any Secured Obligation, all rights, powers and remedies of a secured party under the Code or any other Requirements of Law or in equity.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2" w:name="page233"/>
    <w:bookmarkEnd w:id="232"/>
    <w:p>
      <w:pPr>
        <w:jc w:val="both"/>
        <w:ind w:firstLine="1304"/>
        <w:spacing w:after="0" w:line="252" w:lineRule="auto"/>
        <w:tabs>
          <w:tab w:leader="none" w:pos="17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Collateral</w:t>
      </w:r>
      <w:r>
        <w:rPr>
          <w:rFonts w:ascii="Times New Roman" w:cs="Times New Roman" w:eastAsia="Times New Roman" w:hAnsi="Times New Roman"/>
          <w:sz w:val="18"/>
          <w:szCs w:val="18"/>
          <w:color w:val="auto"/>
        </w:rPr>
        <w:t>. During the continuance of an Event of Default, without limiting the generality of the foregoing, the Collateral Agent may (personally or through its agents or attorneys), without demand of performance or other demand, presentment, protest, advertisement or notice of any kind (except any notice required by Requirements of Law referred to below) to or upon any Grantor or any other Person (all and each of which demands, defenses, advertisements and notices are hereby waived): (i) enter upon the premises where any Collateral is located, without any obligation to pay rent, through self-help, without judicial process, without first obtaining a final judgment or giving Grantor or any other Person notice or opportunity for a hearing on the Collateral Agent’s or any Lender’s claim or action; (ii) collect, receive, appropriate and realize upon any Collateral; (iii) store, process, repair or recondition the Collateral or otherwise prepare any Collateral for disposition in any manner to the extent the Collateral Agent deems appropriate; and (iv) sell, assign, license out, convey, transfer, grant option or options to purchase or license and deliver any Collateral (or enter into contractual obligations to do any of the foregoing), in one or more parcels at public or private sale or sales, at any exchange, broker’s board or office of the Collateral Agent or any Lender or other Secured Party or elsewhere upon such terms and conditions as it may deem advisable and at such prices as it may deem best, for cash or on credit or for future delivery without assumption of any credit risk. The Collateral Agent, on behalf of Lenders and the other Secured Parties, shall have the right, upon any such public sale or sales and, to the extent permitted by the Code and other Requirements of Law, upon any such private sale or sales, to purchase or license the whole or any part of the Collateral so sold or licensed, free of any right or equity of redemption of any Grantor, which right or equity is hereby waived and released. The Collateral Agent, as representative of all Lenders and other Secured Parties, shall be entitled, for the purpose of bidding and making settlement or payment of the purchase price for all or any portion of the Collateral sold at any such sale made in accordance with the Code, to use and apply any of the Secured Obligations as a credit on account of the purchase price for any Collateral payable by the Collateral Agent on behalf of Lenders and the other Secured Parties, at such sale. If the Collateral Agent on behalf of any Lender sells any of the Collateral upon credit, Grantor will be credited only with payments actually made by purchaser and received by such Lender and applied to indebtedness of the purchaser. In the event the purchaser fails to pay for the Collateral, the Collateral Agent may resell the Collateral and Grantor shall be credited with proceeds of the sale. Neither the Collateral Agent nor any Lender shall have an obligation to marshal any of the Collateral.</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of the Collateral</w:t>
      </w:r>
      <w:r>
        <w:rPr>
          <w:rFonts w:ascii="Times New Roman" w:cs="Times New Roman" w:eastAsia="Times New Roman" w:hAnsi="Times New Roman"/>
          <w:sz w:val="18"/>
          <w:szCs w:val="18"/>
          <w:color w:val="auto"/>
        </w:rPr>
        <w:t>. Each Grantor further agrees, that, during the continuance of any Event of Default, (i) at the Collateral Agent’s request, it shall assemble the Collateral and make it available to the Collateral Agent at places that the Collateral Agent shall reasonably select, whether at such Grantor’s premises or elsewhere, (ii) without limiting the foregoing, the Collateral Agent also has the right to require that such Grantor store and keep any Collateral pending further action by the Collateral Agent and, while any such Collateral is so stored or kept, provide such guards and maintenance services as shall be necessary to protect the same and to preserve and maintain such Collateral in good condition, normal wear and tear excepted, (iii) until the Collateral Agent is able to sell, assign, license out, convey or transfer any Collateral, the Collateral Agent shall have the right to hold or use such Collateral to the extent that it deems appropriate for the purpose of preserving the Collateral or its value or for any other purpose deemed appropriate by the Collateral Agent and (iv) the Collateral Agent may, if it so elects, seek the appointment of a receiver or keeper to take possession of any Collateral and to enforce any of the Collateral Agent’s or any Lender’s remedies, with respect to such appointment without any prior written notice or hearing as to such appointment. The Collateral Agent shall not have any obligation to any Grantor to maintain or preserve the rights of any Grantor as against other Persons with respect to any Collateral while such Collateral is in the possession of the Collateral Agent.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The Collateral Agent shall apply the cash proceeds received by it in respect of any sale of, any collection from, or other realization upon all or any part of the Collateral, after deducting all reasonable costs and expenses of every kind incurred in connection therewith or incidental to the care or safekeeping of any Collateral or in any way relating to the Collateral or the rights of Lenders and the other Secured Parties, including reasonable and documented out-of-pocket attorneys’ fees and disbursements, to the payment in whole or in part of the Secured Obligations, as set forth in the Loan Agreement and, if and only to the extent applicable thereunder, the RTW Intercreditor Agreement, and only after such application and after the payment by the Collateral Agent or Lenders of any other amount required by any Requirements of Law, need the Collateral Agent or any Lender account for the surplus, if any, to any Grantor.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 Obligation</w:t>
      </w:r>
      <w:r>
        <w:rPr>
          <w:rFonts w:ascii="Times New Roman" w:cs="Times New Roman" w:eastAsia="Times New Roman" w:hAnsi="Times New Roman"/>
          <w:sz w:val="18"/>
          <w:szCs w:val="18"/>
          <w:color w:val="auto"/>
        </w:rPr>
        <w:t>. Neither the Collateral Agent nor any Lender or other Secured Party shall be required to make any demand upon, or pursue or exhaust any right or remedy against, any Grantor or any other Person with respect to the payment of the Obligations or to pursue or exhaust any right or remedy with respect to any Collateral therefor or any direct or indirect guaranty thereof. All of the rights and remedies of the Collateral Agent and Lenders and any other Secured Party shall be cumulative, may be exercised individually or concurrently and not exclusive of any other rights or remedies provided by any Requirements of Law. To the extent it may lawfully do so, each Grantor absolutely and irrevocably waives and relinquishes the benefit and advantage of, and covenants not to assert against the Collateral Agent, Lenders or any other Secured Party, any valuation, stay, appraisement, extension, redemption or similar laws and any and all rights or defenses it may have as a surety, now or hereafter existing, arising out of the exercise by any of them of any rights or remedies hereunder. If any notice of a proposed sale (public or private) or other disposition of any Collateral shall be required by Requirements of Law, such notice shall be deemed reasonable and proper if given at least ten (10) days before such sale or other disposition.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3" w:name="page234"/>
    <w:bookmarkEnd w:id="233"/>
    <w:p>
      <w:pPr>
        <w:jc w:val="both"/>
        <w:ind w:right="20" w:firstLine="1304"/>
        <w:spacing w:after="0" w:line="266" w:lineRule="auto"/>
        <w:tabs>
          <w:tab w:leader="none" w:pos="166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Commercially Reasonable</w:t>
      </w:r>
      <w:r>
        <w:rPr>
          <w:rFonts w:ascii="Times New Roman" w:cs="Times New Roman" w:eastAsia="Times New Roman" w:hAnsi="Times New Roman"/>
          <w:sz w:val="18"/>
          <w:szCs w:val="18"/>
          <w:color w:val="auto"/>
        </w:rPr>
        <w:t>. To the extent that applicable Requirements of Law impose duties on the Collateral Agent or any Lender or other Secured Party to exercise remedies in a commercially reasonable manner, each Grantor acknowledges and agrees that it is not commercially unreasonable for the Collateral Agent or any Lender to do any of the following:</w:t>
      </w:r>
    </w:p>
    <w:p>
      <w:pPr>
        <w:spacing w:after="0" w:line="176" w:lineRule="exact"/>
        <w:rPr>
          <w:sz w:val="20"/>
          <w:szCs w:val="20"/>
          <w:color w:val="auto"/>
        </w:rPr>
      </w:pPr>
    </w:p>
    <w:p>
      <w:pPr>
        <w:jc w:val="both"/>
        <w:ind w:left="660" w:firstLine="644"/>
        <w:spacing w:after="0" w:line="266" w:lineRule="auto"/>
        <w:tabs>
          <w:tab w:leader="none" w:pos="173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incur significant costs, expenses or other liabilities reasonably deemed as such by the Collateral Agent or such Lender to prepare any Collateral for disposition or otherwise to complete raw material or work in process into finished goods or other finished products for disposition;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1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permits, licenses or other consents for access to any Collateral to sell or license or for the collection or sale or licensing of any Collateral, or, if not required by other Requirements of Law, fail to obtain permits, licenses or other consents for the collection or disposition of any Collateral;</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7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exercise remedies against account debtors or other Persons obligated on any Collateral or to remove Liens on any Collateral or to remove any adverse claims against any Collateral;</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7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 dispositions of any Collateral through publications or media of general circulation, whether or not such Collateral is of a specialized nature, or to contact other Persons, whether or not in the same business as any Grantor, for expressions of interest in acquiring any such Collateral;</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collection remedies against account debtors and other Persons obligated on any Collateral, directly or through the use of collection agencies or other collection specialists, hire one or more professional auctioneers to assist in the disposition of any Collateral, whether or not such Collateral is of a specialized nature, or, to the extent deemed appropriate by the Collateral Agent or such Lender, obtain the services of other brokers, investment bankers, consultants and other professionals to assist the Collateral Agent or such Lender in the collection or disposition of any Collateral, or utilize Internet sites that provide for the auction of assets of the types included in the Collateral or that have the reasonable capacity of doing so, or that match buyers and sellers of assets to dispose of any Collateral;</w:t>
      </w:r>
    </w:p>
    <w:p>
      <w:pPr>
        <w:spacing w:after="0" w:line="187"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 in wholesale rather than retail markets;</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warranties, such as title, merchantability, possession, non-infringement or quiet enjoyment;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insurance or credit enhancements to insure the Collateral Agent or any Lender or other Secured Party against risks of loss, collection or disposition of any Collateral or to provide to the Collateral Agent and Lenders a guaranteed return from the collection or disposition of any Collateral.</w:t>
      </w:r>
    </w:p>
    <w:p>
      <w:pPr>
        <w:spacing w:after="0" w:line="176" w:lineRule="exact"/>
        <w:rPr>
          <w:sz w:val="20"/>
          <w:szCs w:val="20"/>
          <w:color w:val="auto"/>
        </w:rPr>
      </w:pPr>
    </w:p>
    <w:p>
      <w:pPr>
        <w:jc w:val="both"/>
        <w:ind w:firstLine="1304"/>
        <w:spacing w:after="0" w:line="252" w:lineRule="auto"/>
        <w:tabs>
          <w:tab w:leader="none" w:pos="168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 Licenses</w:t>
      </w:r>
      <w:r>
        <w:rPr>
          <w:rFonts w:ascii="Times New Roman" w:cs="Times New Roman" w:eastAsia="Times New Roman" w:hAnsi="Times New Roman"/>
          <w:sz w:val="18"/>
          <w:szCs w:val="18"/>
          <w:color w:val="auto"/>
        </w:rPr>
        <w:t xml:space="preserve">. To the extent permitted, and only for the purpose of enabling the Collateral Agent to exercise rights and remedies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Section 8.1 of the Loan Agreement during the continuance of an Event of Default (including in order to take possession of, collect, receive, assemble, process, appropriate, remove, realize upon, sell, assign, license out, convey, transfer or grant options to purchase any Collateral) at such time as the Collateral Agent on behalf of Lenders and the other Secured Parties shall be lawfully entitled to exercise such rights and remedies, each Grantor hereby grants to the Collateral Agent: (i) an irrevocable, non-exclusive, assignable, royalty-free license or other right to use (and for its agents or representatives to use) in the Territory (exercisable without payment of royalty or other compensation to such Grantor), including the right to sublicense, use and practice, any and all Intellectual Property now owned or held or hereafter acquired or held by such Grantor and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real/heritable property owned, operated, leased, subleased or otherwise occupied by such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such license and sublicenses with respect to Trademarks will be subject to the maintenance of quality standards with respect to the goods and services on which such Trademarks are used sufficient to preserve the validity of such Trademarks;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require a Grantor to grant any license that (x) violates the express terms of any license agreement between a Grantor and a third party governing such Grantor’s use of such Intellectual Property or (y) is prohibited by applicable Requirement of Law.</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4" w:name="page235"/>
    <w:bookmarkEnd w:id="23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Each Grantor acknowledges that the purpose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is to provide a non-exhaustive list of actions or omissions that are commercially reasonable when exercising remedies against any Collateral and that other actions or omissions by the Collateral Agent, Lenders or any other Secured Party shall not be deemed commercially unreasonable solely on account of not being indicated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Without limitation upon the foregoing, except as expressly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construed to grant any rights to any Grantor or to impose any duties on the Collateral Agent or any Lender or other Secured Party that would not have been granted or imposed by this Agreement or by applicable Requirements of Law in the absence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u w:val="single" w:color="auto"/>
          <w:color w:val="auto"/>
        </w:rPr>
        <w:t>Accounts and Payments in Respect of General Intangibles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 in substitution for, any similar requirement in the Loan Agreement, if required by the Collateral Agent at any time during the continuance of an Event of Default, any payment of accounts or payment in respect of general intangibles relating to the Collateral, when collected by any Grantor, shall promptly (and, in any event, within two (2) Business Days of such collection) be deposited by such Grantor in the exact form received (unless the Collateral Agent otherwise agrees in writing), duly indorsed by such Grantor to the Collateral Agent for the benefit of Lenders and the other Secured Parties, segregated from other funds of such Grantor (unless the Collateral Agent otherwise agrees in writing) in a Collateral Account, subject to withdrawal by the Collateral Agent as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Until so turned over, such payment shall be held by such Grantor in trust for the Collateral Agent for the benefit of Lenders and the other Secured Parties, segregated from other funds of such Grantor. Each such deposit of proceeds of accounts and payments in respect of general intangibles relating to the Collateral shall, upon the Collateral Agent’s request, be accompanied by a report identifying in reasonable detail the nature and source of the payments included in the deposit.</w:t>
      </w:r>
    </w:p>
    <w:p>
      <w:pPr>
        <w:spacing w:after="0" w:line="188"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 Event of Default, in each case to the extent not prohibited under Section 8.1 of the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left="660" w:firstLine="644"/>
        <w:spacing w:after="0" w:line="256" w:lineRule="auto"/>
        <w:tabs>
          <w:tab w:leader="none" w:pos="168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upon the Collateral Agent’s request, assemble and hold for the benefit of Lenders and the other Secured Parties all original and other documents evidencing, and relating to, the contractual obligations and transactions that gave rise to any account or any payment in respect of general intangibles, including all IP Licenses, original orders, invoices and shipping receipts and notify account debtors that the accounts or general intangibles have been collaterally assigned to the Collateral Agent for the benefit of Lenders and the other Secured Parties and that payments in respect thereof shall be made directly to the Collateral Agent for the benefit of Lenders and the other Secured Parties or to any Lender on behalf of itself and the other Secured Parties, as the Collateral Agent shall direct; and</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78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take all actions, deliver all documents and provide all information necessary or reasonably requested by the Collateral Agent to ensure any Internet Domain Name is registered.</w:t>
      </w:r>
    </w:p>
    <w:p>
      <w:pPr>
        <w:spacing w:after="0" w:line="162" w:lineRule="exact"/>
        <w:rPr>
          <w:sz w:val="20"/>
          <w:szCs w:val="20"/>
          <w:color w:val="auto"/>
        </w:rPr>
      </w:pPr>
    </w:p>
    <w:p>
      <w:pPr>
        <w:jc w:val="both"/>
        <w:ind w:firstLine="1304"/>
        <w:spacing w:after="0" w:line="253" w:lineRule="auto"/>
        <w:tabs>
          <w:tab w:leader="none" w:pos="169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each Grantor shall remain liable under each account and each payment in respect of general intangibles included in the Collateral to observe and perform all the conditions and obligations to be observed and performed by it thereunder, all in accordance with the terms of any agreement giving rise thereto. Neither the Collateral Agent nor any Lender or other Secured Party shall have any obligation or liability under any agreement giving rise to an account or a payment in respect of a general intangible included in the Collateral by reason of or arising out of any Loan Document or the receipt by the Collateral Agent or any Lender or other Secured Party of any payment relating thereto, nor shall the Collateral Agent nor any Lender or other Secured Party be obligated in any manner to perform any obligation of any Grantor under or pursuant to any agreement giving rise to an account or a payment in respect of a general intangible included in the Collateral,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that may have been assigned to it or to which it may be entitled at any time or times.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5" w:name="page236"/>
    <w:bookmarkEnd w:id="235"/>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u w:val="single" w:color="auto"/>
          <w:color w:val="auto"/>
        </w:rPr>
        <w:t>Pledged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78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During the continuance of an Event of Default, upon written notice from the Collateral Agent to the relevant Grantor(s), all rights of each Grantor to exercise or refrain from exercising the voting and other consensual rights which it would otherwise be entitled to exercise pursuant hereto shall cease and all such rights shall thereupon become vested in the Collateral Agent or a nominee on behalf of Lenders or the other Secured Parties, who shall thereupon have the sole right to exercise such voting and other consensual rights, including the right to exercise (i) any voting, consent, corporate and other right pertaining to the Pledged Collateral at any meeting of shareholders, partners or members, as the case may be, of the relevant issuer or issuers of Pledged Collateral or otherwise, and (ii) any right of conversion, exchange and subscription and any other right, privilege or option pertaining to the Pledged Collateral as if it were the absolute owner thereof (including the right to exchange at its discretion any Pledged Collateral upon the merger, amalgamation, consolidation, reorganization, recapitalization or other fundamental change in the corporate or equivalent structure of any issuer of Pledged Collateral, the right to deposit and deliver any Pledged Collateral with any committee, depositary, transfer agent, registrar or other designated agency upon such terms and conditions as the Collateral Agent (or such nominee) on behalf of Lenders or the other Secured Parties may determine), all without liability except to account for property actually received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Collateral Agent (or such nominee) shall have no duty to any Grantor to exercise any such right, privilege or option and shall not be responsible for any failure to do so or delay in so doing;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the Collateral Agent (or such nominee) to deliver such notice shall not limit, affect or diminish any right of the Collateral Agent or the Lenders hereunder.</w:t>
      </w:r>
    </w:p>
    <w:p>
      <w:pPr>
        <w:spacing w:after="0" w:line="19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During the continuance of an Event of Default, in order to permit the Collateral Agent on behalf of Lenders and the other Secured Parties to exercise the voting and other consensual rights that it may be entitled to exercise pursuant hereto and to receive all dividends and other distributions that it may be entitled to receive hereunder, (i) each Grantor shall promptly execute and deliver (or cause to be executed and delivered) to the Collateral Agent all such proxies, dividend payment orders and other instruments as the Collateral Agent may from time to time reasonably request in writing and (ii) without limiting the effect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above, such Grantor hereby grants to the Collateral Agent for the benefit of Lenders and the other Secured Parties an irrevocable proxy to vote all or any part of the Pledged Collateral and to exercise all other rights, powers, privileges and remedies to which a holder of the Pledged Collateral would be entitled (including giving or withholding written consents of shareholders, partners or members, as the case may be, calling special meetings of shareholders, partners or members, as the case may be, and voting at such meetings), which proxy shall be effective, automatically and without the necessity of any action (including any transfer of any Pledged Collateral on the record books of the issuer thereof) by any other Person (including the issuer of such Pledged Collateral or any officer or agent thereof) during the continuance of an Event of Default and which proxy shall only terminate upon (A) the cure of any and all Events of Default or (B) the absolute, unconditional and irrevocable payment in full of the Secured Obligations (other than contingent indemnification obligations to the extent no claim giving rise thereto has been asserted).</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1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Issuers</w:t>
      </w:r>
      <w:r>
        <w:rPr>
          <w:rFonts w:ascii="Times New Roman" w:cs="Times New Roman" w:eastAsia="Times New Roman" w:hAnsi="Times New Roman"/>
          <w:sz w:val="18"/>
          <w:szCs w:val="18"/>
          <w:color w:val="auto"/>
        </w:rPr>
        <w:t>. Each Grantor hereby expressly and irrevocably authorizes and instructs, without any further instructions from such Grantor, each issuer of any Pledged Collateral pledged hereunder by such Grantor to, and each Grantor that is an issuer of Pledged Collateral so pledged hereunder hereby agrees to: (i) comply with any instruction received by it from the Collateral Agent in writing that states that an Event of Default is continuing and is otherwise in accordance with the terms of this Agreement, and each Grantor agrees that such issuer shall be fully protected from liabilities to such Grantor in so complying; and (ii) during the continuance of such Event of Default, unless otherwise permitted hereby or by the Loan Agreement, pay any dividend or make any other payment with respect to the Pledged Collateral directly to the Collateral Agent for the benefit of Lenders and the other Secured Parties or to any Lender on behalf of itself and the other Secured Parties, as the Collateral Agent shall direct.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6" w:name="page237"/>
    <w:bookmarkEnd w:id="2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Proceeds to be Turned over to and Held by Collateral Agent</w:t>
      </w:r>
      <w:r>
        <w:rPr>
          <w:rFonts w:ascii="Times New Roman" w:cs="Times New Roman" w:eastAsia="Times New Roman" w:hAnsi="Times New Roman"/>
          <w:sz w:val="18"/>
          <w:szCs w:val="18"/>
          <w:color w:val="auto"/>
        </w:rPr>
        <w:t>. Unless otherwise expressly provided in the Loan Agreement or this Agreement, during the continuance of an Event of Default and, upon written notice by the Collateral Agent to the relevant Grantor or Grantors, all proceeds of any Collateral received by any Grantor hereunder in cash or Cash Equivalents shall be held by such Grantor in trust for Lenders and the other Secured Parties, segregated from other funds of such Grantor (unless the Collateral Agent otherwise agrees in writing), and shall, promptly upon receipt by any Grantor, be turned over to the Collateral Agent for the benefit of Lenders and the other Secured Parties in the exact form received (unless the Collateral Agent otherwise agrees in writing), with any necessary endorsement. All such proceeds of Collateral and any other proceeds of any Collateral received by the Collateral Agent in cash or Cash Equivalents shall be held by the Collateral Agent for the benefit of itself and the other Secured Parties in a Collateral Account. All proceeds being held by the Collateral Agent in a Collateral Account (or by such Grantor in trust for Lenders and the other Secured Parties) shall continue to be held as collateral security for the Secured Obligations and shall not constitute payment thereof until applied as provided in the Loan Agreement.</w:t>
      </w:r>
    </w:p>
    <w:p>
      <w:pPr>
        <w:spacing w:after="0" w:line="194"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u w:val="single" w:color="auto"/>
          <w:color w:val="auto"/>
        </w:rPr>
        <w:t>Sale of Pledged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recognizes that the Collateral Agent may be unable to effect a public sale of any Pledged Collateral by reason of certain prohibitions contained in the Securities Act and applicable state or foreign securities laws or otherwise or may determine that a public sale is impracticable, not desirable or not commercially reasonable and, accordingly, may resort to one or more private sales thereof to a restricted group of purchasers that shall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Pledged Collateral for the period of time necessary to permit the issuer thereof to register such securities for public sale under the Securities Act or under applicable state securities laws even if such issuer would agree to do so.</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5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agrees to use commercially reasonable efforts to do or cause to be done all such other acts as may be reasonably necessary to make such sale or sales of any portion of the Pledged Collateral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Section 8.1 of the Loan Agreement valid and binding and in compliance with all applicable Requirements of Law. Each Grantor further agrees that a breach of any covenant contained herein will cause irreparable injury to the Collateral Agent, Lenders and the other Secured Parties, that the Collateral Agent, Lenders and the other Secured Parties have no adequate remedy at law in respect of such breach and, as a consequence, that each and every covenant contained herein shall be specifically enforceable against such Grantor, and such Grantor hereby waives and agrees not to assert any defense against an action for specific performance of such covenants except for a defense that no Event of Default has occurred and is continuing under the Loan Agreement or a defense of unconditional payment in full of the Secured Obligations (other than contingent indemnification obligations to the extent no claim giving rise thereto has been asserted). Each Grantor waives any and all rights of contribution or subrogation upon the sale or disposition of all or any portion of the Pledged Collateral by the Collateral Agent on behalf of Lenders and the other Secured Parties.</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Each Grantor shall remain liable for any deficiency if the proceeds of any sale or other disposition of any Collateral are insufficient to pay the Secured Obligations and the reasonable and documented fees and disbursements of any attorney employed by the Collateral Agent or any Lender to collect such deficiency.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Collateral Accounts</w:t>
      </w:r>
      <w:r>
        <w:rPr>
          <w:rFonts w:ascii="Times New Roman" w:cs="Times New Roman" w:eastAsia="Times New Roman" w:hAnsi="Times New Roman"/>
          <w:sz w:val="18"/>
          <w:szCs w:val="18"/>
          <w:color w:val="auto"/>
        </w:rPr>
        <w:t>. If any Event of Default shall have occurred and be continuing, the Collateral Agent may apply the balance from any Collateral Account of a Grantor or instruct the bank at which any Collateral Account is maintained to pay the balance of any Collateral Account to the Collateral Agent for the benefit of Lenders and the other Secured Parties or to any Lender on behalf of itself and the other Secured Parties, as the Collateral Agent shall direct, to be applied to the Secured Obligations in accordance with the terms hereof.</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Directions, Notices or Instructions</w:t>
      </w:r>
      <w:r>
        <w:rPr>
          <w:rFonts w:ascii="Times New Roman" w:cs="Times New Roman" w:eastAsia="Times New Roman" w:hAnsi="Times New Roman"/>
          <w:sz w:val="18"/>
          <w:szCs w:val="18"/>
          <w:color w:val="auto"/>
        </w:rPr>
        <w:t>. Neither the Collateral Agent nor any Lender or any Related Party thereof or any other Secured Party shall take any action under or issue any directions, notice or instructions pursuant to any Control Agreement or similar agreement or any acknowledgement from a landlord or third party bailee with respect to any Collateral Access Agreement unless an Event of Default has occurred and is continuing.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u w:val="single" w:color="auto"/>
          <w:color w:val="auto"/>
        </w:rPr>
        <w:t>ADDITIONAL RIGHTS OF COLLATERAL AGENT</w:t>
      </w:r>
    </w:p>
    <w:p>
      <w:pPr>
        <w:spacing w:after="0" w:line="225"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Collateral Agent’s Appointment as Attorney-in-Fact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73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constitutes and appoints the Collateral Agent and any Related Party thereof, with full power of substitution, as its true and lawful attorney-in-fact with full irrevocable power and authority in the place and stead of such Grantor and in the name of such Grantor or in its own name, for the purpose of carrying out the terms of the Loan Documents, to take any appropriate action and to execute any document or instrument that may be necessary or desirable to accomplish the purposes of the Loan Documents, in each case during the continuance of an Event of Default, and, without limiting the generality of the foregoing, each Grantor hereby gives the Collateral Agent and its Related Party the power and right, on behalf of such Grantor, without notice to or assent by such Grantor, to do any of the following when an Event of Default shall be continuing:</w:t>
      </w:r>
    </w:p>
    <w:p>
      <w:pPr>
        <w:spacing w:after="0" w:line="187" w:lineRule="exact"/>
        <w:rPr>
          <w:sz w:val="20"/>
          <w:szCs w:val="20"/>
          <w:color w:val="auto"/>
        </w:rPr>
      </w:pPr>
    </w:p>
    <w:p>
      <w:pPr>
        <w:jc w:val="both"/>
        <w:ind w:left="660" w:firstLine="644"/>
        <w:spacing w:after="0" w:line="261" w:lineRule="auto"/>
        <w:tabs>
          <w:tab w:leader="none" w:pos="175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such Grantor, in its own name or otherwise, take possession of and indorse and collect any check, draft, note, acceptance or other instrument for the payment of moneys due under any account or general intangible or with respect to any other Collateral and file any claim or take any other action or proceeding in any court of law or equity or otherwise deemed appropriate by the Collateral Agent for the purpose of collecting any such moneys due under any account or general intangible or with respect to any other Collateral whenever payable;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Intellectual Property (including any IP Ancillary Rights) or any IP Licenses included in the Collateral, execute, deliver and have recorded any document that the Collateral Agent may request to evidence, effect, publicize or record the Collateral Agent’s security interest, in favor of and for the benefit of Lenders and the other Secured Parties, in such Intellectual Property or IP Licenses and the goodwill and general intangibles of such Grantor relating thereto or represented thereby and the Collateral Agent’s (on behalf of Lenders and the other Secured Parties) rights and remedies with respect thereto;</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81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discharge taxes and Liens levied or placed on or threatened against any Collateral, effect any repair or obtain or pay any insurance called for by the terms of the Loan Agreement (including all or any part of the premiums therefor and the costs thereof);</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8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in connection with any sale provided for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any document to effect or otherwise necessary or appropriate in relation to evidence the sale of any Collateral;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71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any party liable for any payment under any Collateral to make payment of any moneys due or to become due thereunder directly to the Collateral Agent or as the Collateral Agent shall direct, (B) ask or demand for, and collect and receive payment of and receipt for, any moneys, claims and other amounts due or to become due at any time in respect of or arising out of any Collateral, (C) commence and prosecute any suit, action or proceeding at law or in equity in any court of competent jurisdiction to collect any Collateral and to enforce any other right in respect of any Collateral, (D) defend any actions, suits, proceedings, audits, claims, demands, orders or disputes brought against such Grantor with respect to any Collateral, (E) settle, compromise or adjust any such actions, suits, proceedings, audits, claims, demands, orders or disputes and, in connection therewith, give such discharges or releases as the Collateral Agent may deem appropriate, (F) assign or license any Intellectual Property included in the Collateral on such terms and conditions and in such manner as the Collateral Agent shall in its sole discretion determine, including the execution and filing of any document necessary to effectuate or record such assignment or license and (G) generally, sell, assign, license, convey, transfer or grant a Lien on, make any contractual obligation with respect to and otherwise deal with, any Collateral as fully and completely as though the Collateral Agent on behalf of Lenders and the other Secured Parties were the absolute owner thereof for all purposes and do, at the Collateral Agent’s option, at any time or from time to time, all acts and things that the Collateral Agent deems necessary to protect, preserve or realize upon any Collateral and the Collateral Agent’s, in favor of and for the benefit of Lenders and the other Secured Parties, security interests therein and to effect the intent of the Loan Documents, all as fully and effectively as such Grantor might do.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8" w:name="page239"/>
    <w:bookmarkEnd w:id="238"/>
    <w:p>
      <w:pPr>
        <w:ind w:left="660" w:right="20" w:firstLine="644"/>
        <w:spacing w:after="0" w:line="282" w:lineRule="auto"/>
        <w:tabs>
          <w:tab w:leader="none" w:pos="1777"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Grantor fails to perform or comply with any contractual obligation contained herein, the Collateral Agent, at its option, but without any obligation so to do, may perform or comply, or otherwise cause performance or compliance, with such contractual obligation.</w:t>
      </w:r>
    </w:p>
    <w:p>
      <w:pPr>
        <w:spacing w:after="0" w:line="162" w:lineRule="exact"/>
        <w:rPr>
          <w:sz w:val="20"/>
          <w:szCs w:val="20"/>
          <w:color w:val="auto"/>
        </w:rPr>
      </w:pPr>
    </w:p>
    <w:p>
      <w:pPr>
        <w:jc w:val="both"/>
        <w:ind w:firstLine="1304"/>
        <w:spacing w:after="0" w:line="255" w:lineRule="auto"/>
        <w:tabs>
          <w:tab w:leader="none" w:pos="169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and without limiting the generality of, Section 2.4 of the Loan Agreement, each Grantor agrees to promptly pay or reimburse the Lender Expenses and any other reasonable and documented out-of-pocket expenses of the Collateral Agent and any Lender and other Secured Party incurred in connection with the taking of any actions pursuant to or as otherwise contemplated by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together with, solely in the event any Grantor fails to pay any of the Obligations when due or upon the commencement and during the continuance of an Insolvency Proceeding of the Borrower or, at the election of the Required Lenders, upon the occurrence and during the continuance of any other Event of Default, interest thereon at the Default Rate from the date any such expenses were paid by the Collateral Agent or any Lender through the date such expenses are reimbursed by the relevant Grantor.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hereby ratifies all that said attorneys shall lawfully do or cause to be done by virtue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All powers, authorizations and agencies contained in this Agreement are coupled with an interest and are irrevocable until the absolute, unconditional and irrevocable payment in full of the Secured Obligations (other than contingent indemnification obligations to the extent no claim giving rise thereto has been asserted), this Agreement is terminated and the security interests created hereby are released</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Authorization to File Financing Statements</w:t>
      </w:r>
      <w:r>
        <w:rPr>
          <w:rFonts w:ascii="Times New Roman" w:cs="Times New Roman" w:eastAsia="Times New Roman" w:hAnsi="Times New Roman"/>
          <w:sz w:val="18"/>
          <w:szCs w:val="18"/>
          <w:color w:val="auto"/>
        </w:rPr>
        <w:t>. Each Grantor authorizes the Collateral Agent and its Related Party, at any time and from time to time, without notice to any Grantor, to file or record financing statements and other filing or recording documents or instruments with respect to any Collateral, and amendments thereto, in each case in such form, in such jurisdictions and in such offices as the Collateral Agent reasonably determines appropriate to perfect or protect the security interests of the Collateral Agent, in favor of and for the benefit of Lenders and the other Secured Parties, under this Agreement or any other Loan Document (and the Collateral Agent’s and each Lender’s and each other Secured Party’s rights in respect thereof), and such financing statements, documents and instruments, and amendments thereto, may describe the Collateral covered thereby as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assets of the debtor</w:t>
      </w:r>
      <w:r>
        <w:rPr>
          <w:rFonts w:ascii="Times New Roman" w:cs="Times New Roman" w:eastAsia="Times New Roman" w:hAnsi="Times New Roman"/>
          <w:sz w:val="18"/>
          <w:szCs w:val="18"/>
          <w:color w:val="auto"/>
        </w:rPr>
        <w:t xml:space="preserve">” or words of similar effect and may include a notice that any disposition of the Collateral, by any Grantor or other Person, shall be deemed to violate the rights of the Collateral Agent and Lenders and other Secured Parties under the Code (or other Requirements of Law in the applicable jurisdiction) to the extent not permitted under this Agreement or any other Loan Document. Save as otherwise required by Requirements of Law, a photographic or other reproduction of this Agreement shall be sufficient as a financing statement or other filing or recording document or instrument for filing or recording in any jurisdiction. Notwithstanding anything to the contrary herein or in the Loan Agreement, Lender Expenses shall not include, and the Collateral Agent and Lenders shall be solely responsible for, any filing fees or other expenses incurred by the Collateral Agent or any Lender in connection with any filings, recordings or other actions taken in jurisdictions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the United States, Israel and, with respect to any Grantor that is not a Domestic Subsidiary, the jurisdiction of such Grantor, and, upon the occurrence and during the continuance of an Event of Default, any such other jurisdiction pursuant to Section 5.12(e) of the Loan Agreement.</w:t>
      </w:r>
    </w:p>
    <w:p>
      <w:pPr>
        <w:spacing w:after="0" w:line="19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Authority of Collateral Agent</w:t>
      </w:r>
      <w:r>
        <w:rPr>
          <w:rFonts w:ascii="Times New Roman" w:cs="Times New Roman" w:eastAsia="Times New Roman" w:hAnsi="Times New Roman"/>
          <w:sz w:val="18"/>
          <w:szCs w:val="18"/>
          <w:color w:val="auto"/>
        </w:rPr>
        <w:t>. Each Grantor acknowledges that, as between the Collateral Agent and the Grantors, the Collateral Agent shall be conclusively presumed to be acting as agent for each Lender and all of the other Secured Parties with full and valid authority so to act or refrain from acting, and no Grantor shall be under any obligation or entitlement to make any inquiry respecting such authority.</w:t>
      </w:r>
    </w:p>
    <w:p>
      <w:pPr>
        <w:spacing w:after="0" w:line="176"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u w:val="single" w:color="auto"/>
          <w:color w:val="auto"/>
        </w:rPr>
        <w:t>Duty; Obligations and Liabilities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8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Collateral Agent</w:t>
      </w:r>
      <w:r>
        <w:rPr>
          <w:rFonts w:ascii="Times New Roman" w:cs="Times New Roman" w:eastAsia="Times New Roman" w:hAnsi="Times New Roman"/>
          <w:sz w:val="18"/>
          <w:szCs w:val="18"/>
          <w:color w:val="auto"/>
        </w:rPr>
        <w:t>. The Collateral Agent’s sole duty with respect to the custody, safekeeping and physical preservation of the Collateral in its possession shall be to deal with it in the same manner as it deals with similar property for its own account, but in no event in less than a commercially reasonable manner. The powers conferred on the Collateral Agent hereunder are solely to protect each Lender’s and the other Secured Parties’ interest in the Collateral and shall not impose any duty upon the Collateral Agent to exercise any such powers. The Collateral Agent shall be accountable only for amounts that it receives as a result of the exercise of such powers, and neither it nor any of its Related Parties shall be responsible to any Grantor for any act or failure to act hereunder, except for its or their own gross negligence, bad faith or willful misconduct as finally determined by a court of competent jurisdiction. In addition, the Collateral Agent shall not be liable or responsible for any loss or damage to any Collateral, or for any diminution in the value thereof, by reason of the act or omission of any warehousemen, carrier, forwarding agency, consignee or other bailee if such Person has been selected by the Collateral Agent in good faith.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9" w:name="page240"/>
    <w:bookmarkEnd w:id="239"/>
    <w:p>
      <w:pPr>
        <w:jc w:val="both"/>
        <w:ind w:firstLine="1304"/>
        <w:spacing w:after="0" w:line="261" w:lineRule="auto"/>
        <w:tabs>
          <w:tab w:leader="none" w:pos="168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and Liabilities with respect to Collateral</w:t>
      </w:r>
      <w:r>
        <w:rPr>
          <w:rFonts w:ascii="Times New Roman" w:cs="Times New Roman" w:eastAsia="Times New Roman" w:hAnsi="Times New Roman"/>
          <w:sz w:val="18"/>
          <w:szCs w:val="18"/>
          <w:color w:val="auto"/>
        </w:rPr>
        <w:t>. Neither the Collateral Agent nor Lenders or any other Secured Parties nor any of their respective Related Parties shall be liable for failure to demand, collect or realize upon any Collateral or for any delay in doing so or shall be under any obligation to sell or otherwise dispose of any Collateral upon the request of any Grantor or any other Person or to take any other action whatsoever with regard to any Collateral.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Each Grantor agrees that, if any payment made by any Credit Party or other Person and applied to the Secured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Grantor, under any bankruptcy law, state or federal law, common law or equitable cause, in each case as finally determined by a court of competent jurisdiction, then, to the extent of such payment or repayment, any Lien or other Collateral securing such liability shall be and remain in full force and effect, as fully as if such payment had never been made. If, prior to any of the foregoing, (a) any Lien or other Collateral securing such Grantor’s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Grantor in respect of any Lien or other Collateral securing such obligation or the amount of such payment.</w:t>
      </w:r>
    </w:p>
    <w:p>
      <w:pPr>
        <w:spacing w:after="0" w:line="194"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u w:val="single" w:color="auto"/>
          <w:color w:val="auto"/>
        </w:rPr>
        <w:t>Release of Collateral and Guarantee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9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all Secured Obligations (other than contingent indemnification obligations to the extent no claim giving rise thereto has been asserted) have been absolutely, unconditionally and irrevocably paid in full, the Collateral shall be automatically released from the Lien created hereby and this Agreement and all obligations (other than those expressly stated to survive such termination) of each Lender and any other Secured Party and each Grantor and Guarantor hereunder shall automatically terminate, all without delivery of any instrument or performance of any act by any party (except as required hereunder), and all rights of the Collateral Agent, Lenders and any other Secured Parties to the Collateral shall automatically revert to the Grantors. Upon the sale, transfer or other disposition of any Collateral to any Person (other than a Credit Party) that is permitted under the Loan Documents or to which Required Lenders have otherwise consented (including the sale, transfer or other disposition of Pledged Stock of a Grantor to any Person (other than a Credit Party)), such Collateral shall be automatically released from the Lien created hereby. In connection with any Permitted License and any other licensing of Intellectual Property permitted pursuant to the Loan Agreement, the Collateral Agent, on behalf of the Lenders and Secured Parties, shall enter into customary non-disturbance and similar agreements, in each case in form and substance reasonably satisfactory to the Collateral Agent and the other party or parties thereto.</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termination or release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 Collateral Agent shall, and to the extent required, each Secured Party hereby authorizes the Collateral Agent to, promptly execute and deliver to any Grantor all instruments, documents and agreements which such Grantor shall reasonably request in writing to evidence and confirm such termination or release (including termination statements under the Code and customary payoff letters), and will duly assign, transfer and deliver to such Grantor (or its designee), such of the Collateral that may be in the possession of the Collateral Agent, all without further consent or joinder of the Collateral Agent or any Lender or other Secured Party.</w:t>
      </w:r>
    </w:p>
    <w:p>
      <w:pPr>
        <w:spacing w:after="0" w:line="183"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or release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is subject to reinstatement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0" w:name="page241"/>
    <w:bookmarkEnd w:id="240"/>
    <w:p>
      <w:pPr>
        <w:jc w:val="both"/>
        <w:ind w:right="20" w:firstLine="1304"/>
        <w:spacing w:after="0" w:line="266" w:lineRule="auto"/>
        <w:tabs>
          <w:tab w:leader="none" w:pos="179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release of the Liens on any Collateral or of a Grantor from all of its obligations as a Credit Party under the Loan Agreement and as a Grantor hereunder, any representation, warranty or covenant contained in any Loan Document relating to any such Collateral or such Grantor, as applicable, shall no longer be deemed to be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and without limiting the generality of, Section 2.4 of the Loan Agreement, each Grantor agrees to pay or reimburse promptly the Lender Expenses and any other reasonable and documented out-of-pocket expenses of the Collateral Agent and any Lender and other Secured Party incurred in connection with the taking of any actions pursuant to or as otherwise contemplated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The obligations of each Grantor hereunder are independent of and separate from the Secured Obligations and the Guaranteed Obligations. Upon any Event of Default and during the continuance thereof, the Collateral Agent for the benefit of Lenders and the other Secured Parties may, at its sole election, proceed directly and at once, without notice, against any Grantor and any Collateral to collect and recover the full amount of any Secured Obligation or Guaranteed Obligation then due, without first proceeding against any other Grantor, any other Credit Party or any other Collateral and without first joining any other Grantor or any other Credit Party in any proceeding.</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No Waiver by Course of Conduct</w:t>
      </w:r>
      <w:r>
        <w:rPr>
          <w:rFonts w:ascii="Times New Roman" w:cs="Times New Roman" w:eastAsia="Times New Roman" w:hAnsi="Times New Roman"/>
          <w:sz w:val="18"/>
          <w:szCs w:val="18"/>
          <w:color w:val="auto"/>
        </w:rPr>
        <w:t xml:space="preserve">. Neither the Collateral Agent nor any Secured Party shall by any act (except by a written instrument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the Collateral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Secured Party of any right or remedy hereunder on any one occasion shall not be construed as a bar to any right or remedy that the Collateral Agent or any Secured Party would otherwise have on any future occasion.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 xml:space="preserve">. None of the terms or provisions of this Agreement may be waived, amended, supplemented or otherwise modified except in accordance </w:t>
      </w: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xml:space="preserve"> Section 11.5 of the Loan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annexes to this Agreement may be supplemented (but no existing provisions may be modified and no Collateral may be released) through Pledge Amendments and Joinder Agreements, in substantially the form of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attached hereto, respectively, in each case, duly executed by the Collateral Agent and each Grantor directly affected thereby.</w:t>
      </w:r>
    </w:p>
    <w:p>
      <w:pPr>
        <w:spacing w:after="0" w:line="183"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7"/>
          <w:szCs w:val="17"/>
          <w:u w:val="single" w:color="auto"/>
          <w:color w:val="auto"/>
        </w:rPr>
        <w:t>Additional Grantors and Guarantors; Additional Pledged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67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 Agreements</w:t>
      </w:r>
      <w:r>
        <w:rPr>
          <w:rFonts w:ascii="Times New Roman" w:cs="Times New Roman" w:eastAsia="Times New Roman" w:hAnsi="Times New Roman"/>
          <w:sz w:val="18"/>
          <w:szCs w:val="18"/>
          <w:color w:val="auto"/>
        </w:rPr>
        <w:t xml:space="preserve">. If, at the option of Parent pursuant to Section 5.12 of the Loan Agreement or as otherwise required pursuant to Section 5.12 or Section 5.13 of the Loan Agreement, Parent shall cause any Subsidiary (other than an Excluded Subsidiary, unless Parent has elected to join such Excluded Subsidiary pursuant to Section 5.12 of the Loan Agreement) that is not a Grantor and Guarantor hereunder on the Closing Date to become a Grantor and Guarantor hereunder, such Subsidiary shall execute and deliver to the Collateral Agent a Joinder Agreement substantially in the form of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attached hereto and shall thereafter for all purposes be a party hereto and have the same rights, benefits and obligations as a Grantor and Guarantor party hereto on the Closing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Amendments</w:t>
      </w:r>
      <w:r>
        <w:rPr>
          <w:rFonts w:ascii="Times New Roman" w:cs="Times New Roman" w:eastAsia="Times New Roman" w:hAnsi="Times New Roman"/>
          <w:sz w:val="18"/>
          <w:szCs w:val="18"/>
          <w:color w:val="auto"/>
        </w:rPr>
        <w:t xml:space="preserve">. To the extent any Pledged Collateral has not been delivered as of the Closing Date, each relevant Grantor shall, promptly after such Pledged Collateral is acquired, deliver a pledge amendment duly executed by such Grantor in substantially the form of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Pledge Amendment</w:t>
      </w:r>
      <w:r>
        <w:rPr>
          <w:rFonts w:ascii="Times New Roman" w:cs="Times New Roman" w:eastAsia="Times New Roman" w:hAnsi="Times New Roman"/>
          <w:sz w:val="18"/>
          <w:szCs w:val="18"/>
          <w:color w:val="auto"/>
        </w:rPr>
        <w:t>”). Such Grantor authorizes the Collateral Agent to attach each Pledge Amendment to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demands hereunder to or upon the Collateral Agent or any other party hereto shall be effected in the manner provided for in Section 9 of the Loan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request or demand to or upon any Grantor hereunder shall be addressed to Borrower’s notice address set forth in Section 9 of the Loan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1" w:name="page242"/>
    <w:bookmarkEnd w:id="24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the successors and assigns of each Grantor and shall inure to the benefit of the Collateral Agent and each Secured Party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Grantor may assign, transfer or delegate any of its rights or obligations under this Agreement without the prior written consent of the Collateral Agent.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by electronic transmission shall be as effective as delivery of a manually executed counterpart 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being held illegal, invalid or unenforceable in any jurisdiction shall not affect any part of such provision not held illegal, invalid or unenforceable, any other provision of this Agreement or any part of such provision in any other jurisdiction.</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xml:space="preserve">. THIS AGREEMENT AND THE OTHER LOAN DOCUMENTS (EXCLUDING THOSE LOAN DOCUMENTS THAT BY THEIR OWN TERMS ARE EXPRESSLY GOVERNED BY THE LAWS OF ANOTHER JURISDICTION), AND THE RIGHTS AND OBLIGATIONS OF THE PARTIES HERETO AND THERETO, SHALL BE GOVERNED BY, AND CONSTRUED AND INTERPRETED IN ACCORDANCE WITH, THE LAWS OF THE STATE OF NEW YORK,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APPLY TO THAT EXTENT.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Jury Trial Waiver</w:t>
      </w:r>
      <w:r>
        <w:rPr>
          <w:rFonts w:ascii="Times New Roman" w:cs="Times New Roman" w:eastAsia="Times New Roman" w:hAnsi="Times New Roman"/>
          <w:sz w:val="18"/>
          <w:szCs w:val="18"/>
          <w:color w:val="auto"/>
        </w:rPr>
        <w:t xml:space="preserve">. 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THAT IT AND THE OTHER PARTIES HERETO HAVE BEEN INDUCED TO ENTER INTO THIS AGREEMENT BY THE MUTUAL WAIVERS AND CERTIFICATIONS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(C) HAS REVIEWED THIS WAIVER WITH ITS COUNSEL.</w:t>
      </w:r>
    </w:p>
    <w:p>
      <w:pPr>
        <w:spacing w:after="0" w:line="18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TERMS OF SECTION 10 OF THE LOAN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 AND THE PARTIES HERETO AGREE TO SUCH TERMS AND TO BE BOUND BY SUCH TERMS.</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NOTWITHSTANDING ANYTHING HEREIN TO THE CONTRARY, THE LIEN AND SECURITY INTEREST GRANTED TO THE COLLATERAL AGENT PURSUANT TO OR IN CONNECTION WITH THIS AGREEMENT, THE TERMS OF THIS AGREEMENT, AND THE EXERCISE OF ANY RIGHT OR REMEDY BY THE COLLATERAL AGENT HEREUNDER ARE SUBJECT TO THE PROVISIONS OF THE INTERCREDITOR AGREEMENT DATED AS OF MARCH 16, 2022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INTERCREDITOR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BIOPHARMA CREDIT PLC, AS COLLATERAL AGENT UNDER THE LOAN AGREEMENT AND RTW INVESTMENTS ICAV, FOR AND ON BEHALF OF RTW FUND 2, AS PAYER UNDER THE PRE-PAID FORWARD CONTRACT (AS DEFINED THEREIN) AND ACKNOWLEDGED AND AGREED BY UROGEN PHARMA, INC., AS BORROWER UNDER THE LOAN AGREEMENT, AND UROGEN PHARMA LTD., AS THE COUNTERPARTY UNDER THE PRE-PAID FORWARD CONTRACT AND PARENT AND A CREDIT PARTY UNDER THE LOAN AGREEMENT. IN THE EVENT OF ANY CONFLICT BETWEEN THE TERMS OF THE INTERCREDITOR AGREEMENT AND THIS AGREEMENT OR ANY OTHER TRANSACTION DOCUMENT, THE TERMS OF THE INTERCREDITOR AGREEMENT SHALL CONTROL.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2" w:name="page243"/>
    <w:bookmarkEnd w:id="24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Israeli Security Agreement</w:t>
      </w:r>
      <w:r>
        <w:rPr>
          <w:rFonts w:ascii="Times New Roman" w:cs="Times New Roman" w:eastAsia="Times New Roman" w:hAnsi="Times New Roman"/>
          <w:sz w:val="18"/>
          <w:szCs w:val="18"/>
          <w:color w:val="auto"/>
        </w:rPr>
        <w:t>. For the avoidance of doubt, it is hereby clarified that this Agreement is in addition to the Israeli Security Agreement (and in no manner in lieu thereof or replacement thereto), and each of this Agreement and the Israeli Security Agreement shall independently serve as aforesaid to secure the Secured Obligations in their entirety. Without derogating from the generality of the foregoing or from any other right of the Collateral Agent, the Collateral Agent shall have the right to act on this Agreement or on the Israeli Security Agreement, or on both, in each case in connection with the liens and security interests created by each (including, with respect to any and all assets, properties and rights subject to each of this Agreement and the Israeli Security Agreement); and no action or omission relating to any such liens and security interests shall prevent or stop the Collateral Agent from invoking such other liens and security interests, at the same time or subsequently.</w:t>
      </w:r>
    </w:p>
    <w:p>
      <w:pPr>
        <w:spacing w:after="0" w:line="18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8.15</w:t>
      </w:r>
      <w:r>
        <w:rPr>
          <w:sz w:val="20"/>
          <w:szCs w:val="20"/>
          <w:color w:val="auto"/>
        </w:rPr>
        <w:tab/>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67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amends and restates in its entirety, and replaces, the terms of (and obligations outstanding under) the Prior Guaranty and Security Agreement, and the Prior Guaranty and Security Agreement shall have no further force or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0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“Secured Obligations” existing under the Prior Guaranty and Security Agreement shall be deemed to be outstanding under this Agreement and, in each case (i) are in all respects enforceable with only the terms thereof being modified as provided by this Agreement and (ii) shall in all respects be continuing after the Amendment Effective Date and shall be deemed to be Secured Obligations governed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“Secured Obligations” existing under the Prior Guaranty and Security Agreement shall be paid and satisfied in full in accordance with Article 3 of the Loan Agreement and, if and to the extent so paid and satisfied, shall be terminated and no longer enforceable under this Agreement upon such payment and satisfaction on the Closing Date, shall not in any respects be continuing after the Closing Date and shall no longer be deemed to be Secured Obligations governed by this Agreement upon such payment and satisfaction on the Tranche A Closing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Amendment Effective Date, all references to the Prior Guaranty and Security Agreement or the “Security Agreement” in any and all of the existing Loan Documents executed in connection with the Prior Loan Agreement, whether on the Effective Date or at any time thereafter but prior to the Amendment Effective Date, shall be deemed to include references to this Agreement, as amended, restated, amended and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acknowledges and agrees that this Agreement and the documents executed and delivered in connection herewith do not constitute a novation, payment and reborrowing or termination of any of the Secured Obligations under the Prior Guaranty and Security Agreement as in effect prior to the Amendment Effective Date or a novation or payment and reborrowing of any amount owing under the Prior Loan Agreement as in effect prior to the Amendment Effective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3" w:name="page244"/>
    <w:bookmarkEnd w:id="24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Amended and Restated Guaranty and Security Agreement to be duly executed and delivered as of the date first above written.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UROGEN 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Borrower and a Grantor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30689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 Degnan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Parent and a Grantor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30689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 Degnan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and Restated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31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and Restated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45" w:name="page246"/>
    <w:bookmarkEnd w:id="245"/>
    <w:p>
      <w:pPr>
        <w:jc w:val="center"/>
        <w:ind w:right="-139"/>
        <w:spacing w:after="0"/>
        <w:rPr>
          <w:sz w:val="20"/>
          <w:szCs w:val="20"/>
          <w:color w:val="auto"/>
        </w:rPr>
      </w:pPr>
      <w:r>
        <w:rPr>
          <w:rFonts w:ascii="Times New Roman" w:cs="Times New Roman" w:eastAsia="Times New Roman" w:hAnsi="Times New Roman"/>
          <w:sz w:val="18"/>
          <w:szCs w:val="18"/>
          <w:color w:val="auto"/>
        </w:rPr>
        <w:t>ANNEX 1</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AMENDED AND RESTATED GUARANTY AND SECURITY AGREEMENT</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 OF PLEDGE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Pledge Amendment, dated as of ____________, 20  , is delivered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-7620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Security Agreement, dated as of February 26, 2026, by UROGEN PHARMA, INC., as Borrower, the undersigned Grantor and the other Persons from time to time party thereto as Grantors in favor of BIOPHARMA CREDIT PLC, as Collateral Agent on behalf of Lenders and each of the other Secured Parties (as such agreement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Guaranty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Capitalized terms used herein without definition are used as defined in the Guaranty and Security Agreement.</w:t>
      </w:r>
    </w:p>
    <w:p>
      <w:pPr>
        <w:spacing w:after="0" w:line="189" w:lineRule="exact"/>
        <w:rPr>
          <w:sz w:val="20"/>
          <w:szCs w:val="20"/>
          <w:color w:val="auto"/>
        </w:rPr>
      </w:pPr>
    </w:p>
    <w:p>
      <w:pPr>
        <w:jc w:val="both"/>
        <w:ind w:right="3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hereby agrees that this Pledge Amendment may be attached to the Guaranty and Security Agreement and that the Pledged Collateral listed on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18"/>
          <w:szCs w:val="18"/>
          <w:color w:val="auto"/>
        </w:rPr>
        <w:t xml:space="preserve"> to this Pledge Amendment shall be and become part of the Collateral referred to in the Guaranty and Security Agreement and shall secure all Secured Obligations of the undersigned.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4230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246" w:name="page247"/>
    <w:bookmarkEnd w:id="246"/>
    <w:p>
      <w:pPr>
        <w:ind w:left="9620"/>
        <w:spacing w:after="0"/>
        <w:rPr>
          <w:sz w:val="20"/>
          <w:szCs w:val="20"/>
          <w:color w:val="auto"/>
        </w:rPr>
      </w:pPr>
      <w:r>
        <w:rPr>
          <w:rFonts w:ascii="Times New Roman" w:cs="Times New Roman" w:eastAsia="Times New Roman" w:hAnsi="Times New Roman"/>
          <w:sz w:val="17"/>
          <w:szCs w:val="17"/>
          <w:color w:val="auto"/>
        </w:rPr>
        <w:t>Annex 1-A</w:t>
      </w:r>
    </w:p>
    <w:p>
      <w:pPr>
        <w:spacing w:after="0" w:line="2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PLEDGED STOCK</w:t>
      </w:r>
    </w:p>
    <w:p>
      <w:pPr>
        <w:sectPr>
          <w:pgSz w:w="11900" w:h="16838" w:orient="portrait"/>
          <w:cols w:equalWidth="0" w:num="1">
            <w:col w:w="10420"/>
          </w:cols>
          <w:pgMar w:left="11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CERTIFICATE</w:t>
      </w:r>
    </w:p>
    <w:p>
      <w:pPr>
        <w:spacing w:after="0" w:line="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PAR VALUE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NUMBER OF</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UNITS OR</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INTERESTS</w:t>
      </w:r>
    </w:p>
    <w:p>
      <w:pPr>
        <w:spacing w:after="0" w:line="200" w:lineRule="exact"/>
        <w:rPr>
          <w:sz w:val="20"/>
          <w:szCs w:val="20"/>
          <w:color w:val="auto"/>
        </w:rPr>
      </w:pPr>
    </w:p>
    <w:p>
      <w:pPr>
        <w:sectPr>
          <w:pgSz w:w="11900" w:h="16838" w:orient="portrait"/>
          <w:cols w:equalWidth="0" w:num="5">
            <w:col w:w="1560" w:space="720"/>
            <w:col w:w="1260" w:space="720"/>
            <w:col w:w="1600" w:space="720"/>
            <w:col w:w="1480" w:space="720"/>
            <w:col w:w="1640"/>
          </w:cols>
          <w:pgMar w:left="1140" w:top="5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PLEDGED DEBT INSTRUMENTS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COMMERCIAL TORT CLAIMS</w:t>
      </w:r>
    </w:p>
    <w:p>
      <w:pPr>
        <w:spacing w:after="0" w:line="2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79375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580" w:right="33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31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8"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color w:val="auto"/>
        </w:rPr>
        <w:t>ANNEX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GUARANTY AND SECURITY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JOINDER AGREEMENT</w:t>
      </w:r>
    </w:p>
    <w:p>
      <w:pPr>
        <w:spacing w:after="0" w:line="225" w:lineRule="exact"/>
        <w:rPr>
          <w:sz w:val="20"/>
          <w:szCs w:val="20"/>
          <w:color w:val="auto"/>
        </w:rPr>
      </w:pPr>
    </w:p>
    <w:p>
      <w:pPr>
        <w:ind w:left="1300"/>
        <w:spacing w:after="0"/>
        <w:tabs>
          <w:tab w:leader="none" w:pos="4860" w:val="left"/>
        </w:tabs>
        <w:rPr>
          <w:sz w:val="20"/>
          <w:szCs w:val="20"/>
          <w:color w:val="auto"/>
        </w:rPr>
      </w:pPr>
      <w:r>
        <w:rPr>
          <w:rFonts w:ascii="Times New Roman" w:cs="Times New Roman" w:eastAsia="Times New Roman" w:hAnsi="Times New Roman"/>
          <w:sz w:val="18"/>
          <w:szCs w:val="18"/>
          <w:color w:val="auto"/>
        </w:rPr>
        <w:t>This JOINDER AGREEMENT, dated as of</w:t>
      </w:r>
      <w:r>
        <w:rPr>
          <w:sz w:val="20"/>
          <w:szCs w:val="20"/>
          <w:color w:val="auto"/>
        </w:rPr>
        <w:tab/>
      </w:r>
      <w:r>
        <w:rPr>
          <w:rFonts w:ascii="Times New Roman" w:cs="Times New Roman" w:eastAsia="Times New Roman" w:hAnsi="Times New Roman"/>
          <w:sz w:val="18"/>
          <w:szCs w:val="18"/>
          <w:color w:val="auto"/>
        </w:rPr>
        <w:t xml:space="preserve">, 20 , is delivered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Amended and Restated Guaranty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-7620</wp:posOffset>
            </wp:positionV>
            <wp:extent cx="1428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-7620</wp:posOffset>
            </wp:positionV>
            <wp:extent cx="285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Security Agreement, dated as of February 26, 2026, by and among UROGEN PHARMA, INC.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the other Persons from time to time party thereto as Grantors, in favor of BIOPHARMA CREDIT PLC (together with its successors and permitted assigns,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 behalf of Lenders and each of the other Secured Parties, (as such agreement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Guaranty and Security Agreement</w:t>
      </w:r>
      <w:r>
        <w:rPr>
          <w:rFonts w:ascii="Times New Roman" w:cs="Times New Roman" w:eastAsia="Times New Roman" w:hAnsi="Times New Roman"/>
          <w:sz w:val="18"/>
          <w:szCs w:val="18"/>
          <w:color w:val="auto"/>
        </w:rPr>
        <w:t>”). Capitalized terms used herein without definition are used as defined in the Guaranty and Security Agreement.</w:t>
      </w:r>
    </w:p>
    <w:p>
      <w:pPr>
        <w:spacing w:after="0" w:line="18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By executing and delivering this Joinder Agreement, the undersigned, as provided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Guaranty and Security Agreement, (a) hereby becomes a party to the Guaranty and Security Agreement as a “Grantor” and “Guarantor” thereunder with the same force and effect as if originally named as a Grantor and Guarantor therein and, without limiting the generality of the foregoing, hereby assumes all obligations and liabilities of a Grantor and a Guarantor thereunder and (b) as collateral security for the prompt and complete payment and performance when due (whether at stated maturity, by acceleration or otherwise) of the Secured Obligations of the undersigned, hereby pledges and hypothecates to the Collateral Agent for the benefit of Lenders and the other Secured Parties, and grants to the Collateral Agent for the benefit of Lenders and the other Secured Parties, a lien on and security interest in, all of its right, title and interest in, to and under the Collateral of the undersigned. The undersigned hereby agrees to be bound as a Grantor and a Guarantor for the purposes of the Guaranty and Security Agreement.</w:t>
      </w:r>
    </w:p>
    <w:p>
      <w:pPr>
        <w:spacing w:after="0" w:line="192" w:lineRule="exact"/>
        <w:rPr>
          <w:sz w:val="20"/>
          <w:szCs w:val="20"/>
          <w:color w:val="auto"/>
        </w:rPr>
      </w:pPr>
    </w:p>
    <w:p>
      <w:pPr>
        <w:ind w:firstLine="1296"/>
        <w:spacing w:after="0" w:line="230" w:lineRule="auto"/>
        <w:rPr>
          <w:sz w:val="20"/>
          <w:szCs w:val="20"/>
          <w:color w:val="auto"/>
        </w:rPr>
      </w:pPr>
      <w:r>
        <w:rPr>
          <w:rFonts w:ascii="Times New Roman" w:cs="Times New Roman" w:eastAsia="Times New Roman" w:hAnsi="Times New Roman"/>
          <w:sz w:val="18"/>
          <w:szCs w:val="18"/>
          <w:color w:val="auto"/>
        </w:rPr>
        <w:t xml:space="preserve">In connection with this Joinder Agreement, the undersigned has delivered to the Collateral Agent a completed Perfection Certificate duly executed by the undersigned. The information set forth in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hereby added to the information set forth in </w:t>
      </w:r>
      <w:r>
        <w:rPr>
          <w:rFonts w:ascii="Times New Roman" w:cs="Times New Roman" w:eastAsia="Times New Roman" w:hAnsi="Times New Roman"/>
          <w:sz w:val="18"/>
          <w:szCs w:val="18"/>
          <w:u w:val="single" w:color="auto"/>
          <w:color w:val="auto"/>
        </w:rPr>
        <w:t>Schedules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to the Security Disclosure Letter. By acknowledging and agreeing to this Joinder Agreement, the undersigned hereby agrees that this Joinder Agreement may be attached to the Guaranty and Security Agreement, the Perfection Certificate delivered herewith by the undersigned shall constitute a “Perfection Certificate” referred to in Section 4.6 of the Loan Agreement and that the Pledged Collateral listed on </w:t>
      </w:r>
      <w:r>
        <w:rPr>
          <w:rFonts w:ascii="Times New Roman" w:cs="Times New Roman" w:eastAsia="Times New Roman" w:hAnsi="Times New Roman"/>
          <w:sz w:val="18"/>
          <w:szCs w:val="18"/>
          <w:u w:val="single" w:color="auto"/>
          <w:color w:val="auto"/>
        </w:rPr>
        <w:t>Annex 1-A</w:t>
      </w:r>
      <w:r>
        <w:rPr>
          <w:rFonts w:ascii="Times New Roman" w:cs="Times New Roman" w:eastAsia="Times New Roman" w:hAnsi="Times New Roman"/>
          <w:sz w:val="18"/>
          <w:szCs w:val="18"/>
          <w:color w:val="auto"/>
        </w:rPr>
        <w:t xml:space="preserve"> to this Joinder Agreement shall be and become part of the Collateral referred to in the Guaranty and Security Agreement and shall secure all Secured Obligations of the undersigned.</w:t>
      </w:r>
    </w:p>
    <w:p>
      <w:pPr>
        <w:spacing w:after="0" w:line="201"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represents and warrants that each of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Guaranty and Security Agreement applicable to it is true and correct on and as the date hereof as if made on and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undersigned has caused this Joinder Agreement to be duly executed and delivered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Grantor]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4230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4230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80" w:hanging="124"/>
        <w:spacing w:after="0"/>
        <w:tabs>
          <w:tab w:leader="none" w:pos="780" w:val="left"/>
        </w:tabs>
        <w:numPr>
          <w:ilvl w:val="0"/>
          <w:numId w:val="2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Use same Annex 1-A as is attached in Annex 1 to the Guaranty and Security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312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98"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color w:val="auto"/>
        </w:rPr>
        <w:t>ANNEX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GUARANTY AND SECURITY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[COPYRIGHT] [PATENT] [TRADEMARK] SECURITY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[COPYRIGHT] [PATENT] [TRADEMARK] SECURITY AGREEMENT, dated as of ________, 20__, is made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in favor of BIOPHARMA CREDIT PLC (together with its successors and permitted assigns,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Lenders and the other Secured Parties (as defined in the Loan Agreement referred to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E T H:</w:t>
      </w:r>
    </w:p>
    <w:p>
      <w:pPr>
        <w:spacing w:after="0" w:line="225"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18"/>
          <w:szCs w:val="18"/>
          <w:color w:val="auto"/>
        </w:rPr>
        <w:t>WHEREAS, pursuant to that certain Second Amended and Restated Loan Agreement, dated as of February 26, 2026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by and among UROGEN PHARMA,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UROGEN PHARMA LTD., a company incorporated in Israel with company registration number 513537621 (as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 Credit Party), the other parties thereto from time to time, as additional Credit Parties, BIOPHARMA CREDIT PLC, as Collateral Agent, BPCR LIMITED PARTNERSHIP, (as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BIOPHARMA CREDIT INVESTMENTS V (MASTER) LP, a Cayman Islands exempted limited partnership acting by its general partner, BioPharma Credit Investments V GP LLC (as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each Lender has agreed to make extensions of credit to Borrower upon the terms and subject to the conditions set forth therein;</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WHEREAS, Grantor [(other than Borrower)] has agreed, pursuant to the Amended and Restated Guaranty and Security Agreement, dated as of February 26, 2026, in favor of the Collateral Agent for the benefit of Lenders and the other Secured Parties (as such agreement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Guaranty and Security Agreement</w:t>
      </w:r>
      <w:r>
        <w:rPr>
          <w:rFonts w:ascii="Times New Roman" w:cs="Times New Roman" w:eastAsia="Times New Roman" w:hAnsi="Times New Roman"/>
          <w:sz w:val="18"/>
          <w:szCs w:val="18"/>
          <w:color w:val="auto"/>
        </w:rPr>
        <w:t>”), to guarantee the Obligations (as defined in the Loan Agreement) of Borrower; and</w:t>
      </w:r>
    </w:p>
    <w:p>
      <w:pPr>
        <w:spacing w:after="0" w:line="180"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WHEREAS, Grantor is party to the Guaranty and Security Agreement pursuant to which Grantor is required to execute and deliver this [Copyright] [Patent] [Trademark] Security Agreement;</w:t>
      </w:r>
    </w:p>
    <w:p>
      <w:pPr>
        <w:spacing w:after="0" w:line="162" w:lineRule="exact"/>
        <w:rPr>
          <w:sz w:val="20"/>
          <w:szCs w:val="20"/>
          <w:color w:val="auto"/>
        </w:rPr>
      </w:pPr>
    </w:p>
    <w:p>
      <w:pPr>
        <w:ind w:right="280" w:firstLine="1296"/>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terms and conditions set forth herein, and for other good and valuable consideration, the receipt and sufficiency of which are hereby acknowledged, the parties hereto agree, intending to be legally bound, as follows:</w:t>
      </w:r>
    </w:p>
    <w:p>
      <w:pPr>
        <w:spacing w:after="0" w:line="140"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Capitalized terms used herein without definition are used as defined in the Guaranty and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 in [Copyright] [Trademark] [Patent] Collateral</w:t>
      </w:r>
      <w:r>
        <w:rPr>
          <w:rFonts w:ascii="Times New Roman" w:cs="Times New Roman" w:eastAsia="Times New Roman" w:hAnsi="Times New Roman"/>
          <w:sz w:val="18"/>
          <w:szCs w:val="18"/>
          <w:color w:val="auto"/>
        </w:rPr>
        <w:t>. Grantor, as collateral security for the prompt and complete payment and performance when due (whether at stated maturity, by acceleration or otherwise) of the Secured Obligations, hereby mortgages, pledges and hypothecates to the Collateral Agent, for the benefit of Lenders and the other Secured Parties, and grants to the Collateral Agent, for the benefit of Lenders and the other Secured Parties, a Lien on and security interest in, all of its right, title and interest in, to and under the following Collateral of Grantor, in each case, solely to the extent constituting Collateral (and excluding any Excluded Property) (the “</w:t>
      </w:r>
      <w:r>
        <w:rPr>
          <w:rFonts w:ascii="Times New Roman" w:cs="Times New Roman" w:eastAsia="Times New Roman" w:hAnsi="Times New Roman"/>
          <w:sz w:val="18"/>
          <w:szCs w:val="18"/>
          <w:u w:val="single" w:color="auto"/>
          <w:color w:val="auto"/>
        </w:rPr>
        <w:t>[Copyright] [Patent] [Trademark]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80" w:firstLine="1304"/>
        <w:spacing w:after="0" w:line="282" w:lineRule="auto"/>
        <w:tabs>
          <w:tab w:leader="none" w:pos="167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its Copyrights and all IP Licenses and IP Ancillary Rights providing for the grant by or to Grantor of any right under any Copyright, including, without limitation, those referred to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reversions and extensions of the foregoing; and</w:t>
      </w:r>
    </w:p>
    <w:p>
      <w:pPr>
        <w:spacing w:after="0" w:line="225" w:lineRule="exact"/>
        <w:rPr>
          <w:rFonts w:ascii="Times New Roman" w:cs="Times New Roman" w:eastAsia="Times New Roman" w:hAnsi="Times New Roman"/>
          <w:sz w:val="18"/>
          <w:szCs w:val="18"/>
          <w:color w:val="auto"/>
        </w:rPr>
      </w:pPr>
    </w:p>
    <w:p>
      <w:pPr>
        <w:ind w:right="140" w:firstLine="1304"/>
        <w:spacing w:after="0" w:line="266" w:lineRule="auto"/>
        <w:tabs>
          <w:tab w:leader="none" w:pos="16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160" w:firstLine="1304"/>
        <w:spacing w:after="0" w:line="282" w:lineRule="auto"/>
        <w:tabs>
          <w:tab w:leader="none" w:pos="167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its Patents and all IP License and IP Ancillary Rights providing for the grant by or to Grantor of any right under any Patent, including, without limitation, those referred to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40" w:firstLine="1304"/>
        <w:spacing w:after="0" w:line="266" w:lineRule="auto"/>
        <w:tabs>
          <w:tab w:leader="none" w:pos="168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reissues, reexaminations, continuations, continuations-in-part, divisionals, substitutes, renewals and any patent term extension or adjustment (including any supplementary protection certificate) of the foregoing, and any patent issued with respect to any of the foregoing, and any confirmation patent or registration patent or patent of addition based on any such patent; and</w:t>
      </w:r>
    </w:p>
    <w:p>
      <w:pPr>
        <w:spacing w:after="0" w:line="175" w:lineRule="exact"/>
        <w:rPr>
          <w:rFonts w:ascii="Times New Roman" w:cs="Times New Roman" w:eastAsia="Times New Roman" w:hAnsi="Times New Roman"/>
          <w:sz w:val="18"/>
          <w:szCs w:val="18"/>
          <w:color w:val="auto"/>
        </w:rPr>
      </w:pPr>
    </w:p>
    <w:p>
      <w:pPr>
        <w:ind w:right="140" w:firstLine="1304"/>
        <w:spacing w:after="0" w:line="266" w:lineRule="auto"/>
        <w:tabs>
          <w:tab w:leader="none" w:pos="167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140" w:firstLine="1304"/>
        <w:spacing w:after="0" w:line="256" w:lineRule="auto"/>
        <w:tabs>
          <w:tab w:leader="none" w:pos="168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Trademarks and all IP Licenses and IP Ancillary Rights providing for the grant by or to Grantor of any right under any Trademark, including, without limitation, those referred to on Schedule 1 hereto, but excluding any “intent-to-use” application for registration of a United States Trademark for which a “Statement of Use” pursuant to Section 1(d) of the Lanham Act, 15 U.S.C. § 1051 (or any successor provision) or an “Amendment to Allege Use” pursuant to Section 1(c) of the Lanham Act, 15 U.S.C. § 1051 (or any successor provision) has not been filed with and accepted by the Applicable IP Office (but only excluding such intent-to-use application until such statement of use or amendment to allege use (as applicable) is filed with and accepted by the Applicable IP Office);</w:t>
      </w:r>
    </w:p>
    <w:p>
      <w:pPr>
        <w:spacing w:after="0" w:line="18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and extensions of the foregoing;</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of the business connected with the use of, and symbolized by, each such Trademark; and</w:t>
      </w:r>
    </w:p>
    <w:p>
      <w:pPr>
        <w:spacing w:after="0" w:line="225" w:lineRule="exact"/>
        <w:rPr>
          <w:rFonts w:ascii="Times New Roman" w:cs="Times New Roman" w:eastAsia="Times New Roman" w:hAnsi="Times New Roman"/>
          <w:sz w:val="18"/>
          <w:szCs w:val="18"/>
          <w:color w:val="auto"/>
        </w:rPr>
      </w:pPr>
    </w:p>
    <w:p>
      <w:pPr>
        <w:ind w:right="120" w:firstLine="1304"/>
        <w:spacing w:after="0" w:line="266" w:lineRule="auto"/>
        <w:tabs>
          <w:tab w:leader="none" w:pos="168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Guaranty and Security Agreement</w:t>
      </w:r>
      <w:r>
        <w:rPr>
          <w:rFonts w:ascii="Times New Roman" w:cs="Times New Roman" w:eastAsia="Times New Roman" w:hAnsi="Times New Roman"/>
          <w:sz w:val="18"/>
          <w:szCs w:val="18"/>
          <w:color w:val="auto"/>
        </w:rPr>
        <w:t>. The security interest granted pursuant to this [Copyright] [Patent] [Trademark] Security Agreement is granted in conjunction with the security interest granted to the Collateral Agent for the benefit of Lenders and the other Secured Parties, pursuant to the Guaranty and Security Agreement and Grantor hereby acknowledges and agrees that the obligations, rights and remedies of Grantor and of the Collateral Agent on behalf of Lenders and the other Secured Parties with respect to the security interest in the [Copyright] [Patent] [Trademark] Collateral made and granted hereby are more fully set forth in the Guaranty and Security Agreement, the terms and provisions of which are incorporated by reference herein as if fully set forth herein.</w:t>
      </w:r>
    </w:p>
    <w:p>
      <w:pPr>
        <w:spacing w:after="0" w:line="187" w:lineRule="exact"/>
        <w:rPr>
          <w:sz w:val="20"/>
          <w:szCs w:val="20"/>
          <w:color w:val="auto"/>
        </w:rPr>
      </w:pPr>
    </w:p>
    <w:p>
      <w:pPr>
        <w:jc w:val="both"/>
        <w:ind w:right="5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Grantor Remains Liable</w:t>
      </w:r>
      <w:r>
        <w:rPr>
          <w:rFonts w:ascii="Times New Roman" w:cs="Times New Roman" w:eastAsia="Times New Roman" w:hAnsi="Times New Roman"/>
          <w:sz w:val="18"/>
          <w:szCs w:val="18"/>
          <w:color w:val="auto"/>
        </w:rPr>
        <w:t>. Grantor hereby agrees that, anything herein to the contrary notwithstanding, Grantor shall assume full and complete responsibility for the prosecution, defense, enforcement or any other reasonably necessary actions in connection with their [Copyrights] [Patents] [Trademarks] and IP Licenses subject to a security interest hereunder.</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2" w:name="page253"/>
    <w:bookmarkEnd w:id="252"/>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[Copyright] [Patent] [Trademark] Security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[Copyright] [Patent] [Trademark] Security Agreement by facsimile transmission or electronic transmission shall be as effective as delivery of a manually executed counterpart hereof.</w:t>
      </w:r>
    </w:p>
    <w:p>
      <w:pPr>
        <w:spacing w:after="0" w:line="183" w:lineRule="exact"/>
        <w:rPr>
          <w:sz w:val="20"/>
          <w:szCs w:val="20"/>
          <w:color w:val="auto"/>
        </w:rPr>
      </w:pPr>
    </w:p>
    <w:p>
      <w:pPr>
        <w:ind w:right="260" w:firstLine="1296"/>
        <w:spacing w:after="0" w:line="273"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[COPYRIGHT] [PATENT] [TRADEMARK] SECURITY AGREEMENT AND THE RIGHTS AND OBLIGATIONS OF THE PARTIES HERETO SHALL BE GOVERNED BY, AND CONSTRUED AND INTERPRETED IN ACCORDANCE WITH, THE LAWS OF THE STATE OF NEW YORK, WITHOUT REGARD TO ANY PRINCIPLES OF CONFLICTS OF LAW THAT COULD REQUIRE THE APPLICATION OF THE LAW OF ANY OTHER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LAWS OF ANY JURISDICTION OTHER THAN NEW YORK SHALL GOVERN IN REGARD TO THE VALIDITY, PERFECTION OR EFFECT OF PERFECTION OF ANY LIEN OR IN REGARD TO PROCEDURAL MATTERS AFFECTING ENFORCEMENT OF ANY LIENS IN [COPYRIGHT] [PATENT] [TRADEMARK] COLLATERAL, SUCH LAWS OF SUCH OTHER JURISDICTIONS SHALL APPLY TO THAT EXTENT.</w:t>
      </w:r>
    </w:p>
    <w:p>
      <w:pPr>
        <w:spacing w:after="0" w:line="169" w:lineRule="exact"/>
        <w:rPr>
          <w:sz w:val="20"/>
          <w:szCs w:val="20"/>
          <w:color w:val="auto"/>
        </w:rPr>
      </w:pPr>
    </w:p>
    <w:p>
      <w:pPr>
        <w:ind w:right="240" w:firstLine="648"/>
        <w:spacing w:after="0" w:line="315" w:lineRule="auto"/>
        <w:rPr>
          <w:sz w:val="20"/>
          <w:szCs w:val="20"/>
          <w:color w:val="auto"/>
        </w:rPr>
      </w:pPr>
      <w:r>
        <w:rPr>
          <w:rFonts w:ascii="Times New Roman" w:cs="Times New Roman" w:eastAsia="Times New Roman" w:hAnsi="Times New Roman"/>
          <w:sz w:val="17"/>
          <w:szCs w:val="17"/>
          <w:color w:val="auto"/>
        </w:rPr>
        <w:t xml:space="preserve">THE TERMS OF SECTION 10 OF THE LOAN AGREEMENT ARE INCORPORATED HEREIN BY REFERENCE,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AS IF SET FORTH IN FULL HEREIN AND THE PARTIES HERETO AGREE TO SUCH TERMS AND TO BE BOUND BY SUCH TERMS.</w:t>
      </w:r>
    </w:p>
    <w:p>
      <w:pPr>
        <w:spacing w:after="0" w:line="13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absolute, unconditional and irrevocable payment in full of the Secured Obligations in accordance with the provisions of the Loan Agreement and the expiration or termination of the Term Loan Commitments, the security interest in the [Copyright] [Patent] [Trademark] Collateral granted hereby shall automatically terminate, without delivery of any instrument or performance of any act by any party, and all rights to the [Copyright] [Patent] [Trademark] Collateral shall automatically revert to Grantors or any other Person entitled thereto. At such time, the Collateral Agent authorizes the filing by such Grantor of an appropriate termination hereof.</w:t>
      </w:r>
    </w:p>
    <w:p>
      <w:pPr>
        <w:spacing w:after="0" w:line="183"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Notwithstanding anything herein to the contrary, the security interest granted pursuant to this [Copyright] [Patent] [Trademark] Security Agreement, the terms of this [Copyright] [Patent] [Trademark] Security Agreement and the exercise of any right or remedy hereunder are subject to the provisions of the Intercreditor Agreement, dated as of March 16, 2022, by and between the Collateral Agent, RTW Investments ICAV (for and on behalf of RTW Fund 2) and acknowledged and agreed to by Grantor and Borrower (as may be amended, restated, amended and restated, supplemented or otherwise modified from time to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3" w:name="page254"/>
    <w:bookmarkEnd w:id="25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Grantor has caused this [Copyright] [Patent] [Trademark] Security Agreement to be executed and delivered by its duly authorized officer as of the date first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Grantor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431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[Copyright] [Patent] [Trademark]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31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[Copyright] [Patent] [Trademark]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55" w:name="page256"/>
    <w:bookmarkEnd w:id="255"/>
    <w:p>
      <w:pPr>
        <w:jc w:val="center"/>
        <w:ind w:right="-1100"/>
        <w:spacing w:after="0"/>
        <w:rPr>
          <w:sz w:val="20"/>
          <w:szCs w:val="20"/>
          <w:color w:val="auto"/>
        </w:rPr>
      </w:pPr>
      <w:r>
        <w:rPr>
          <w:rFonts w:ascii="Times New Roman" w:cs="Times New Roman" w:eastAsia="Times New Roman" w:hAnsi="Times New Roman"/>
          <w:sz w:val="18"/>
          <w:szCs w:val="18"/>
          <w:color w:val="auto"/>
        </w:rPr>
        <w:t>SCHEDULE I</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[COPYRIGHT] [PATENT] [TRADEMARK] SECURITY AGREEMENT</w:t>
      </w:r>
    </w:p>
    <w:p>
      <w:pPr>
        <w:spacing w:after="0" w:line="2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[Copyright] [Patent] [Trademark] Registrations</w:t>
      </w:r>
    </w:p>
    <w:p>
      <w:pPr>
        <w:spacing w:after="0" w:line="225" w:lineRule="exact"/>
        <w:rPr>
          <w:sz w:val="20"/>
          <w:szCs w:val="20"/>
          <w:color w:val="auto"/>
        </w:rPr>
      </w:pPr>
    </w:p>
    <w:p>
      <w:pPr>
        <w:ind w:right="5099" w:firstLine="8"/>
        <w:spacing w:after="0" w:line="500" w:lineRule="auto"/>
        <w:tabs>
          <w:tab w:leader="none" w:pos="32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[COPYRIGHTS] [PATENTS] [TRADEMARKS] [Include Registration Number and Date]</w:t>
      </w:r>
    </w:p>
    <w:p>
      <w:pPr>
        <w:spacing w:after="0" w:line="1" w:lineRule="exact"/>
        <w:rPr>
          <w:rFonts w:ascii="Times New Roman" w:cs="Times New Roman" w:eastAsia="Times New Roman" w:hAnsi="Times New Roman"/>
          <w:sz w:val="18"/>
          <w:szCs w:val="18"/>
          <w:color w:val="auto"/>
        </w:rPr>
      </w:pPr>
    </w:p>
    <w:p>
      <w:pPr>
        <w:ind w:right="5239" w:firstLine="8"/>
        <w:spacing w:after="0" w:line="500" w:lineRule="auto"/>
        <w:tabs>
          <w:tab w:leader="none" w:pos="32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[PATENT] [TRADEMARK] APPLICATIONS [Include Application Number and Date]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LICENSES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complete legal description of agreement (name of agreement, parties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56" w:name="page257"/>
    <w:bookmarkEnd w:id="256"/>
    <w:p>
      <w:pPr>
        <w:jc w:val="center"/>
        <w:ind w:right="-39"/>
        <w:spacing w:after="0"/>
        <w:rPr>
          <w:sz w:val="20"/>
          <w:szCs w:val="20"/>
          <w:color w:val="auto"/>
        </w:rPr>
      </w:pPr>
      <w:r>
        <w:rPr>
          <w:rFonts w:ascii="Times New Roman" w:cs="Times New Roman" w:eastAsia="Times New Roman" w:hAnsi="Times New Roman"/>
          <w:sz w:val="18"/>
          <w:szCs w:val="18"/>
          <w:color w:val="auto"/>
        </w:rPr>
        <w:t>ANNEX 4</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AMENDED AND RESTATED GUARANTY AND SECURITY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UNCERTIFICATED STOCK CONTROL AGREEMENT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UNCERTIFICATED STOCK CONTROL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___________, 20__, is made by and</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among [APPLICABLE GRANTOR], a [JURISDICTION OF ORGANIZATION] [ENTITY TYPE] (the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BIOPHARMA CREDIT PLC, a public limited company organized under the laws of England and Wales, as collateral agent on behalf of the Secured Parties (together with its successors and permitted assigns,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and [APPLICABLE INTEREST ISSUING COMPANY], a [JURISDICTION OF ORGANIZATION] [ENTITY TYPE]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All capitalized terms used but not otherwise defined herein shall have the meanings assigned to such terms in the Security Agreement (as defined below) or the Loan Agreement (as defined below), as applicable.</w:t>
      </w:r>
    </w:p>
    <w:p>
      <w:pPr>
        <w:spacing w:after="0" w:line="183"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WHEREAS, UROGEN PHARMA,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Collateral Agent, the Lenders and the other parties thereto have entered into that certain Second Amended and Restated Loan Agreement, dated as of February 26, 2026 (as may be amended, restated, amended and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WHEREAS, the Grantor is the registered holder of [DESCRIBE PLEDGED UNCERTIFICATED STOCK] issued by the Issuer (the “</w:t>
      </w:r>
      <w:r>
        <w:rPr>
          <w:rFonts w:ascii="Times New Roman" w:cs="Times New Roman" w:eastAsia="Times New Roman" w:hAnsi="Times New Roman"/>
          <w:sz w:val="18"/>
          <w:szCs w:val="18"/>
          <w:b w:val="1"/>
          <w:bCs w:val="1"/>
          <w:color w:val="auto"/>
        </w:rPr>
        <w:t>Pledged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the Amended and Restated Guaranty and Security Agreement, dated as of February 26, 2026, by and among the Grantor, the Collateral Agent and the other parties thereto (as amended, restated, amended and restated, supplemented or otherwise modified from time to time,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the Grantor has granted a continuing Lien on and security interest (the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in, all of its right, title and interest in, to and under the Pledged Stock (other than Excluded Equity Interests), whether now existing or hereafter arising or acquired; and</w:t>
      </w:r>
    </w:p>
    <w:p>
      <w:pPr>
        <w:spacing w:after="0" w:line="180"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WHEREAS, it is a condition precedent to the making and maintaining of the Term Loans by Lenders under the Loan Agreement that the parties hereto execute and deliver this Agreement in order to perfect a first priority Security Interest in the Pledged Stock.</w:t>
      </w:r>
    </w:p>
    <w:p>
      <w:pPr>
        <w:spacing w:after="0" w:line="162" w:lineRule="exact"/>
        <w:rPr>
          <w:sz w:val="20"/>
          <w:szCs w:val="20"/>
          <w:color w:val="auto"/>
        </w:rPr>
      </w:pPr>
    </w:p>
    <w:p>
      <w:pPr>
        <w:ind w:right="240" w:firstLine="1296"/>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terms and conditions set forth herein, and for other good and valuable consideration, the receipt and sufficiency of which are hereby acknowledged, the parties hereto agree, intending to be legally bound, as follows:</w:t>
      </w:r>
    </w:p>
    <w:p>
      <w:pPr>
        <w:spacing w:after="0" w:line="140" w:lineRule="exact"/>
        <w:rPr>
          <w:sz w:val="20"/>
          <w:szCs w:val="20"/>
          <w:color w:val="auto"/>
        </w:rPr>
      </w:pPr>
    </w:p>
    <w:p>
      <w:pPr>
        <w:ind w:left="1660" w:hanging="356"/>
        <w:spacing w:after="0"/>
        <w:tabs>
          <w:tab w:leader="none" w:pos="1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confirms that:</w:t>
      </w:r>
    </w:p>
    <w:p>
      <w:pPr>
        <w:spacing w:after="0" w:line="225" w:lineRule="exact"/>
        <w:rPr>
          <w:sz w:val="20"/>
          <w:szCs w:val="20"/>
          <w:color w:val="auto"/>
        </w:rPr>
      </w:pPr>
    </w:p>
    <w:p>
      <w:pPr>
        <w:ind w:left="1680" w:hanging="376"/>
        <w:spacing w:after="0"/>
        <w:tabs>
          <w:tab w:leader="none" w:pos="16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Pledged Stock is Equity Interests that are not represented by certificates;</w:t>
      </w:r>
    </w:p>
    <w:p>
      <w:pPr>
        <w:spacing w:after="0" w:line="225" w:lineRule="exact"/>
        <w:rPr>
          <w:rFonts w:ascii="Times New Roman" w:cs="Times New Roman" w:eastAsia="Times New Roman" w:hAnsi="Times New Roman"/>
          <w:sz w:val="18"/>
          <w:szCs w:val="18"/>
          <w:color w:val="auto"/>
        </w:rPr>
      </w:pPr>
    </w:p>
    <w:p>
      <w:pPr>
        <w:ind w:right="240" w:firstLine="1304"/>
        <w:spacing w:after="0" w:line="282" w:lineRule="auto"/>
        <w:tabs>
          <w:tab w:leader="none" w:pos="168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issuer of the Pledged Stock and the Grantor is registered on the books and records of the Issuer as the registered holder of the Pledged Stock; and</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in the Pledged Stock is registered on the books and records of the Issuer.</w:t>
      </w:r>
    </w:p>
    <w:p>
      <w:pPr>
        <w:spacing w:after="0" w:line="225" w:lineRule="exact"/>
        <w:rPr>
          <w:sz w:val="20"/>
          <w:szCs w:val="20"/>
          <w:color w:val="auto"/>
        </w:rPr>
      </w:pPr>
    </w:p>
    <w:p>
      <w:pPr>
        <w:ind w:right="60" w:firstLine="1304"/>
        <w:spacing w:after="0" w:line="266" w:lineRule="auto"/>
        <w:tabs>
          <w:tab w:leader="none" w:pos="160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 hereby irrevocably agrees that, for so long as this Agreement remains in effect, the Collateral Agent, for the benefit of Lenders and the other Secured Parties, shall have exclusive control of the Pledged Stock. In furtherance of such agreement, the Grantor hereby irrevocably authorizes and directs the Issuer, and the Issuer hereby agrees:</w:t>
      </w:r>
    </w:p>
    <w:p>
      <w:pPr>
        <w:spacing w:after="0" w:line="176" w:lineRule="exact"/>
        <w:rPr>
          <w:sz w:val="20"/>
          <w:szCs w:val="20"/>
          <w:color w:val="auto"/>
        </w:rPr>
      </w:pPr>
    </w:p>
    <w:p>
      <w:pPr>
        <w:ind w:right="60" w:firstLine="1304"/>
        <w:spacing w:after="0" w:line="266" w:lineRule="auto"/>
        <w:tabs>
          <w:tab w:leader="none" w:pos="167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to comply with any and all written instructions delivered to the Issuer which directs that the transfer of any or all of the Pledged Stock to the Collateral Agent be registered on the books and records of the Issuer in the name of the Collateral Agent as the holder thereof, for the benefit of Lenders and the other Secured Parties, without further consent by the Grantor or any other Person;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7" w:name="page258"/>
    <w:bookmarkEnd w:id="257"/>
    <w:p>
      <w:pPr>
        <w:ind w:right="40" w:firstLine="1304"/>
        <w:spacing w:after="0" w:line="261" w:lineRule="auto"/>
        <w:tabs>
          <w:tab w:leader="none" w:pos="168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not to comply with any instructions relating to any or all of the Pledged Stock originated by any Person other than the Collateral Agent, on behalf of Lenders and the other Secured Parties, or a court of competent jurisdiction. In the event of any conflict between any instruction originated by the Collateral Agent and any instruction originated by any other Person, the Issuer shall comply only with the instruction originated by the Collateral Agent.</w:t>
      </w:r>
    </w:p>
    <w:p>
      <w:pPr>
        <w:spacing w:after="0" w:line="180" w:lineRule="exact"/>
        <w:rPr>
          <w:sz w:val="20"/>
          <w:szCs w:val="20"/>
          <w:color w:val="auto"/>
        </w:rPr>
      </w:pPr>
    </w:p>
    <w:p>
      <w:pPr>
        <w:ind w:right="300" w:firstLine="1304"/>
        <w:spacing w:after="0" w:line="282" w:lineRule="auto"/>
        <w:tabs>
          <w:tab w:leader="none" w:pos="161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 in lieu of, the obligation of the Issuer to honor instructions as agreed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Issuer and the Collateral Agent hereby agree as follows:</w:t>
      </w:r>
    </w:p>
    <w:p>
      <w:pPr>
        <w:spacing w:after="0" w:line="162" w:lineRule="exact"/>
        <w:rPr>
          <w:sz w:val="20"/>
          <w:szCs w:val="20"/>
          <w:color w:val="auto"/>
        </w:rPr>
      </w:pPr>
    </w:p>
    <w:p>
      <w:pPr>
        <w:ind w:right="200" w:firstLine="1304"/>
        <w:spacing w:after="0" w:line="282" w:lineRule="auto"/>
        <w:tabs>
          <w:tab w:leader="none" w:pos="167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Grantor described herein, the Issuer agrees that, from and after the date hereof, the Pledged Stock shall be under the exclusive dominion and control of the Collateral Agent;</w:t>
      </w:r>
    </w:p>
    <w:p>
      <w:pPr>
        <w:spacing w:after="0" w:line="161" w:lineRule="exact"/>
        <w:rPr>
          <w:rFonts w:ascii="Times New Roman" w:cs="Times New Roman" w:eastAsia="Times New Roman" w:hAnsi="Times New Roman"/>
          <w:sz w:val="18"/>
          <w:szCs w:val="18"/>
          <w:color w:val="auto"/>
        </w:rPr>
      </w:pPr>
    </w:p>
    <w:p>
      <w:pPr>
        <w:ind w:right="40" w:firstLine="1304"/>
        <w:spacing w:after="0" w:line="258" w:lineRule="auto"/>
        <w:tabs>
          <w:tab w:leader="none" w:pos="168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Issuer has not received a written notice from the Collateral Agent that it is exercising exclusive control over the Pledged Stock (a “</w:t>
      </w:r>
      <w:r>
        <w:rPr>
          <w:rFonts w:ascii="Times New Roman" w:cs="Times New Roman" w:eastAsia="Times New Roman" w:hAnsi="Times New Roman"/>
          <w:sz w:val="18"/>
          <w:szCs w:val="18"/>
          <w:b w:val="1"/>
          <w:bCs w:val="1"/>
          <w:color w:val="auto"/>
        </w:rPr>
        <w:t>Notice of Exclusive Control</w:t>
      </w:r>
      <w:r>
        <w:rPr>
          <w:rFonts w:ascii="Times New Roman" w:cs="Times New Roman" w:eastAsia="Times New Roman" w:hAnsi="Times New Roman"/>
          <w:sz w:val="18"/>
          <w:szCs w:val="18"/>
          <w:color w:val="auto"/>
        </w:rPr>
        <w:t>”), the Issuer may comply with instructions of the Grantor concerning the Pledged Stock, which Notice of Exclusive Control shall only be given by the Collateral Agent following the occurrence and during the continuance of an Event of Default. After the Issuer receives a Notice of Exclusive Control from the Collateral Agent, the Issuer will not accept any instructions concerning the Pledged Stock from any Person other than the Collateral Agent, unless otherwise ordered by a court of competent jurisdiction; and</w:t>
      </w:r>
    </w:p>
    <w:p>
      <w:pPr>
        <w:spacing w:after="0" w:line="183"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Issuer receives a Notice of Exclusive Control, the Grantor shall be entitled to direct the Issuer with respect to voting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Stock.</w:t>
      </w:r>
    </w:p>
    <w:p>
      <w:pPr>
        <w:spacing w:after="0" w:line="207" w:lineRule="exact"/>
        <w:rPr>
          <w:sz w:val="20"/>
          <w:szCs w:val="20"/>
          <w:color w:val="auto"/>
        </w:rPr>
      </w:pPr>
    </w:p>
    <w:p>
      <w:pPr>
        <w:ind w:right="240" w:firstLine="1304"/>
        <w:spacing w:after="0" w:line="266" w:lineRule="auto"/>
        <w:tabs>
          <w:tab w:leader="none" w:pos="160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subject the Issuer to any obligation or liability except as expressly set forth herein and under any Requirements of Law. In particular, the Issuer need not investigate whether the Collateral Agent is entitled under the Security Agreement or otherwise to give an instruction or Notice of Exclusive Control.</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warrants and covenants with the Collateral Agent that:</w:t>
      </w:r>
    </w:p>
    <w:p>
      <w:pPr>
        <w:spacing w:after="0" w:line="225" w:lineRule="exact"/>
        <w:rPr>
          <w:sz w:val="20"/>
          <w:szCs w:val="20"/>
          <w:color w:val="auto"/>
        </w:rPr>
      </w:pPr>
    </w:p>
    <w:p>
      <w:pPr>
        <w:ind w:right="80" w:firstLine="1304"/>
        <w:spacing w:after="0" w:line="266" w:lineRule="auto"/>
        <w:tabs>
          <w:tab w:leader="none" w:pos="167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Issuer and constitutes a legal, valid and binding obligation of the Issuer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spacing w:after="0" w:line="175" w:lineRule="exact"/>
        <w:rPr>
          <w:rFonts w:ascii="Times New Roman" w:cs="Times New Roman" w:eastAsia="Times New Roman" w:hAnsi="Times New Roman"/>
          <w:sz w:val="18"/>
          <w:szCs w:val="18"/>
          <w:color w:val="auto"/>
        </w:rPr>
      </w:pPr>
    </w:p>
    <w:p>
      <w:pPr>
        <w:ind w:firstLine="1304"/>
        <w:spacing w:after="0" w:line="261" w:lineRule="auto"/>
        <w:tabs>
          <w:tab w:leader="none" w:pos="168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has not entered into, and until termination of this Agreement will not enter into, any agreement with any other Person relating to the Pledged Stock pursuant to which it has agreed, or will agree, to comply with instructions provided by such Person. The Issuer has not entered into any other agreement with the Grantor purporting to limit or condition the obligation of the Issuer to comply with instructions as agreed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auto"/>
        </w:rPr>
      </w:pPr>
    </w:p>
    <w:p>
      <w:pPr>
        <w:ind w:right="180" w:firstLine="1304"/>
        <w:spacing w:after="0" w:line="261" w:lineRule="auto"/>
        <w:tabs>
          <w:tab w:leader="none" w:pos="167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claims and interests of the Collateral Agent, on behalf of Lenders and the other Secured Parties, and the Grantor in the Pledged Stock, the Issuer does not know of any claim to, or interest in, the Pledged Stock (except to the extent constituting Permitted Liens). If any Person asserts any Lien or adverse claim (including any writ, garnishment, judgment, attachment, execution or similar process) against the Pledged Stock (other than Permitted Liens), the Issuer will promptly notify the Collateral Agent and the Grantor thereof;</w:t>
      </w:r>
    </w:p>
    <w:p>
      <w:pPr>
        <w:spacing w:after="0" w:line="179" w:lineRule="exact"/>
        <w:rPr>
          <w:rFonts w:ascii="Times New Roman" w:cs="Times New Roman" w:eastAsia="Times New Roman" w:hAnsi="Times New Roman"/>
          <w:sz w:val="18"/>
          <w:szCs w:val="18"/>
          <w:color w:val="auto"/>
        </w:rPr>
      </w:pPr>
    </w:p>
    <w:p>
      <w:pPr>
        <w:ind w:right="240" w:firstLine="1304"/>
        <w:spacing w:after="0" w:line="261" w:lineRule="auto"/>
        <w:tabs>
          <w:tab w:leader="none" w:pos="168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agreement (except this Agreement) between the Issuer and the Grantor or among the Issuer, the Grantor and any third Person with respect to the Pledged Stock [except for [IDENTIFY RELEVANT AGREEMENTS] (the “</w:t>
      </w:r>
      <w:r>
        <w:rPr>
          <w:rFonts w:ascii="Times New Roman" w:cs="Times New Roman" w:eastAsia="Times New Roman" w:hAnsi="Times New Roman"/>
          <w:sz w:val="18"/>
          <w:szCs w:val="18"/>
          <w:b w:val="1"/>
          <w:bCs w:val="1"/>
          <w:color w:val="auto"/>
        </w:rPr>
        <w:t>Existing Agreements</w:t>
      </w:r>
      <w:r>
        <w:rPr>
          <w:rFonts w:ascii="Times New Roman" w:cs="Times New Roman" w:eastAsia="Times New Roman" w:hAnsi="Times New Roman"/>
          <w:sz w:val="18"/>
          <w:szCs w:val="18"/>
          <w:color w:val="auto"/>
        </w:rPr>
        <w:t>”)]. In the event of any conflict between this Agreement (or any portion hereof) and any other such agreement (including any Existing Agreement) with respect to the Pledged Stock, whether now existing or hereafter entered into, the terms of this Agreement shall prevail; and</w:t>
      </w:r>
    </w:p>
    <w:p>
      <w:pPr>
        <w:spacing w:after="0" w:line="179" w:lineRule="exact"/>
        <w:rPr>
          <w:rFonts w:ascii="Times New Roman" w:cs="Times New Roman" w:eastAsia="Times New Roman" w:hAnsi="Times New Roman"/>
          <w:sz w:val="18"/>
          <w:szCs w:val="18"/>
          <w:color w:val="auto"/>
        </w:rPr>
      </w:pPr>
    </w:p>
    <w:p>
      <w:pPr>
        <w:ind w:right="180" w:firstLine="1304"/>
        <w:spacing w:after="0" w:line="282" w:lineRule="auto"/>
        <w:tabs>
          <w:tab w:leader="none" w:pos="167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by the Grantor of the Security Interest in the Pledged Stock to the Collateral Agent for the benefit of Lenders and the other Secured Parties does not violate the Operating Documents or any other agreement governing the Issuer or the Pledged Stock.</w:t>
      </w:r>
    </w:p>
    <w:p>
      <w:pPr>
        <w:spacing w:after="0" w:line="162"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This Agreement shall be binding upon, and shall inure to the benefit of, the parties hereto and their respective successors and assigns.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8" w:name="page259"/>
    <w:bookmarkEnd w:id="258"/>
    <w:p>
      <w:pPr>
        <w:ind w:left="-20" w:right="180" w:firstLine="1304"/>
        <w:spacing w:after="0" w:line="282" w:lineRule="auto"/>
        <w:tabs>
          <w:tab w:leader="none" w:pos="159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request or other communication to a party hereto under this Agreement shall be in writing, will be sent to such party’s address set forth under its name below or to such other address as such party may notify the other parties hereto and will be effective on receipt.</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9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modification of this Agreement or waiver of any right hereunder shall be binding on any party hereto unless it is in writing and is signed by all the parties hereto.</w:t>
      </w:r>
    </w:p>
    <w:p>
      <w:pPr>
        <w:spacing w:after="0" w:line="161" w:lineRule="exact"/>
        <w:rPr>
          <w:rFonts w:ascii="Times New Roman" w:cs="Times New Roman" w:eastAsia="Times New Roman" w:hAnsi="Times New Roman"/>
          <w:sz w:val="18"/>
          <w:szCs w:val="18"/>
          <w:color w:val="auto"/>
        </w:rPr>
      </w:pPr>
    </w:p>
    <w:p>
      <w:pPr>
        <w:ind w:left="-20" w:firstLine="1304"/>
        <w:spacing w:after="0" w:line="261" w:lineRule="auto"/>
        <w:tabs>
          <w:tab w:leader="none" w:pos="158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powers granted herein to the Collateral Agent (a) have been granted in order to perfect the Security Interest in the Pledged Stock, (b) are powers coupled with an interest and (c) will not be affected by any bankruptcy of the Grantor or any lapse in time. The obligations of the Issuer hereunder shall continue in effect until the Collateral Agent has notified the Issuer in writing that the Security Interest in the Pledged Stock has been terminated pursuant to the Security Agreement.</w:t>
      </w:r>
    </w:p>
    <w:p>
      <w:pPr>
        <w:spacing w:after="0" w:line="179" w:lineRule="exact"/>
        <w:rPr>
          <w:rFonts w:ascii="Times New Roman" w:cs="Times New Roman" w:eastAsia="Times New Roman" w:hAnsi="Times New Roman"/>
          <w:sz w:val="18"/>
          <w:szCs w:val="18"/>
          <w:color w:val="auto"/>
        </w:rPr>
      </w:pPr>
    </w:p>
    <w:p>
      <w:pPr>
        <w:ind w:left="-20" w:firstLine="1304"/>
        <w:spacing w:after="0" w:line="256" w:lineRule="auto"/>
        <w:tabs>
          <w:tab w:leader="none" w:pos="16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[ISSUER’S JURISDICTION OF ORGANIZATION], WITHOUT REGARD TO ANY PRINCIPLES OF CONFLICTS OF LAW THAT COULD REQUIRE THE APPLICATION OF THE LAW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LAWS OF ANY JURISDICTION OTHER THAN [ISSUER’S JURISDICTION OF ORGANIZATION] SHALL GOVERN IN REGARD TO THE VALIDITY, PERFECTION OR EFFECT OF PERFECTION OF ANY LIEN OR IN REGARD TO PROCEDURAL MATTERS AFFECTING ENFORCEMENT OF ANY LIENS IN THE PLEDGED STOCK, SUCH LAWS OF SUCH OTHER JURISDICTIONS SHALL APPLY TO THAT EXTENT].</w:t>
      </w:r>
    </w:p>
    <w:p>
      <w:pPr>
        <w:spacing w:after="0" w:line="187" w:lineRule="exact"/>
        <w:rPr>
          <w:rFonts w:ascii="Times New Roman" w:cs="Times New Roman" w:eastAsia="Times New Roman" w:hAnsi="Times New Roman"/>
          <w:sz w:val="18"/>
          <w:szCs w:val="18"/>
          <w:color w:val="auto"/>
        </w:rPr>
      </w:pPr>
    </w:p>
    <w:p>
      <w:pPr>
        <w:ind w:left="-20" w:right="280" w:firstLine="1304"/>
        <w:spacing w:after="0" w:line="266" w:lineRule="auto"/>
        <w:tabs>
          <w:tab w:leader="none" w:pos="167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ind w:left="-20" w:right="200" w:firstLine="1304"/>
        <w:spacing w:after="0" w:line="261" w:lineRule="auto"/>
        <w:tabs>
          <w:tab w:leader="none" w:pos="16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259" w:name="page260"/>
    <w:bookmarkEnd w:id="259"/>
    <w:p>
      <w:pPr>
        <w:jc w:val="right"/>
        <w:ind w:right="959"/>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[GRANTOR]</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[SIGNATURE PAGE TO UNCERTIFICATED STOCK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60" w:name="page261"/>
    <w:bookmarkEnd w:id="260"/>
    <w:p>
      <w:pPr>
        <w:ind w:left="5160"/>
        <w:spacing w:after="0"/>
        <w:rPr>
          <w:sz w:val="20"/>
          <w:szCs w:val="20"/>
          <w:color w:val="auto"/>
        </w:rPr>
      </w:pPr>
      <w:r>
        <w:rPr>
          <w:rFonts w:ascii="Times New Roman" w:cs="Times New Roman" w:eastAsia="Times New Roman" w:hAnsi="Times New Roman"/>
          <w:sz w:val="18"/>
          <w:szCs w:val="18"/>
          <w:color w:val="auto"/>
        </w:rPr>
        <w:t>[ISSUER]</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color w:val="auto"/>
        </w:rPr>
        <w:t>[SIGNATURE PAGE TO UNCERTIFICATED STOCK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61" w:name="page262"/>
    <w:bookmarkEnd w:id="261"/>
    <w:p>
      <w:pPr>
        <w:ind w:left="5620"/>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public limited company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19888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MUFG Corporate Governance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Lime Street</w:t>
      </w:r>
    </w:p>
    <w:p>
      <w:pPr>
        <w:spacing w:after="0" w:line="181" w:lineRule="auto"/>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EC3M 7DQ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biopharmacreditplc@cm.mpms.mufg.com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Credit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Pharmakon Advisors,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 2800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+1 (917) 210-4048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pharmakon@pharmakonadvisors.com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+1 (212) 872-1002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gsecol@akingump.com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color w:val="auto"/>
        </w:rPr>
        <w:t>[SIGNATURE PAGE TO UNCERTIFICATED STOCK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NOTICE ADDRESSES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52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Lender</w:t>
            </w:r>
          </w:p>
        </w:tc>
        <w:tc>
          <w:tcPr>
            <w:tcW w:w="2700" w:type="dxa"/>
            <w:vAlign w:val="bottom"/>
            <w:tcBorders>
              <w:top w:val="single" w:sz="8" w:color="auto"/>
              <w:right w:val="single" w:sz="8" w:color="auto"/>
            </w:tcBorders>
            <w:gridSpan w:val="3"/>
          </w:tcPr>
          <w:p>
            <w:pPr>
              <w:ind w:left="100"/>
              <w:spacing w:after="0" w:line="192" w:lineRule="exact"/>
              <w:rPr>
                <w:sz w:val="20"/>
                <w:szCs w:val="20"/>
                <w:color w:val="auto"/>
              </w:rPr>
            </w:pPr>
            <w:r>
              <w:rPr>
                <w:rFonts w:ascii="Times New Roman" w:cs="Times New Roman" w:eastAsia="Times New Roman" w:hAnsi="Times New Roman"/>
                <w:sz w:val="18"/>
                <w:szCs w:val="18"/>
                <w:color w:val="auto"/>
              </w:rPr>
              <w:t>Commitments</w:t>
            </w:r>
          </w:p>
        </w:tc>
        <w:tc>
          <w:tcPr>
            <w:tcW w:w="6040" w:type="dxa"/>
            <w:vAlign w:val="bottom"/>
            <w:tcBorders>
              <w:top w:val="single" w:sz="8" w:color="auto"/>
              <w:right w:val="single" w:sz="8" w:color="auto"/>
            </w:tcBorders>
            <w:gridSpan w:val="3"/>
          </w:tcPr>
          <w:p>
            <w:pPr>
              <w:ind w:left="100"/>
              <w:spacing w:after="0" w:line="192" w:lineRule="exact"/>
              <w:rPr>
                <w:sz w:val="20"/>
                <w:szCs w:val="20"/>
                <w:color w:val="auto"/>
              </w:rPr>
            </w:pPr>
            <w:r>
              <w:rPr>
                <w:rFonts w:ascii="Times New Roman" w:cs="Times New Roman" w:eastAsia="Times New Roman" w:hAnsi="Times New Roman"/>
                <w:sz w:val="18"/>
                <w:szCs w:val="18"/>
                <w:color w:val="auto"/>
              </w:rPr>
              <w:t>Notice Address</w:t>
            </w:r>
          </w:p>
        </w:tc>
      </w:tr>
      <w:tr>
        <w:trPr>
          <w:trHeight w:val="253"/>
        </w:trPr>
        <w:tc>
          <w:tcPr>
            <w:tcW w:w="252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spacing w:after="0"/>
              <w:rPr>
                <w:sz w:val="22"/>
                <w:szCs w:val="22"/>
                <w:color w:val="auto"/>
              </w:rPr>
            </w:pPr>
          </w:p>
        </w:tc>
      </w:tr>
      <w:tr>
        <w:trPr>
          <w:trHeight w:val="174"/>
        </w:trPr>
        <w:tc>
          <w:tcPr>
            <w:tcW w:w="2520" w:type="dxa"/>
            <w:vAlign w:val="bottom"/>
            <w:tcBorders>
              <w:left w:val="single" w:sz="8" w:color="auto"/>
              <w:right w:val="single" w:sz="8" w:color="auto"/>
            </w:tcBorders>
          </w:tcPr>
          <w:p>
            <w:pPr>
              <w:ind w:left="120"/>
              <w:spacing w:after="0" w:line="175" w:lineRule="exact"/>
              <w:rPr>
                <w:sz w:val="20"/>
                <w:szCs w:val="20"/>
                <w:color w:val="auto"/>
              </w:rPr>
            </w:pPr>
            <w:r>
              <w:rPr>
                <w:rFonts w:ascii="Times New Roman" w:cs="Times New Roman" w:eastAsia="Times New Roman" w:hAnsi="Times New Roman"/>
                <w:sz w:val="18"/>
                <w:szCs w:val="18"/>
                <w:color w:val="auto"/>
              </w:rPr>
              <w:t>BPCR Limited Partnership</w:t>
            </w:r>
          </w:p>
        </w:tc>
        <w:tc>
          <w:tcPr>
            <w:tcW w:w="2700" w:type="dxa"/>
            <w:vAlign w:val="bottom"/>
            <w:tcBorders>
              <w:right w:val="single" w:sz="8" w:color="auto"/>
            </w:tcBorders>
            <w:gridSpan w:val="3"/>
          </w:tcPr>
          <w:p>
            <w:pPr>
              <w:ind w:left="100"/>
              <w:spacing w:after="0" w:line="175" w:lineRule="exact"/>
              <w:rPr>
                <w:sz w:val="20"/>
                <w:szCs w:val="20"/>
                <w:color w:val="auto"/>
              </w:rPr>
            </w:pPr>
            <w:r>
              <w:rPr>
                <w:rFonts w:ascii="Times New Roman" w:cs="Times New Roman" w:eastAsia="Times New Roman" w:hAnsi="Times New Roman"/>
                <w:sz w:val="18"/>
                <w:szCs w:val="18"/>
                <w:color w:val="auto"/>
              </w:rPr>
              <w:t>Tranche A Commitment:</w:t>
            </w:r>
          </w:p>
        </w:tc>
        <w:tc>
          <w:tcPr>
            <w:tcW w:w="6040" w:type="dxa"/>
            <w:vAlign w:val="bottom"/>
            <w:tcBorders>
              <w:right w:val="single" w:sz="8" w:color="auto"/>
            </w:tcBorders>
            <w:gridSpan w:val="3"/>
          </w:tcPr>
          <w:p>
            <w:pPr>
              <w:ind w:left="100"/>
              <w:spacing w:after="0" w:line="175" w:lineRule="exact"/>
              <w:rPr>
                <w:sz w:val="20"/>
                <w:szCs w:val="20"/>
                <w:color w:val="auto"/>
              </w:rPr>
            </w:pPr>
            <w:r>
              <w:rPr>
                <w:rFonts w:ascii="Times New Roman" w:cs="Times New Roman" w:eastAsia="Times New Roman" w:hAnsi="Times New Roman"/>
                <w:sz w:val="18"/>
                <w:szCs w:val="18"/>
                <w:color w:val="auto"/>
              </w:rPr>
              <w:t>BPCR LIMITED PARTNERSHIP</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$100,000,000.00</w:t>
            </w: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 MUFG Corporate Governance Limited</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51 Lime Street</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Tranche B Commitment:</w:t>
            </w:r>
          </w:p>
        </w:tc>
        <w:tc>
          <w:tcPr>
            <w:tcW w:w="604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$25,000,000.00</w:t>
            </w: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London, United Kingdom</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EC3M 7DQ</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Attn: Company Secretary</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Email: biopharmacreditplc@cm.mpms.mufg.com</w:t>
            </w:r>
          </w:p>
        </w:tc>
      </w:tr>
      <w:tr>
        <w:trPr>
          <w:trHeight w:val="432"/>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tc>
      </w:tr>
      <w:tr>
        <w:trPr>
          <w:trHeight w:val="414"/>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PHARMAKON ADVISORS, LP</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110 East 59th Street, #2800</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Attn: Pedro Gonzalez de Cosio</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Facsimile: +1 (917) 210-4048</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Email: pharmakon@pharmakonadvisors.com</w:t>
            </w:r>
          </w:p>
        </w:tc>
      </w:tr>
      <w:tr>
        <w:trPr>
          <w:trHeight w:val="432"/>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w:t>
            </w:r>
          </w:p>
        </w:tc>
      </w:tr>
      <w:tr>
        <w:trPr>
          <w:trHeight w:val="414"/>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AKIN GUMP STRAUSS HAUER &amp; FELD LLP</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10036-6745</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Attn: Geoffrey E. Secol</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Facsimile: +1 (212) 872-1002</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Email: gsecol@akingump.com</w:t>
            </w:r>
          </w:p>
        </w:tc>
      </w:tr>
      <w:tr>
        <w:trPr>
          <w:trHeight w:val="216"/>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r>
      <w:tr>
        <w:trPr>
          <w:trHeight w:val="191"/>
        </w:trPr>
        <w:tc>
          <w:tcPr>
            <w:tcW w:w="2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BioPharma Credit</w:t>
            </w:r>
          </w:p>
        </w:tc>
        <w:tc>
          <w:tcPr>
            <w:tcW w:w="270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Tranche A Commitment:</w:t>
            </w:r>
          </w:p>
        </w:tc>
        <w:tc>
          <w:tcPr>
            <w:tcW w:w="60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BIOPHARMA CREDIT INVESTMENTS V (MASTER)</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 V</w:t>
            </w: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$100,000,000.00</w:t>
            </w: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LP</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LP</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 BioPharma Credit Investments V GP LLC</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Tranche B Commitment:</w:t>
            </w: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 Walkers Corporate Limited</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$25,000,000</w:t>
            </w: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190 Elgin Avenue,</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George Town</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Grand Cayman KY1-9008</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Attn: Pedro Gonzalez de Cosio</w:t>
            </w:r>
          </w:p>
        </w:tc>
      </w:tr>
      <w:tr>
        <w:trPr>
          <w:trHeight w:val="432"/>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tc>
      </w:tr>
      <w:tr>
        <w:trPr>
          <w:trHeight w:val="414"/>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PHARMAKON ADVISORS, LP</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110 East 59th Street, #2800</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Attn: Pedro Gonzalez de Cosio</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Facsimile: +1 (917) 210-4048</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Email: pharmakon@pharmakonadvisors.com</w:t>
            </w:r>
          </w:p>
        </w:tc>
      </w:tr>
      <w:tr>
        <w:trPr>
          <w:trHeight w:val="432"/>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w:t>
            </w:r>
          </w:p>
        </w:tc>
      </w:tr>
      <w:tr>
        <w:trPr>
          <w:trHeight w:val="414"/>
        </w:trPr>
        <w:tc>
          <w:tcPr>
            <w:tcW w:w="25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AKIN GUMP STRAUSS HAUER &amp; FELD LLP</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10036-6745</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Attn: Geoffrey E. Secol</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Facsimile: +1 (212) 872-1002</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Email: gsecol@akingump.com</w:t>
            </w:r>
          </w:p>
        </w:tc>
      </w:tr>
      <w:tr>
        <w:trPr>
          <w:trHeight w:val="216"/>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r>
      <w:tr>
        <w:trPr>
          <w:trHeight w:val="568"/>
        </w:trPr>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CERTIFICATE</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BIOPHARMA CREDIT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UROGEN PHARMA LTD.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authorized officer of UROGEN PHARMA LTD., a company incorporated in Israel with company registration number 513537621, hereby certifies, solely in his/her capacity as a Responsible Officer of UroGen Pharma Ltd. and not in his/her personal capacity, that in accordance with the terms and conditions of the Second Amended and Restated Loan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capitalized terms used, but not defined herein having the meanings given them in the Loan Agreement) dated as of February 26, 2026 by and among UROGEN PHARMA, INC.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UroGen Pharma Ltd. (as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a Guarantor), the other Guarantors from time to time party thereto, BIOPHARMA CREDIT PLC, a public limited company incorporated under the laws of England and Wales with company number 10443190 (as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and the Lenders:</w:t>
      </w:r>
    </w:p>
    <w:p>
      <w:pPr>
        <w:spacing w:after="0" w:line="187" w:lineRule="exact"/>
        <w:rPr>
          <w:sz w:val="20"/>
          <w:szCs w:val="20"/>
          <w:color w:val="auto"/>
        </w:rPr>
      </w:pPr>
    </w:p>
    <w:p>
      <w:pPr>
        <w:ind w:left="580" w:hanging="572"/>
        <w:spacing w:after="0"/>
        <w:tabs>
          <w:tab w:leader="none" w:pos="5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are in complete compliance for the period ending _________________ with all required covenants except as noted below;</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except as noted below;</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65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and each of its Subsidiaries has timely filed all U.S. federal income Tax returns and other material Tax returns and reports (or extensions thereof) of each Credit Party and each of its Subsidiaries required to be filed by any of them and such returns and reports are correct in all material respects, and has timely paid all material Taxes owed which are due and payable by such Credit Party or Subsidiary or upon their respective properties, assets, income, businesses and franchises, except as otherwise permitted pursuant to the terms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Loan Agreement; and</w:t>
      </w:r>
    </w:p>
    <w:p>
      <w:pPr>
        <w:spacing w:after="0" w:line="183" w:lineRule="exact"/>
        <w:rPr>
          <w:rFonts w:ascii="Times New Roman" w:cs="Times New Roman" w:eastAsia="Times New Roman" w:hAnsi="Times New Roman"/>
          <w:sz w:val="18"/>
          <w:szCs w:val="18"/>
          <w:color w:val="auto"/>
        </w:rPr>
      </w:pPr>
    </w:p>
    <w:p>
      <w:pPr>
        <w:ind w:right="320" w:firstLine="8"/>
        <w:spacing w:after="0" w:line="282" w:lineRule="auto"/>
        <w:tabs>
          <w:tab w:leader="none" w:pos="6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have been levied or claims made against any Credit Party or any of its Subsidiaries relating to unpaid employee payroll or benefits of which (a) such Credit Party has not previously provided written notification to the Collateral Agent or (b) which do not constitute Permitted Liens.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Attached are the required documents, if any, supporting our certification(s). The undersigned Responsible Officer on behalf of Parent further certifies that the attached financial statements (which shall not be attached if such financial statements are deemed delivered by filing with the SEC on Form 10-Q or 10-K as applicable) fairly present, in all material respects, the consolidated financial condition, results of operations and cash flows of Parent and its Subsidiaries as of applicable the dates and for the applicable periods in accordance with Applicable Accounting Standards consistently applied.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color w:val="auto"/>
        </w:rPr>
        <w:t>UROGEN PHARMA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Parent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489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color w:val="auto"/>
        </w:rPr>
        <w:t xml:space="preserve">Please indicate compliance status since the last Compliance Certificate by circling Yes, No, or N/A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column.</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Reporting Covenant</w:t>
            </w:r>
          </w:p>
        </w:tc>
        <w:tc>
          <w:tcPr>
            <w:tcW w:w="240" w:type="dxa"/>
            <w:vAlign w:val="bottom"/>
          </w:tcPr>
          <w:p>
            <w:pPr>
              <w:spacing w:after="0"/>
              <w:rPr>
                <w:sz w:val="20"/>
                <w:szCs w:val="20"/>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Complies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1)</w:t>
            </w:r>
          </w:p>
        </w:tc>
        <w:tc>
          <w:tcPr>
            <w:tcW w:w="580" w:type="dxa"/>
            <w:vAlign w:val="bottom"/>
          </w:tcPr>
          <w:p>
            <w:pPr>
              <w:spacing w:after="0"/>
              <w:rPr>
                <w:sz w:val="24"/>
                <w:szCs w:val="24"/>
                <w:color w:val="auto"/>
              </w:rPr>
            </w:pP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Annual Financial Statements</w:t>
            </w:r>
          </w:p>
        </w:tc>
        <w:tc>
          <w:tcPr>
            <w:tcW w:w="240" w:type="dxa"/>
            <w:vAlign w:val="bottom"/>
          </w:tcPr>
          <w:p>
            <w:pPr>
              <w:spacing w:after="0"/>
              <w:rPr>
                <w:sz w:val="24"/>
                <w:szCs w:val="24"/>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90 days after year end</w:t>
            </w:r>
          </w:p>
        </w:tc>
        <w:tc>
          <w:tcPr>
            <w:tcW w:w="7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60" w:type="dxa"/>
            <w:vAlign w:val="bottom"/>
          </w:tcPr>
          <w:p>
            <w:pPr>
              <w:spacing w:after="0"/>
              <w:rPr>
                <w:sz w:val="24"/>
                <w:szCs w:val="24"/>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No</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2)</w:t>
            </w:r>
          </w:p>
        </w:tc>
        <w:tc>
          <w:tcPr>
            <w:tcW w:w="580" w:type="dxa"/>
            <w:vAlign w:val="bottom"/>
          </w:tcPr>
          <w:p>
            <w:pPr>
              <w:spacing w:after="0"/>
              <w:rPr>
                <w:sz w:val="24"/>
                <w:szCs w:val="24"/>
                <w:color w:val="auto"/>
              </w:rPr>
            </w:pP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240" w:type="dxa"/>
            <w:vAlign w:val="bottom"/>
          </w:tcPr>
          <w:p>
            <w:pPr>
              <w:spacing w:after="0"/>
              <w:rPr>
                <w:sz w:val="24"/>
                <w:szCs w:val="24"/>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45 days after quarter end</w:t>
            </w:r>
          </w:p>
        </w:tc>
        <w:tc>
          <w:tcPr>
            <w:tcW w:w="7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60" w:type="dxa"/>
            <w:vAlign w:val="bottom"/>
          </w:tcPr>
          <w:p>
            <w:pPr>
              <w:spacing w:after="0"/>
              <w:rPr>
                <w:sz w:val="24"/>
                <w:szCs w:val="24"/>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No</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3)</w:t>
            </w:r>
          </w:p>
        </w:tc>
        <w:tc>
          <w:tcPr>
            <w:tcW w:w="580" w:type="dxa"/>
            <w:vAlign w:val="bottom"/>
          </w:tcPr>
          <w:p>
            <w:pPr>
              <w:spacing w:after="0"/>
              <w:rPr>
                <w:sz w:val="24"/>
                <w:szCs w:val="24"/>
                <w:color w:val="auto"/>
              </w:rPr>
            </w:pP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240" w:type="dxa"/>
            <w:vAlign w:val="bottom"/>
          </w:tcPr>
          <w:p>
            <w:pPr>
              <w:spacing w:after="0"/>
              <w:rPr>
                <w:sz w:val="24"/>
                <w:szCs w:val="24"/>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 Business Days after request</w:t>
            </w:r>
          </w:p>
        </w:tc>
        <w:tc>
          <w:tcPr>
            <w:tcW w:w="7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60" w:type="dxa"/>
            <w:vAlign w:val="bottom"/>
          </w:tcPr>
          <w:p>
            <w:pPr>
              <w:spacing w:after="0"/>
              <w:rPr>
                <w:sz w:val="24"/>
                <w:szCs w:val="24"/>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No</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4)</w:t>
            </w:r>
          </w:p>
        </w:tc>
        <w:tc>
          <w:tcPr>
            <w:tcW w:w="580" w:type="dxa"/>
            <w:vAlign w:val="bottom"/>
          </w:tcPr>
          <w:p>
            <w:pPr>
              <w:spacing w:after="0"/>
              <w:rPr>
                <w:sz w:val="24"/>
                <w:szCs w:val="24"/>
                <w:color w:val="auto"/>
              </w:rPr>
            </w:pP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Legal Action Notice</w:t>
            </w:r>
          </w:p>
        </w:tc>
        <w:tc>
          <w:tcPr>
            <w:tcW w:w="240" w:type="dxa"/>
            <w:vAlign w:val="bottom"/>
          </w:tcPr>
          <w:p>
            <w:pPr>
              <w:spacing w:after="0"/>
              <w:rPr>
                <w:sz w:val="24"/>
                <w:szCs w:val="24"/>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Promptly</w:t>
            </w:r>
          </w:p>
        </w:tc>
        <w:tc>
          <w:tcPr>
            <w:tcW w:w="7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60" w:type="dxa"/>
            <w:vAlign w:val="bottom"/>
          </w:tcPr>
          <w:p>
            <w:pPr>
              <w:spacing w:after="0"/>
              <w:rPr>
                <w:sz w:val="24"/>
                <w:szCs w:val="24"/>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No</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5)</w:t>
            </w:r>
          </w:p>
        </w:tc>
        <w:tc>
          <w:tcPr>
            <w:tcW w:w="580" w:type="dxa"/>
            <w:vAlign w:val="bottom"/>
          </w:tcPr>
          <w:p>
            <w:pPr>
              <w:spacing w:after="0"/>
              <w:rPr>
                <w:sz w:val="24"/>
                <w:szCs w:val="24"/>
                <w:color w:val="auto"/>
              </w:rPr>
            </w:pP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Notice of Default, etc.</w:t>
            </w:r>
          </w:p>
        </w:tc>
        <w:tc>
          <w:tcPr>
            <w:tcW w:w="240" w:type="dxa"/>
            <w:vAlign w:val="bottom"/>
          </w:tcPr>
          <w:p>
            <w:pPr>
              <w:spacing w:after="0"/>
              <w:rPr>
                <w:sz w:val="24"/>
                <w:szCs w:val="24"/>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Promptly (within 5 Business Days) after</w:t>
            </w:r>
          </w:p>
        </w:tc>
        <w:tc>
          <w:tcPr>
            <w:tcW w:w="7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60" w:type="dxa"/>
            <w:vAlign w:val="bottom"/>
          </w:tcPr>
          <w:p>
            <w:pPr>
              <w:spacing w:after="0"/>
              <w:rPr>
                <w:sz w:val="24"/>
                <w:szCs w:val="24"/>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No</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knowledge</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6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Deposit and Securities Accounts</w:t>
            </w:r>
          </w:p>
        </w:tc>
        <w:tc>
          <w:tcPr>
            <w:tcW w:w="240" w:type="dxa"/>
            <w:vAlign w:val="bottom"/>
          </w:tcPr>
          <w:p>
            <w:pPr>
              <w:spacing w:after="0"/>
              <w:rPr>
                <w:sz w:val="24"/>
                <w:szCs w:val="24"/>
                <w:color w:val="auto"/>
              </w:rPr>
            </w:pPr>
          </w:p>
        </w:tc>
        <w:tc>
          <w:tcPr>
            <w:tcW w:w="5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(Please list all accounts and indicate each Excluded Account with</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an asterisk (*); attach separate sheet if additional space needed)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Acct Control</w:t>
            </w:r>
          </w:p>
        </w:tc>
        <w:tc>
          <w:tcPr>
            <w:tcW w:w="0" w:type="dxa"/>
            <w:vAlign w:val="bottom"/>
          </w:tcPr>
          <w:p>
            <w:pPr>
              <w:spacing w:after="0"/>
              <w:rPr>
                <w:sz w:val="1"/>
                <w:szCs w:val="1"/>
                <w:color w:val="auto"/>
              </w:rPr>
            </w:pPr>
          </w:p>
        </w:tc>
      </w:tr>
      <w:tr>
        <w:trPr>
          <w:trHeight w:val="238"/>
        </w:trPr>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1)</w:t>
            </w:r>
          </w:p>
        </w:tc>
        <w:tc>
          <w:tcPr>
            <w:tcW w:w="58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Bank</w:t>
            </w:r>
          </w:p>
        </w:tc>
        <w:tc>
          <w:tcPr>
            <w:tcW w:w="240" w:type="dxa"/>
            <w:vAlign w:val="bottom"/>
          </w:tcPr>
          <w:p>
            <w:pPr>
              <w:spacing w:after="0"/>
              <w:rPr>
                <w:sz w:val="20"/>
                <w:szCs w:val="20"/>
                <w:color w:val="auto"/>
              </w:rPr>
            </w:pP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New Account?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Agmt in place?</w:t>
            </w:r>
          </w:p>
        </w:tc>
        <w:tc>
          <w:tcPr>
            <w:tcW w:w="0" w:type="dxa"/>
            <w:vAlign w:val="bottom"/>
          </w:tcPr>
          <w:p>
            <w:pPr>
              <w:spacing w:after="0"/>
              <w:rPr>
                <w:sz w:val="1"/>
                <w:szCs w:val="1"/>
                <w:color w:val="auto"/>
              </w:rPr>
            </w:pPr>
          </w:p>
        </w:tc>
      </w:tr>
      <w:tr>
        <w:trPr>
          <w:trHeight w:val="228"/>
        </w:trPr>
        <w:tc>
          <w:tcPr>
            <w:tcW w:w="1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2)</w:t>
            </w: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3)</w:t>
            </w: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4)</w:t>
            </w: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5)</w:t>
            </w: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6)</w:t>
            </w: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Matters</w:t>
            </w: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53"/>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Have there been any changes in management since the last Compliance Certificate?</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Yes</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432"/>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Have there been any prohibited Transfers?</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Yes</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608"/>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Exceptions</w:t>
            </w:r>
          </w:p>
        </w:tc>
        <w:tc>
          <w:tcPr>
            <w:tcW w:w="5980" w:type="dxa"/>
            <w:vAlign w:val="bottom"/>
            <w:gridSpan w:val="3"/>
          </w:tcPr>
          <w:p>
            <w:pPr>
              <w:spacing w:after="0"/>
              <w:rPr>
                <w:sz w:val="24"/>
                <w:szCs w:val="24"/>
                <w:color w:val="auto"/>
              </w:rPr>
            </w:pP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3"/>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Please explain any</w:t>
            </w: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1"/>
        </w:trPr>
        <w:tc>
          <w:tcPr>
            <w:tcW w:w="4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exceptions with respect to the</w:t>
            </w:r>
          </w:p>
        </w:tc>
        <w:tc>
          <w:tcPr>
            <w:tcW w:w="26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r>
      <w:tr>
        <w:trPr>
          <w:trHeight w:val="234"/>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 above: (If</w:t>
            </w:r>
          </w:p>
        </w:tc>
        <w:tc>
          <w:tcPr>
            <w:tcW w:w="13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191"/>
        </w:trPr>
        <w:tc>
          <w:tcPr>
            <w:tcW w:w="4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no exceptions exist, state</w:t>
            </w:r>
          </w:p>
        </w:tc>
        <w:tc>
          <w:tcPr>
            <w:tcW w:w="26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r>
      <w:tr>
        <w:trPr>
          <w:trHeight w:val="234"/>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exceptions.” Attach</w:t>
            </w:r>
          </w:p>
        </w:tc>
        <w:tc>
          <w:tcPr>
            <w:tcW w:w="13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191"/>
        </w:trPr>
        <w:tc>
          <w:tcPr>
            <w:tcW w:w="4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separate sheet if additional</w:t>
            </w:r>
          </w:p>
        </w:tc>
        <w:tc>
          <w:tcPr>
            <w:tcW w:w="26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r>
      <w:tr>
        <w:trPr>
          <w:trHeight w:val="234"/>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 needed.)</w:t>
            </w:r>
          </w:p>
        </w:tc>
        <w:tc>
          <w:tcPr>
            <w:tcW w:w="2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r>
    </w:tbl>
    <w:p>
      <w:pPr>
        <w:spacing w:after="0" w:line="20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LENDER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-125095</wp:posOffset>
            </wp:positionV>
            <wp:extent cx="2134235" cy="5657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134235" cy="5657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8000"/>
        <w:spacing w:after="0"/>
        <w:tabs>
          <w:tab w:leader="none" w:pos="10660" w:val="left"/>
        </w:tabs>
        <w:rPr>
          <w:sz w:val="20"/>
          <w:szCs w:val="20"/>
          <w:color w:val="auto"/>
        </w:rPr>
      </w:pPr>
      <w:r>
        <w:rPr>
          <w:rFonts w:ascii="Times New Roman" w:cs="Times New Roman" w:eastAsia="Times New Roman" w:hAnsi="Times New Roman"/>
          <w:sz w:val="18"/>
          <w:szCs w:val="18"/>
          <w:color w:val="auto"/>
        </w:rPr>
        <w:t>Compliance Status</w:t>
      </w:r>
      <w:r>
        <w:rPr>
          <w:sz w:val="20"/>
          <w:szCs w:val="20"/>
          <w:color w:val="auto"/>
        </w:rPr>
        <w:tab/>
      </w:r>
      <w:r>
        <w:rPr>
          <w:rFonts w:ascii="Times New Roman" w:cs="Times New Roman" w:eastAsia="Times New Roman" w:hAnsi="Times New Roman"/>
          <w:sz w:val="16"/>
          <w:szCs w:val="16"/>
          <w:color w:val="auto"/>
        </w:rPr>
        <w:t>Yes</w:t>
      </w:r>
    </w:p>
    <w:p>
      <w:pPr>
        <w:sectPr>
          <w:pgSz w:w="11900" w:h="16838" w:orient="portrait"/>
          <w:cols w:equalWidth="0" w:num="1">
            <w:col w:w="11240"/>
          </w:cols>
          <w:pgMar w:left="320" w:top="576"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Elizabeth Barrett, certify that:</w:t>
      </w:r>
    </w:p>
    <w:p>
      <w:pPr>
        <w:spacing w:after="0" w:line="198" w:lineRule="exact"/>
        <w:rPr>
          <w:sz w:val="20"/>
          <w:szCs w:val="20"/>
          <w:color w:val="auto"/>
        </w:rPr>
      </w:pPr>
    </w:p>
    <w:p>
      <w:pPr>
        <w:ind w:left="340" w:hanging="332"/>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340" w:right="140" w:hanging="332"/>
        <w:spacing w:after="0" w:line="259" w:lineRule="auto"/>
        <w:tabs>
          <w:tab w:leader="none" w:pos="3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0" w:lineRule="exact"/>
        <w:rPr>
          <w:rFonts w:ascii="Arial" w:cs="Arial" w:eastAsia="Arial" w:hAnsi="Arial"/>
          <w:sz w:val="17"/>
          <w:szCs w:val="17"/>
          <w:color w:val="auto"/>
        </w:rPr>
      </w:pPr>
    </w:p>
    <w:p>
      <w:pPr>
        <w:ind w:left="660" w:right="60" w:hanging="328"/>
        <w:spacing w:after="0" w:line="253" w:lineRule="auto"/>
        <w:tabs>
          <w:tab w:leader="none" w:pos="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660" w:right="140" w:hanging="328"/>
        <w:spacing w:after="0" w:line="253" w:lineRule="auto"/>
        <w:tabs>
          <w:tab w:leader="none" w:pos="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660" w:right="80" w:hanging="328"/>
        <w:spacing w:after="0" w:line="253" w:lineRule="auto"/>
        <w:tabs>
          <w:tab w:leader="none" w:pos="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660" w:right="400" w:hanging="328"/>
        <w:spacing w:after="0" w:line="253" w:lineRule="auto"/>
        <w:tabs>
          <w:tab w:leader="none" w:pos="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340" w:right="140" w:hanging="332"/>
        <w:spacing w:after="0" w:line="253" w:lineRule="auto"/>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right="500" w:hanging="328"/>
        <w:spacing w:after="0" w:line="271" w:lineRule="auto"/>
        <w:tabs>
          <w:tab w:leader="none" w:pos="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620" w:val="left"/>
          <w:tab w:leader="none" w:pos="7800" w:val="left"/>
        </w:tabs>
        <w:rPr>
          <w:sz w:val="20"/>
          <w:szCs w:val="20"/>
          <w:color w:val="auto"/>
        </w:rPr>
      </w:pPr>
      <w:r>
        <w:rPr>
          <w:rFonts w:ascii="Arial" w:cs="Arial" w:eastAsia="Arial" w:hAnsi="Arial"/>
          <w:sz w:val="18"/>
          <w:szCs w:val="18"/>
          <w:color w:val="auto"/>
        </w:rPr>
        <w:t>Date:  May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Elizabeth Barrett</w:t>
      </w:r>
    </w:p>
    <w:p>
      <w:pPr>
        <w:jc w:val="center"/>
        <w:ind w:left="594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Chris Degnan, certify that:</w:t>
      </w:r>
    </w:p>
    <w:p>
      <w:pPr>
        <w:spacing w:after="0" w:line="198" w:lineRule="exact"/>
        <w:rPr>
          <w:sz w:val="20"/>
          <w:szCs w:val="20"/>
          <w:color w:val="auto"/>
        </w:rPr>
      </w:pPr>
    </w:p>
    <w:p>
      <w:pPr>
        <w:ind w:left="340" w:hanging="332"/>
        <w:spacing w:after="0"/>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340" w:right="140" w:hanging="332"/>
        <w:spacing w:after="0" w:line="259" w:lineRule="auto"/>
        <w:tabs>
          <w:tab w:leader="none" w:pos="3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0" w:lineRule="exact"/>
        <w:rPr>
          <w:rFonts w:ascii="Arial" w:cs="Arial" w:eastAsia="Arial" w:hAnsi="Arial"/>
          <w:sz w:val="17"/>
          <w:szCs w:val="17"/>
          <w:color w:val="auto"/>
        </w:rPr>
      </w:pPr>
    </w:p>
    <w:p>
      <w:pPr>
        <w:ind w:left="660" w:right="60" w:hanging="328"/>
        <w:spacing w:after="0" w:line="253" w:lineRule="auto"/>
        <w:tabs>
          <w:tab w:leader="none" w:pos="6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660" w:right="140" w:hanging="328"/>
        <w:spacing w:after="0" w:line="253" w:lineRule="auto"/>
        <w:tabs>
          <w:tab w:leader="none" w:pos="6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660" w:right="80" w:hanging="328"/>
        <w:spacing w:after="0" w:line="253" w:lineRule="auto"/>
        <w:tabs>
          <w:tab w:leader="none" w:pos="6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660" w:right="400" w:hanging="328"/>
        <w:spacing w:after="0" w:line="253" w:lineRule="auto"/>
        <w:tabs>
          <w:tab w:leader="none" w:pos="6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340" w:right="140" w:hanging="332"/>
        <w:spacing w:after="0" w:line="253" w:lineRule="auto"/>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right="500" w:hanging="328"/>
        <w:spacing w:after="0" w:line="271" w:lineRule="auto"/>
        <w:tabs>
          <w:tab w:leader="none" w:pos="6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May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Chris Degnan</w:t>
      </w:r>
    </w:p>
    <w:p>
      <w:pPr>
        <w:jc w:val="center"/>
        <w:ind w:left="594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connection with the Quarterly Report of UroGen Pharma Ltd. (the “Company”) on Form 10-Q for the period ended March 31, 2026 as filed with the Securities and Exchange Commission on the date hereof (the “Report”), I, Elizabeth Barrett, Chief Executive Officer of the Company, certify, pursuant to 18 U.S.C. § 1350, as adopted pursuant to § 906 of the Sarbanes-Oxley Act of 2002, that:</w:t>
      </w:r>
    </w:p>
    <w:p>
      <w:pPr>
        <w:spacing w:after="0" w:line="155"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71" w:lineRule="auto"/>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spacing w:after="0"/>
        <w:tabs>
          <w:tab w:leader="none" w:pos="5620" w:val="left"/>
          <w:tab w:leader="none" w:pos="7800" w:val="left"/>
        </w:tabs>
        <w:rPr>
          <w:sz w:val="20"/>
          <w:szCs w:val="20"/>
          <w:color w:val="auto"/>
        </w:rPr>
      </w:pPr>
      <w:r>
        <w:rPr>
          <w:rFonts w:ascii="Arial" w:cs="Arial" w:eastAsia="Arial" w:hAnsi="Arial"/>
          <w:sz w:val="18"/>
          <w:szCs w:val="18"/>
          <w:color w:val="auto"/>
        </w:rPr>
        <w:t>Date: May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Elizabeth Barrett</w:t>
      </w:r>
    </w:p>
    <w:p>
      <w:pPr>
        <w:jc w:val="center"/>
        <w:ind w:left="594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connection with the Quarterly Report of UroGen Pharma Ltd. (the “Company”) on Form 10-Q for the period ended March 31, 2026 as filed with the Securities and Exchange Commission on the date hereof (the “Report”), I, Chris Degnan, Chief Financial Officer of the Company, certify, pursuant to 18 U.S.C. § 1350, as adopted pursuant to § 906 of the Sarbanes-Oxley Act of 2002, that:</w:t>
      </w:r>
    </w:p>
    <w:p>
      <w:pPr>
        <w:spacing w:after="0" w:line="155"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71"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May 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Chris Degnan</w:t>
      </w:r>
    </w:p>
    <w:p>
      <w:pPr>
        <w:jc w:val="center"/>
        <w:ind w:left="594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
      <w:numFmt w:val="bullet"/>
      <w:start w:val="1"/>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
      <w:numFmt w:val="bullet"/>
      <w:start w:val="1"/>
    </w:lvl>
  </w:abstractNum>
  <w:abstractNum w:abstractNumId="5">
    <w:nsid w:val="519E3149"/>
    <w:multiLevelType w:val="hybridMultilevel"/>
    <w:lvl w:ilvl="0">
      <w:lvlJc w:val="left"/>
      <w:lvlText w:val="•"/>
      <w:numFmt w:val="bullet"/>
      <w:start w:val="1"/>
    </w:lvl>
  </w:abstractNum>
  <w:abstractNum w:abstractNumId="6">
    <w:nsid w:val="2C6E4AFD"/>
    <w:multiLevelType w:val="hybridMultilevel"/>
    <w:lvl w:ilvl="0">
      <w:lvlJc w:val="left"/>
      <w:lvlText w:val="(%1)"/>
      <w:numFmt w:val="lowerRoman"/>
      <w:start w:val="1"/>
    </w:lvl>
  </w:abstractNum>
  <w:abstractNum w:abstractNumId="7">
    <w:nsid w:val="17A1B582"/>
    <w:multiLevelType w:val="hybridMultilevel"/>
    <w:lvl w:ilvl="0">
      <w:lvlJc w:val="left"/>
      <w:lvlText w:val="(%1)"/>
      <w:numFmt w:val="decimal"/>
      <w:start w:val="4"/>
    </w:lvl>
  </w:abstractNum>
  <w:abstractNum w:abstractNumId="8">
    <w:nsid w:val="4DF72E4E"/>
    <w:multiLevelType w:val="hybridMultilevel"/>
    <w:lvl w:ilvl="0">
      <w:lvlJc w:val="left"/>
      <w:lvlText w:val="•"/>
      <w:numFmt w:val="bullet"/>
      <w:start w:val="1"/>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
      <w:numFmt w:val="bullet"/>
      <w:start w:val="1"/>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
      <w:numFmt w:val="bullet"/>
      <w:start w:val="1"/>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
      <w:numFmt w:val="bullet"/>
      <w:start w:val="1"/>
    </w:lvl>
  </w:abstractNum>
  <w:abstractNum w:abstractNumId="18">
    <w:nsid w:val="4427069A"/>
    <w:multiLevelType w:val="hybridMultilevel"/>
    <w:lvl w:ilvl="0">
      <w:lvlJc w:val="left"/>
      <w:lvlText w:val="•"/>
      <w:numFmt w:val="bullet"/>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
      <w:numFmt w:val="bullet"/>
      <w:start w:val="1"/>
    </w:lvl>
  </w:abstractNum>
  <w:abstractNum w:abstractNumId="23">
    <w:nsid w:val="BFFAE18"/>
    <w:multiLevelType w:val="hybridMultilevel"/>
    <w:lvl w:ilvl="0">
      <w:lvlJc w:val="left"/>
      <w:lvlText w:val="•"/>
      <w:numFmt w:val="bullet"/>
      <w:start w:val="1"/>
    </w:lvl>
  </w:abstractNum>
  <w:abstractNum w:abstractNumId="24">
    <w:nsid w:val="E3E47A8"/>
    <w:multiLevelType w:val="hybridMultilevel"/>
    <w:lvl w:ilvl="0">
      <w:lvlJc w:val="left"/>
      <w:lvlText w:val="•"/>
      <w:numFmt w:val="bullet"/>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
      <w:numFmt w:val="bullet"/>
      <w:start w:val="1"/>
    </w:lvl>
  </w:abstractNum>
  <w:abstractNum w:abstractNumId="27">
    <w:nsid w:val="4BEE5A5B"/>
    <w:multiLevelType w:val="hybridMultilevel"/>
    <w:lvl w:ilvl="0">
      <w:lvlJc w:val="left"/>
      <w:lvlText w:val="•"/>
      <w:numFmt w:val="bullet"/>
      <w:start w:val="1"/>
    </w:lvl>
  </w:abstractNum>
  <w:abstractNum w:abstractNumId="28">
    <w:nsid w:val="5551B9F3"/>
    <w:multiLevelType w:val="hybridMultilevel"/>
    <w:lvl w:ilvl="0">
      <w:lvlJc w:val="left"/>
      <w:lvlText w:val="•"/>
      <w:numFmt w:val="bullet"/>
      <w:start w:val="1"/>
    </w:lvl>
  </w:abstractNum>
  <w:abstractNum w:abstractNumId="29">
    <w:nsid w:val="24F6AB8E"/>
    <w:multiLevelType w:val="hybridMultilevel"/>
    <w:lvl w:ilvl="0">
      <w:lvlJc w:val="left"/>
      <w:lvlText w:val="•"/>
      <w:numFmt w:val="bullet"/>
      <w:start w:val="1"/>
    </w:lvl>
  </w:abstractNum>
  <w:abstractNum w:abstractNumId="30">
    <w:nsid w:val="634C574C"/>
    <w:multiLevelType w:val="hybridMultilevel"/>
    <w:lvl w:ilvl="0">
      <w:lvlJc w:val="left"/>
      <w:lvlText w:val="•"/>
      <w:numFmt w:val="bullet"/>
      <w:start w:val="1"/>
    </w:lvl>
  </w:abstractNum>
  <w:abstractNum w:abstractNumId="31">
    <w:nsid w:val="24E99DD7"/>
    <w:multiLevelType w:val="hybridMultilevel"/>
    <w:lvl w:ilvl="0">
      <w:lvlJc w:val="left"/>
      <w:lvlText w:val="(%1)"/>
      <w:numFmt w:val="lowerRoman"/>
      <w:start w:val="3"/>
    </w:lvl>
  </w:abstractNum>
  <w:abstractNum w:abstractNumId="32">
    <w:nsid w:val="2A31B62D"/>
    <w:multiLevelType w:val="hybridMultilevel"/>
    <w:lvl w:ilvl="0">
      <w:lvlJc w:val="left"/>
      <w:lvlText w:val="•"/>
      <w:numFmt w:val="bullet"/>
      <w:start w:val="1"/>
    </w:lvl>
  </w:abstractNum>
  <w:abstractNum w:abstractNumId="33">
    <w:nsid w:val="1849C29B"/>
    <w:multiLevelType w:val="hybridMultilevel"/>
    <w:lvl w:ilvl="0">
      <w:lvlJc w:val="left"/>
      <w:lvlText w:val="•"/>
      <w:numFmt w:val="bullet"/>
      <w:start w:val="1"/>
    </w:lvl>
  </w:abstractNum>
  <w:abstractNum w:abstractNumId="34">
    <w:nsid w:val="7DFF9D09"/>
    <w:multiLevelType w:val="hybridMultilevel"/>
    <w:lvl w:ilvl="0">
      <w:lvlJc w:val="left"/>
      <w:lvlText w:val="•"/>
      <w:numFmt w:val="bullet"/>
      <w:start w:val="1"/>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
      <w:numFmt w:val="bullet"/>
      <w:start w:val="1"/>
    </w:lvl>
  </w:abstractNum>
  <w:abstractNum w:abstractNumId="37">
    <w:nsid w:val="2A6DE806"/>
    <w:multiLevelType w:val="hybridMultilevel"/>
    <w:lvl w:ilvl="0">
      <w:lvlJc w:val="left"/>
      <w:lvlText w:val="1"/>
      <w:numFmt w:val="bullet"/>
      <w:start w:val="1"/>
    </w:lvl>
  </w:abstractNum>
  <w:abstractNum w:abstractNumId="38">
    <w:nsid w:val="1816F8C4"/>
    <w:multiLevelType w:val="hybridMultilevel"/>
    <w:lvl w:ilvl="0">
      <w:lvlJc w:val="left"/>
      <w:lvlText w:val="2"/>
      <w:numFmt w:val="bullet"/>
      <w:start w:val="1"/>
    </w:lvl>
  </w:abstractNum>
  <w:abstractNum w:abstractNumId="39">
    <w:nsid w:val="37DF2233"/>
    <w:multiLevelType w:val="hybridMultilevel"/>
    <w:lvl w:ilvl="0">
      <w:lvlJc w:val="left"/>
      <w:lvlText w:val="(%1)"/>
      <w:numFmt w:val="lowerLetter"/>
      <w:start w:val="1"/>
    </w:lvl>
    <w:lvl w:ilvl="1">
      <w:lvlJc w:val="left"/>
      <w:lvlText w:val="(%2)"/>
      <w:numFmt w:val="lowerRoman"/>
      <w:start w:val="1"/>
    </w:lvl>
  </w:abstractNum>
  <w:abstractNum w:abstractNumId="40">
    <w:nsid w:val="7AB49DAF"/>
    <w:multiLevelType w:val="hybridMultilevel"/>
    <w:lvl w:ilvl="0">
      <w:lvlJc w:val="left"/>
      <w:lvlText w:val="(%1)"/>
      <w:numFmt w:val="lowerLetter"/>
      <w:start w:val="2"/>
    </w:lvl>
    <w:lvl w:ilvl="1">
      <w:lvlJc w:val="left"/>
      <w:lvlText w:val="(%2)"/>
      <w:numFmt w:val="lowerRoman"/>
      <w:start w:val="1"/>
    </w:lvl>
  </w:abstractNum>
  <w:abstractNum w:abstractNumId="41">
    <w:nsid w:val="759F82CD"/>
    <w:multiLevelType w:val="hybridMultilevel"/>
    <w:lvl w:ilvl="0">
      <w:lvlJc w:val="left"/>
      <w:lvlText w:val="%1"/>
      <w:numFmt w:val="decimal"/>
      <w:start w:val="1"/>
    </w:lvl>
    <w:lvl w:ilvl="1">
      <w:lvlJc w:val="left"/>
      <w:lvlText w:val="(%2)"/>
      <w:numFmt w:val="lowerRoman"/>
      <w:start w:val="2"/>
    </w:lvl>
  </w:abstractNum>
  <w:abstractNum w:abstractNumId="42">
    <w:nsid w:val="61E74EA3"/>
    <w:multiLevelType w:val="hybridMultilevel"/>
    <w:lvl w:ilvl="0">
      <w:lvlJc w:val="left"/>
      <w:lvlText w:val="(%1)"/>
      <w:numFmt w:val="decimal"/>
      <w:start w:val="1"/>
    </w:lvl>
    <w:lvl w:ilvl="1">
      <w:lvlJc w:val="left"/>
      <w:lvlText w:val="%2"/>
      <w:numFmt w:val="lowerRoman"/>
      <w:start w:val="1"/>
    </w:lvl>
  </w:abstractNum>
  <w:abstractNum w:abstractNumId="43">
    <w:nsid w:val="597B4D84"/>
    <w:multiLevelType w:val="hybridMultilevel"/>
    <w:lvl w:ilvl="0">
      <w:lvlJc w:val="left"/>
      <w:lvlText w:val="(%1)"/>
      <w:numFmt w:val="lowerLetter"/>
      <w:start w:val="4"/>
    </w:lvl>
    <w:lvl w:ilvl="1">
      <w:lvlJc w:val="left"/>
      <w:lvlText w:val="(%2)"/>
      <w:numFmt w:val="lowerRoman"/>
      <w:start w:val="1"/>
    </w:lvl>
  </w:abstractNum>
  <w:abstractNum w:abstractNumId="44">
    <w:nsid w:val="F819E7F"/>
    <w:multiLevelType w:val="hybridMultilevel"/>
    <w:lvl w:ilvl="0">
      <w:lvlJc w:val="left"/>
      <w:lvlText w:val="(%1)"/>
      <w:numFmt w:val="lowerLetter"/>
      <w:start w:val="7"/>
    </w:lvl>
  </w:abstractNum>
  <w:abstractNum w:abstractNumId="45">
    <w:nsid w:val="57C7D42D"/>
    <w:multiLevelType w:val="hybridMultilevel"/>
    <w:lvl w:ilvl="0">
      <w:lvlJc w:val="left"/>
      <w:lvlText w:val="(%1)"/>
      <w:numFmt w:val="lowerLetter"/>
      <w:start w:val="1"/>
    </w:lvl>
    <w:lvl w:ilvl="1">
      <w:lvlJc w:val="left"/>
      <w:lvlText w:val="(%2)"/>
      <w:numFmt w:val="lowerRoman"/>
      <w:start w:val="1"/>
    </w:lvl>
  </w:abstractNum>
  <w:abstractNum w:abstractNumId="46">
    <w:nsid w:val="312167AD"/>
    <w:multiLevelType w:val="hybridMultilevel"/>
    <w:lvl w:ilvl="0">
      <w:lvlJc w:val="left"/>
      <w:lvlText w:val="(%1)"/>
      <w:numFmt w:val="lowerLetter"/>
      <w:start w:val="1"/>
    </w:lvl>
  </w:abstractNum>
  <w:abstractNum w:abstractNumId="47">
    <w:nsid w:val="631B64D4"/>
    <w:multiLevelType w:val="hybridMultilevel"/>
    <w:lvl w:ilvl="0">
      <w:lvlJc w:val="left"/>
      <w:lvlText w:val="(%1)"/>
      <w:numFmt w:val="lowerLetter"/>
      <w:start w:val="1"/>
    </w:lvl>
  </w:abstractNum>
  <w:abstractNum w:abstractNumId="48">
    <w:nsid w:val="78B5E77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9">
    <w:nsid w:val="75486E47"/>
    <w:multiLevelType w:val="hybridMultilevel"/>
    <w:lvl w:ilvl="0">
      <w:lvlJc w:val="left"/>
      <w:lvlText w:val="%1"/>
      <w:numFmt w:val="lowerRoman"/>
      <w:start w:val="1"/>
    </w:lvl>
    <w:lvl w:ilvl="1">
      <w:lvlJc w:val="left"/>
      <w:lvlText w:val="(%2)"/>
      <w:numFmt w:val="decimal"/>
      <w:start w:val="2"/>
    </w:lvl>
  </w:abstractNum>
  <w:abstractNum w:abstractNumId="50">
    <w:nsid w:val="6E534CDE"/>
    <w:multiLevelType w:val="hybridMultilevel"/>
    <w:lvl w:ilvl="0">
      <w:lvlJc w:val="left"/>
      <w:lvlText w:val="(%1)"/>
      <w:numFmt w:val="lowerRoman"/>
      <w:start w:val="3"/>
    </w:lvl>
    <w:lvl w:ilvl="1">
      <w:lvlJc w:val="left"/>
      <w:lvlText w:val="%2"/>
      <w:numFmt w:val="decimal"/>
      <w:start w:val="1"/>
    </w:lvl>
  </w:abstractNum>
  <w:abstractNum w:abstractNumId="51">
    <w:nsid w:val="1A0DDE32"/>
    <w:multiLevelType w:val="hybridMultilevel"/>
    <w:lvl w:ilvl="0">
      <w:lvlJc w:val="left"/>
      <w:lvlText w:val="(%1)"/>
      <w:numFmt w:val="lowerLetter"/>
      <w:start w:val="5"/>
    </w:lvl>
  </w:abstractNum>
  <w:abstractNum w:abstractNumId="52">
    <w:nsid w:val="65968C1C"/>
    <w:multiLevelType w:val="hybridMultilevel"/>
    <w:lvl w:ilvl="0">
      <w:lvlJc w:val="left"/>
      <w:lvlText w:val="(%1)"/>
      <w:numFmt w:val="lowerLetter"/>
      <w:start w:val="1"/>
    </w:lvl>
    <w:lvl w:ilvl="1">
      <w:lvlJc w:val="left"/>
      <w:lvlText w:val="(%2)"/>
      <w:numFmt w:val="lowerRoman"/>
      <w:start w:val="1"/>
    </w:lvl>
  </w:abstractNum>
  <w:abstractNum w:abstractNumId="53">
    <w:nsid w:val="46263DEC"/>
    <w:multiLevelType w:val="hybridMultilevel"/>
    <w:lvl w:ilvl="0">
      <w:lvlJc w:val="left"/>
      <w:lvlText w:val="(%1)"/>
      <w:numFmt w:val="lowerLetter"/>
      <w:start w:val="2"/>
    </w:lvl>
    <w:lvl w:ilvl="1">
      <w:lvlJc w:val="left"/>
      <w:lvlText w:val="(%2)"/>
      <w:numFmt w:val="lowerRoman"/>
      <w:start w:val="1"/>
    </w:lvl>
  </w:abstractNum>
  <w:abstractNum w:abstractNumId="54">
    <w:nsid w:val="260D8C4A"/>
    <w:multiLevelType w:val="hybridMultilevel"/>
    <w:lvl w:ilvl="0">
      <w:lvlJc w:val="left"/>
      <w:lvlText w:val="(%1)"/>
      <w:numFmt w:val="lowerLetter"/>
      <w:start w:val="1"/>
    </w:lvl>
  </w:abstractNum>
  <w:abstractNum w:abstractNumId="55">
    <w:nsid w:val="73D4D3C4"/>
    <w:multiLevelType w:val="hybridMultilevel"/>
    <w:lvl w:ilvl="0">
      <w:lvlJc w:val="left"/>
      <w:lvlText w:val="3"/>
      <w:numFmt w:val="bullet"/>
      <w:start w:val="1"/>
    </w:lvl>
  </w:abstractNum>
  <w:abstractNum w:abstractNumId="56">
    <w:nsid w:val="746F2E30"/>
    <w:multiLevelType w:val="hybridMultilevel"/>
    <w:lvl w:ilvl="0">
      <w:lvlJc w:val="left"/>
      <w:lvlText w:val="(%1)"/>
      <w:numFmt w:val="lowerLetter"/>
      <w:start w:val="1"/>
    </w:lvl>
    <w:lvl w:ilvl="1">
      <w:lvlJc w:val="left"/>
      <w:lvlText w:val="(%2)"/>
      <w:numFmt w:val="lowerLetter"/>
      <w:start w:val="9"/>
    </w:lvl>
  </w:abstractNum>
  <w:abstractNum w:abstractNumId="57">
    <w:nsid w:val="6FDE8AF6"/>
    <w:multiLevelType w:val="hybridMultilevel"/>
    <w:lvl w:ilvl="0">
      <w:lvlJc w:val="left"/>
      <w:lvlText w:val="%1"/>
      <w:numFmt w:val="lowerLetter"/>
      <w:start w:val="1"/>
    </w:lvl>
    <w:lvl w:ilvl="1">
      <w:lvlJc w:val="left"/>
      <w:lvlText w:val="(%2)"/>
      <w:numFmt w:val="lowerLetter"/>
      <w:start w:val="35"/>
    </w:lvl>
  </w:abstractNum>
  <w:abstractNum w:abstractNumId="58">
    <w:nsid w:val="3FC32E20"/>
    <w:multiLevelType w:val="hybridMultilevel"/>
    <w:lvl w:ilvl="0">
      <w:lvlJc w:val="left"/>
      <w:lvlText w:val="(%1)"/>
      <w:numFmt w:val="lowerLetter"/>
      <w:start w:val="2"/>
    </w:lvl>
    <w:lvl w:ilvl="1">
      <w:lvlJc w:val="left"/>
      <w:lvlText w:val="%2"/>
      <w:numFmt w:val="lowerLetter"/>
      <w:start w:val="1"/>
    </w:lvl>
  </w:abstractNum>
  <w:abstractNum w:abstractNumId="59">
    <w:nsid w:val="49C0E823"/>
    <w:multiLevelType w:val="hybridMultilevel"/>
    <w:lvl w:ilvl="0">
      <w:lvlJc w:val="left"/>
      <w:lvlText w:val="(%1)"/>
      <w:numFmt w:val="lowerLetter"/>
      <w:start w:val="9"/>
    </w:lvl>
  </w:abstractNum>
  <w:abstractNum w:abstractNumId="60">
    <w:nsid w:val="14D53685"/>
    <w:multiLevelType w:val="hybridMultilevel"/>
    <w:lvl w:ilvl="0">
      <w:lvlJc w:val="left"/>
      <w:lvlText w:val="(%1)"/>
      <w:numFmt w:val="lowerLetter"/>
      <w:start w:val="1"/>
    </w:lvl>
  </w:abstractNum>
  <w:abstractNum w:abstractNumId="61">
    <w:nsid w:val="230F856C"/>
    <w:multiLevelType w:val="hybridMultilevel"/>
    <w:lvl w:ilvl="0">
      <w:lvlJc w:val="left"/>
      <w:lvlText w:val="(%1)"/>
      <w:numFmt w:val="lowerLetter"/>
      <w:start w:val="1"/>
    </w:lvl>
  </w:abstractNum>
  <w:abstractNum w:abstractNumId="62">
    <w:nsid w:val="6EAA85FB"/>
    <w:multiLevelType w:val="hybridMultilevel"/>
    <w:lvl w:ilvl="0">
      <w:lvlJc w:val="left"/>
      <w:lvlText w:val="4"/>
      <w:numFmt w:val="bullet"/>
      <w:start w:val="1"/>
    </w:lvl>
  </w:abstractNum>
  <w:abstractNum w:abstractNumId="63">
    <w:nsid w:val="3F06ECB2"/>
    <w:multiLevelType w:val="hybridMultilevel"/>
    <w:lvl w:ilvl="0">
      <w:lvlJc w:val="left"/>
      <w:lvlText w:val="(%1)"/>
      <w:numFmt w:val="lowerLetter"/>
      <w:start w:val="1"/>
    </w:lvl>
    <w:lvl w:ilvl="1">
      <w:lvlJc w:val="left"/>
      <w:lvlText w:val="(%2)"/>
      <w:numFmt w:val="lowerLetter"/>
      <w:start w:val="9"/>
    </w:lvl>
  </w:abstractNum>
  <w:abstractNum w:abstractNumId="64">
    <w:nsid w:val="3B594807"/>
    <w:multiLevelType w:val="hybridMultilevel"/>
    <w:lvl w:ilvl="0">
      <w:lvlJc w:val="left"/>
      <w:lvlText w:val="%1"/>
      <w:numFmt w:val="lowerLetter"/>
      <w:start w:val="1"/>
    </w:lvl>
    <w:lvl w:ilvl="1">
      <w:lvlJc w:val="left"/>
      <w:lvlText w:val="(%2)"/>
      <w:numFmt w:val="lowerRoman"/>
      <w:start w:val="2"/>
    </w:lvl>
  </w:abstractNum>
  <w:abstractNum w:abstractNumId="65">
    <w:nsid w:val="6CAA2304"/>
    <w:multiLevelType w:val="hybridMultilevel"/>
    <w:lvl w:ilvl="0">
      <w:lvlJc w:val="left"/>
      <w:lvlText w:val="(%1)"/>
      <w:numFmt w:val="lowerLetter"/>
      <w:start w:val="4"/>
    </w:lvl>
    <w:lvl w:ilvl="1">
      <w:lvlJc w:val="left"/>
      <w:lvlText w:val="%2"/>
      <w:numFmt w:val="lowerRoman"/>
      <w:start w:val="1"/>
    </w:lvl>
  </w:abstractNum>
  <w:abstractNum w:abstractNumId="66">
    <w:nsid w:val="3F7C2FF4"/>
    <w:multiLevelType w:val="hybridMultilevel"/>
    <w:lvl w:ilvl="0">
      <w:lvlJc w:val="left"/>
      <w:lvlText w:val="(%1)"/>
      <w:numFmt w:val="lowerLetter"/>
      <w:start w:val="6"/>
    </w:lvl>
  </w:abstractNum>
  <w:abstractNum w:abstractNumId="67">
    <w:nsid w:val="25413BEC"/>
    <w:multiLevelType w:val="hybridMultilevel"/>
    <w:lvl w:ilvl="0">
      <w:lvlJc w:val="left"/>
      <w:lvlText w:val="(%1)"/>
      <w:numFmt w:val="lowerLetter"/>
      <w:start w:val="15"/>
    </w:lvl>
  </w:abstractNum>
  <w:abstractNum w:abstractNumId="68">
    <w:nsid w:val="17180B0B"/>
    <w:multiLevelType w:val="hybridMultilevel"/>
    <w:lvl w:ilvl="0">
      <w:lvlJc w:val="left"/>
      <w:lvlText w:val="(%1)"/>
      <w:numFmt w:val="lowerLetter"/>
      <w:start w:val="1"/>
    </w:lvl>
  </w:abstractNum>
  <w:abstractNum w:abstractNumId="69">
    <w:nsid w:val="579328B9"/>
    <w:multiLevelType w:val="hybridMultilevel"/>
    <w:lvl w:ilvl="0">
      <w:lvlJc w:val="left"/>
      <w:lvlText w:val="(%1)"/>
      <w:numFmt w:val="lowerLetter"/>
      <w:start w:val="3"/>
    </w:lvl>
  </w:abstractNum>
  <w:abstractNum w:abstractNumId="70">
    <w:nsid w:val="5D205E20"/>
    <w:multiLevelType w:val="hybridMultilevel"/>
    <w:lvl w:ilvl="0">
      <w:lvlJc w:val="left"/>
      <w:lvlText w:val="(%1)"/>
      <w:numFmt w:val="lowerLetter"/>
      <w:start w:val="1"/>
    </w:lvl>
  </w:abstractNum>
  <w:abstractNum w:abstractNumId="71">
    <w:nsid w:val="11CCA8BA"/>
    <w:multiLevelType w:val="hybridMultilevel"/>
    <w:lvl w:ilvl="0">
      <w:lvlJc w:val="left"/>
      <w:lvlText w:val="(%1)"/>
      <w:numFmt w:val="lowerLetter"/>
      <w:start w:val="3"/>
    </w:lvl>
  </w:abstractNum>
  <w:abstractNum w:abstractNumId="72">
    <w:nsid w:val="4D32AB86"/>
    <w:multiLevelType w:val="hybridMultilevel"/>
    <w:lvl w:ilvl="0">
      <w:lvlJc w:val="left"/>
      <w:lvlText w:val="%1"/>
      <w:numFmt w:val="lowerLetter"/>
      <w:start w:val="1"/>
    </w:lvl>
    <w:lvl w:ilvl="1">
      <w:lvlJc w:val="left"/>
      <w:lvlText w:val="(%2)"/>
      <w:numFmt w:val="lowerLetter"/>
      <w:start w:val="1"/>
    </w:lvl>
  </w:abstractNum>
  <w:abstractNum w:abstractNumId="73">
    <w:nsid w:val="3F07ACC3"/>
    <w:multiLevelType w:val="hybridMultilevel"/>
    <w:lvl w:ilvl="0">
      <w:lvlJc w:val="left"/>
      <w:lvlText w:val="(%1)"/>
      <w:numFmt w:val="lowerLetter"/>
      <w:start w:val="3"/>
    </w:lvl>
    <w:lvl w:ilvl="1">
      <w:lvlJc w:val="left"/>
      <w:lvlText w:val="%2"/>
      <w:numFmt w:val="lowerLetter"/>
      <w:start w:val="1"/>
    </w:lvl>
  </w:abstractNum>
  <w:abstractNum w:abstractNumId="74">
    <w:nsid w:val="6B47F63E"/>
    <w:multiLevelType w:val="hybridMultilevel"/>
    <w:lvl w:ilvl="0">
      <w:lvlJc w:val="left"/>
      <w:lvlText w:val="(%1)"/>
      <w:numFmt w:val="lowerLetter"/>
      <w:start w:val="5"/>
    </w:lvl>
  </w:abstractNum>
  <w:abstractNum w:abstractNumId="75">
    <w:nsid w:val="5CB44A05"/>
    <w:multiLevelType w:val="hybridMultilevel"/>
    <w:lvl w:ilvl="0">
      <w:lvlJc w:val="left"/>
      <w:lvlText w:val="(%1)"/>
      <w:numFmt w:val="lowerLetter"/>
      <w:start w:val="1"/>
    </w:lvl>
  </w:abstractNum>
  <w:abstractNum w:abstractNumId="76">
    <w:nsid w:val="16CF80F1"/>
    <w:multiLevelType w:val="hybridMultilevel"/>
    <w:lvl w:ilvl="0">
      <w:lvlJc w:val="left"/>
      <w:lvlText w:val="(%1)"/>
      <w:numFmt w:val="lowerLetter"/>
      <w:start w:val="6"/>
    </w:lvl>
  </w:abstractNum>
  <w:abstractNum w:abstractNumId="77">
    <w:nsid w:val="1C695DEC"/>
    <w:multiLevelType w:val="hybridMultilevel"/>
    <w:lvl w:ilvl="0">
      <w:lvlJc w:val="left"/>
      <w:lvlText w:val="(%1)"/>
      <w:numFmt w:val="lowerLetter"/>
      <w:start w:val="11"/>
    </w:lvl>
  </w:abstractNum>
  <w:abstractNum w:abstractNumId="78">
    <w:nsid w:val="3FCFAED9"/>
    <w:multiLevelType w:val="hybridMultilevel"/>
    <w:lvl w:ilvl="0">
      <w:lvlJc w:val="left"/>
      <w:lvlText w:val="(%1)"/>
      <w:numFmt w:val="lowerLetter"/>
      <w:start w:val="1"/>
    </w:lvl>
  </w:abstractNum>
  <w:abstractNum w:abstractNumId="79">
    <w:nsid w:val="F856867"/>
    <w:multiLevelType w:val="hybridMultilevel"/>
    <w:lvl w:ilvl="0">
      <w:lvlJc w:val="left"/>
      <w:lvlText w:val="(%1)"/>
      <w:numFmt w:val="lowerLetter"/>
      <w:start w:val="1"/>
    </w:lvl>
  </w:abstractNum>
  <w:abstractNum w:abstractNumId="80">
    <w:nsid w:val="11B1CC33"/>
    <w:multiLevelType w:val="hybridMultilevel"/>
    <w:lvl w:ilvl="0">
      <w:lvlJc w:val="left"/>
      <w:lvlText w:val="(%1)"/>
      <w:numFmt w:val="lowerLetter"/>
      <w:start w:val="1"/>
    </w:lvl>
    <w:lvl w:ilvl="1">
      <w:lvlJc w:val="left"/>
      <w:lvlText w:val="(%2)"/>
      <w:numFmt w:val="lowerLetter"/>
      <w:start w:val="2"/>
    </w:lvl>
  </w:abstractNum>
  <w:abstractNum w:abstractNumId="81">
    <w:nsid w:val="2E22FBB7"/>
    <w:multiLevelType w:val="hybridMultilevel"/>
    <w:lvl w:ilvl="0">
      <w:lvlJc w:val="left"/>
      <w:lvlText w:val="(%1)"/>
      <w:numFmt w:val="lowerLetter"/>
      <w:start w:val="3"/>
    </w:lvl>
  </w:abstractNum>
  <w:abstractNum w:abstractNumId="82">
    <w:nsid w:val="29934699"/>
    <w:multiLevelType w:val="hybridMultilevel"/>
    <w:lvl w:ilvl="0">
      <w:lvlJc w:val="left"/>
      <w:lvlText w:val="(%1)"/>
      <w:numFmt w:val="lowerLetter"/>
      <w:start w:val="7"/>
    </w:lvl>
  </w:abstractNum>
  <w:abstractNum w:abstractNumId="83">
    <w:nsid w:val="77485850"/>
    <w:multiLevelType w:val="hybridMultilevel"/>
    <w:lvl w:ilvl="0">
      <w:lvlJc w:val="left"/>
      <w:lvlText w:val="(%1)"/>
      <w:numFmt w:val="lowerLetter"/>
      <w:start w:val="1"/>
    </w:lvl>
  </w:abstractNum>
  <w:abstractNum w:abstractNumId="84">
    <w:nsid w:val="744939A3"/>
    <w:multiLevelType w:val="hybridMultilevel"/>
    <w:lvl w:ilvl="0">
      <w:lvlJc w:val="left"/>
      <w:lvlText w:val="5"/>
      <w:numFmt w:val="bullet"/>
      <w:start w:val="1"/>
    </w:lvl>
  </w:abstractNum>
  <w:abstractNum w:abstractNumId="85">
    <w:nsid w:val="4FA0D2E3"/>
    <w:multiLevelType w:val="hybridMultilevel"/>
    <w:lvl w:ilvl="0">
      <w:lvlJc w:val="left"/>
      <w:lvlText w:val="(%1)"/>
      <w:numFmt w:val="lowerLetter"/>
      <w:start w:val="1"/>
    </w:lvl>
    <w:lvl w:ilvl="1">
      <w:lvlJc w:val="left"/>
      <w:lvlText w:val="(%2)"/>
      <w:numFmt w:val="lowerLetter"/>
      <w:start w:val="9"/>
    </w:lvl>
  </w:abstractNum>
  <w:abstractNum w:abstractNumId="86">
    <w:nsid w:val="6B1D2C1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7">
    <w:nsid w:val="68B867D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88">
    <w:nsid w:val="3F7F5DD9"/>
    <w:multiLevelType w:val="hybridMultilevel"/>
    <w:lvl w:ilvl="0">
      <w:lvlJc w:val="left"/>
      <w:lvlText w:val="(%1)"/>
      <w:numFmt w:val="lowerLetter"/>
      <w:start w:val="3"/>
    </w:lvl>
    <w:lvl w:ilvl="1">
      <w:lvlJc w:val="left"/>
      <w:lvlText w:val="(%2)"/>
      <w:numFmt w:val="lowerRoman"/>
      <w:start w:val="1"/>
    </w:lvl>
  </w:abstractNum>
  <w:abstractNum w:abstractNumId="89">
    <w:nsid w:val="2AE05A34"/>
    <w:multiLevelType w:val="hybridMultilevel"/>
    <w:lvl w:ilvl="0">
      <w:lvlJc w:val="left"/>
      <w:lvlText w:val="(%1)"/>
      <w:numFmt w:val="decimal"/>
      <w:start w:val="2"/>
    </w:lvl>
  </w:abstractNum>
  <w:abstractNum w:abstractNumId="90">
    <w:nsid w:val="32794FF7"/>
    <w:multiLevelType w:val="hybridMultilevel"/>
    <w:lvl w:ilvl="0">
      <w:lvlJc w:val="left"/>
      <w:lvlText w:val="(%1)"/>
      <w:numFmt w:val="lowerLetter"/>
      <w:start w:val="1"/>
    </w:lvl>
  </w:abstractNum>
  <w:abstractNum w:abstractNumId="91">
    <w:nsid w:val="5454945E"/>
    <w:multiLevelType w:val="hybridMultilevel"/>
    <w:lvl w:ilvl="0">
      <w:lvlJc w:val="left"/>
      <w:lvlText w:val="(%1)"/>
      <w:numFmt w:val="lowerLetter"/>
      <w:start w:val="1"/>
    </w:lvl>
  </w:abstractNum>
  <w:abstractNum w:abstractNumId="92">
    <w:nsid w:val="4DEFDFA0"/>
    <w:multiLevelType w:val="hybridMultilevel"/>
    <w:lvl w:ilvl="0">
      <w:lvlJc w:val="left"/>
      <w:lvlText w:val="(%1)"/>
      <w:numFmt w:val="lowerLetter"/>
      <w:start w:val="3"/>
    </w:lvl>
  </w:abstractNum>
  <w:abstractNum w:abstractNumId="93">
    <w:nsid w:val="2123D5F2"/>
    <w:multiLevelType w:val="hybridMultilevel"/>
    <w:lvl w:ilvl="0">
      <w:lvlJc w:val="left"/>
      <w:lvlText w:val="(%1)"/>
      <w:numFmt w:val="lowerLetter"/>
      <w:start w:val="1"/>
    </w:lvl>
  </w:abstractNum>
  <w:abstractNum w:abstractNumId="94">
    <w:nsid w:val="135B8110"/>
    <w:multiLevelType w:val="hybridMultilevel"/>
    <w:lvl w:ilvl="0">
      <w:lvlJc w:val="left"/>
      <w:lvlText w:val="(%1)"/>
      <w:numFmt w:val="lowerLetter"/>
      <w:start w:val="2"/>
    </w:lvl>
  </w:abstractNum>
  <w:abstractNum w:abstractNumId="95">
    <w:nsid w:val="94927A8"/>
    <w:multiLevelType w:val="hybridMultilevel"/>
    <w:lvl w:ilvl="0">
      <w:lvlJc w:val="left"/>
      <w:lvlText w:val="(%1)"/>
      <w:numFmt w:val="lowerLetter"/>
      <w:start w:val="3"/>
    </w:lvl>
  </w:abstractNum>
  <w:abstractNum w:abstractNumId="96">
    <w:nsid w:val="DCDF8F6"/>
    <w:multiLevelType w:val="hybridMultilevel"/>
    <w:lvl w:ilvl="0">
      <w:lvlJc w:val="left"/>
      <w:lvlText w:val="(%1)"/>
      <w:numFmt w:val="lowerLetter"/>
      <w:start w:val="1"/>
    </w:lvl>
    <w:lvl w:ilvl="1">
      <w:lvlJc w:val="left"/>
      <w:lvlText w:val="(%2)"/>
      <w:numFmt w:val="lowerLetter"/>
      <w:start w:val="9"/>
    </w:lvl>
  </w:abstractNum>
  <w:abstractNum w:abstractNumId="97">
    <w:nsid w:val="52D7B1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8">
    <w:nsid w:val="2E8A639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99">
    <w:nsid w:val="24E60401"/>
    <w:multiLevelType w:val="hybridMultilevel"/>
    <w:lvl w:ilvl="0">
      <w:lvlJc w:val="left"/>
      <w:lvlText w:val="(%1)"/>
      <w:numFmt w:val="lowerLetter"/>
      <w:start w:val="1"/>
    </w:lvl>
  </w:abstractNum>
  <w:abstractNum w:abstractNumId="100">
    <w:nsid w:val="2A6AD9BE"/>
    <w:multiLevelType w:val="hybridMultilevel"/>
    <w:lvl w:ilvl="0">
      <w:lvlJc w:val="left"/>
      <w:lvlText w:val="6"/>
      <w:numFmt w:val="bullet"/>
      <w:start w:val="1"/>
    </w:lvl>
  </w:abstractNum>
  <w:abstractNum w:abstractNumId="101">
    <w:nsid w:val="BAAC1B4"/>
    <w:multiLevelType w:val="hybridMultilevel"/>
    <w:lvl w:ilvl="0">
      <w:lvlJc w:val="left"/>
      <w:lvlText w:val="(%1)"/>
      <w:numFmt w:val="lowerLetter"/>
      <w:start w:val="1"/>
    </w:lvl>
  </w:abstractNum>
  <w:abstractNum w:abstractNumId="102">
    <w:nsid w:val="36B2ACBC"/>
    <w:multiLevelType w:val="hybridMultilevel"/>
    <w:lvl w:ilvl="0">
      <w:lvlJc w:val="left"/>
      <w:lvlText w:val="%1"/>
      <w:numFmt w:val="decimal"/>
      <w:start w:val="1"/>
    </w:lvl>
    <w:lvl w:ilvl="1">
      <w:lvlJc w:val="left"/>
      <w:lvlText w:val="(%2)"/>
      <w:numFmt w:val="lowerLetter"/>
      <w:start w:val="2"/>
    </w:lvl>
  </w:abstractNum>
  <w:abstractNum w:abstractNumId="103">
    <w:nsid w:val="779D8544"/>
    <w:multiLevelType w:val="hybridMultilevel"/>
    <w:lvl w:ilvl="0">
      <w:lvlJc w:val="left"/>
      <w:lvlText w:val="(%1)"/>
      <w:numFmt w:val="decimal"/>
      <w:start w:val="10"/>
    </w:lvl>
    <w:lvl w:ilvl="1">
      <w:lvlJc w:val="left"/>
      <w:lvlText w:val="(%2)"/>
      <w:numFmt w:val="lowerLetter"/>
      <w:start w:val="4"/>
    </w:lvl>
  </w:abstractNum>
  <w:abstractNum w:abstractNumId="104">
    <w:nsid w:val="4AB26E78"/>
    <w:multiLevelType w:val="hybridMultilevel"/>
    <w:lvl w:ilvl="0">
      <w:lvlJc w:val="left"/>
      <w:lvlText w:val="(%1)"/>
      <w:numFmt w:val="lowerLetter"/>
      <w:start w:val="1"/>
    </w:lvl>
    <w:lvl w:ilvl="1">
      <w:lvlJc w:val="left"/>
      <w:lvlText w:val="(%2)"/>
      <w:numFmt w:val="lowerRoman"/>
      <w:start w:val="1"/>
    </w:lvl>
  </w:abstractNum>
  <w:abstractNum w:abstractNumId="105">
    <w:nsid w:val="21FAA2FA"/>
    <w:multiLevelType w:val="hybridMultilevel"/>
    <w:lvl w:ilvl="0">
      <w:lvlJc w:val="left"/>
      <w:lvlText w:val="%1"/>
      <w:numFmt w:val="lowerLetter"/>
      <w:start w:val="1"/>
    </w:lvl>
    <w:lvl w:ilvl="1">
      <w:lvlJc w:val="left"/>
      <w:lvlText w:val="(%2)"/>
      <w:numFmt w:val="lowerRoman"/>
      <w:start w:val="3"/>
    </w:lvl>
  </w:abstractNum>
  <w:abstractNum w:abstractNumId="106">
    <w:nsid w:val="5451CF49"/>
    <w:multiLevelType w:val="hybridMultilevel"/>
    <w:lvl w:ilvl="0">
      <w:lvlJc w:val="left"/>
      <w:lvlText w:val="(%1)"/>
      <w:numFmt w:val="lowerLetter"/>
      <w:start w:val="2"/>
    </w:lvl>
    <w:lvl w:ilvl="1">
      <w:lvlJc w:val="left"/>
      <w:lvlText w:val="%2"/>
      <w:numFmt w:val="lowerRoman"/>
      <w:start w:val="1"/>
    </w:lvl>
  </w:abstractNum>
  <w:abstractNum w:abstractNumId="107">
    <w:nsid w:val="6181EF69"/>
    <w:multiLevelType w:val="hybridMultilevel"/>
    <w:lvl w:ilvl="0">
      <w:lvlJc w:val="left"/>
      <w:lvlText w:val="(%1)"/>
      <w:numFmt w:val="lowerLetter"/>
      <w:start w:val="1"/>
    </w:lvl>
  </w:abstractNum>
  <w:abstractNum w:abstractNumId="108">
    <w:nsid w:val="3E6400E6"/>
    <w:multiLevelType w:val="hybridMultilevel"/>
    <w:lvl w:ilvl="0">
      <w:lvlJc w:val="left"/>
      <w:lvlText w:val="(%1)"/>
      <w:numFmt w:val="lowerLetter"/>
      <w:start w:val="1"/>
    </w:lvl>
  </w:abstractNum>
  <w:abstractNum w:abstractNumId="109">
    <w:nsid w:val="14217E23"/>
    <w:multiLevelType w:val="hybridMultilevel"/>
    <w:lvl w:ilvl="0">
      <w:lvlJc w:val="left"/>
      <w:lvlText w:val="(%1)"/>
      <w:numFmt w:val="lowerLetter"/>
      <w:start w:val="1"/>
    </w:lvl>
  </w:abstractNum>
  <w:abstractNum w:abstractNumId="110">
    <w:nsid w:val="710757D0"/>
    <w:multiLevelType w:val="hybridMultilevel"/>
    <w:lvl w:ilvl="0">
      <w:lvlJc w:val="left"/>
      <w:lvlText w:val="(%1)"/>
      <w:numFmt w:val="lowerLetter"/>
      <w:start w:val="6"/>
    </w:lvl>
  </w:abstractNum>
  <w:abstractNum w:abstractNumId="111">
    <w:nsid w:val="5015CD1A"/>
    <w:multiLevelType w:val="hybridMultilevel"/>
    <w:lvl w:ilvl="0">
      <w:lvlJc w:val="left"/>
      <w:lvlText w:val="(%1)"/>
      <w:numFmt w:val="lowerLetter"/>
      <w:start w:val="1"/>
    </w:lvl>
  </w:abstractNum>
  <w:abstractNum w:abstractNumId="112">
    <w:nsid w:val="424479DA"/>
    <w:multiLevelType w:val="hybridMultilevel"/>
    <w:lvl w:ilvl="0">
      <w:lvlJc w:val="left"/>
      <w:lvlText w:val="(%1)"/>
      <w:numFmt w:val="lowerLetter"/>
      <w:start w:val="1"/>
    </w:lvl>
  </w:abstractNum>
  <w:abstractNum w:abstractNumId="113">
    <w:nsid w:val="1A9A9E69"/>
    <w:multiLevelType w:val="hybridMultilevel"/>
    <w:lvl w:ilvl="0">
      <w:lvlJc w:val="left"/>
      <w:lvlText w:val="(%1)"/>
      <w:numFmt w:val="lowerLetter"/>
      <w:start w:val="2"/>
    </w:lvl>
  </w:abstractNum>
  <w:abstractNum w:abstractNumId="114">
    <w:nsid w:val="475E256A"/>
    <w:multiLevelType w:val="hybridMultilevel"/>
    <w:lvl w:ilvl="0">
      <w:lvlJc w:val="left"/>
      <w:lvlText w:val="(%1)"/>
      <w:numFmt w:val="lowerLetter"/>
      <w:start w:val="4"/>
    </w:lvl>
  </w:abstractNum>
  <w:abstractNum w:abstractNumId="115">
    <w:nsid w:val="368DB37E"/>
    <w:multiLevelType w:val="hybridMultilevel"/>
    <w:lvl w:ilvl="0">
      <w:lvlJc w:val="left"/>
      <w:lvlText w:val="(%1)"/>
      <w:numFmt w:val="lowerLetter"/>
      <w:start w:val="1"/>
    </w:lvl>
  </w:abstractNum>
  <w:abstractNum w:abstractNumId="116">
    <w:nsid w:val="6A3B714C"/>
    <w:multiLevelType w:val="hybridMultilevel"/>
    <w:lvl w:ilvl="0">
      <w:lvlJc w:val="left"/>
      <w:lvlText w:val="7"/>
      <w:numFmt w:val="bullet"/>
      <w:start w:val="1"/>
    </w:lvl>
  </w:abstractNum>
  <w:abstractNum w:abstractNumId="117">
    <w:nsid w:val="327B517E"/>
    <w:multiLevelType w:val="hybridMultilevel"/>
    <w:lvl w:ilvl="0">
      <w:lvlJc w:val="left"/>
      <w:lvlText w:val="(%1)"/>
      <w:numFmt w:val="lowerLetter"/>
      <w:start w:val="1"/>
    </w:lvl>
  </w:abstractNum>
  <w:abstractNum w:abstractNumId="118">
    <w:nsid w:val="1F461B51"/>
    <w:multiLevelType w:val="hybridMultilevel"/>
    <w:lvl w:ilvl="0">
      <w:lvlJc w:val="left"/>
      <w:lvlText w:val="(%1)"/>
      <w:numFmt w:val="lowerLetter"/>
      <w:start w:val="1"/>
    </w:lvl>
  </w:abstractNum>
  <w:abstractNum w:abstractNumId="119">
    <w:nsid w:val="29BACF25"/>
    <w:multiLevelType w:val="hybridMultilevel"/>
    <w:lvl w:ilvl="0">
      <w:lvlJc w:val="left"/>
      <w:lvlText w:val="%1"/>
      <w:numFmt w:val="lowerLetter"/>
      <w:start w:val="1"/>
    </w:lvl>
    <w:lvl w:ilvl="1">
      <w:lvlJc w:val="left"/>
      <w:lvlText w:val="(%2)"/>
      <w:numFmt w:val="lowerLetter"/>
      <w:start w:val="1"/>
    </w:lvl>
  </w:abstractNum>
  <w:abstractNum w:abstractNumId="120">
    <w:nsid w:val="5D5BABB3"/>
    <w:multiLevelType w:val="hybridMultilevel"/>
    <w:lvl w:ilvl="0">
      <w:lvlJc w:val="left"/>
      <w:lvlText w:val="(%1)"/>
      <w:numFmt w:val="lowerLetter"/>
      <w:start w:val="9"/>
    </w:lvl>
    <w:lvl w:ilvl="1">
      <w:lvlJc w:val="left"/>
      <w:lvlText w:val="(%2)"/>
      <w:numFmt w:val="lowerLetter"/>
      <w:start w:val="2"/>
    </w:lvl>
  </w:abstractNum>
  <w:abstractNum w:abstractNumId="121">
    <w:nsid w:val="51BF6B48"/>
    <w:multiLevelType w:val="hybridMultilevel"/>
    <w:lvl w:ilvl="0">
      <w:lvlJc w:val="left"/>
      <w:lvlText w:val="(%1)"/>
      <w:numFmt w:val="lowerLetter"/>
      <w:start w:val="3"/>
    </w:lvl>
  </w:abstractNum>
  <w:abstractNum w:abstractNumId="122">
    <w:nsid w:val="7E0F6384"/>
    <w:multiLevelType w:val="hybridMultilevel"/>
    <w:lvl w:ilvl="0">
      <w:lvlJc w:val="left"/>
      <w:lvlText w:val="(%1)"/>
      <w:numFmt w:val="lowerLetter"/>
      <w:start w:val="1"/>
    </w:lvl>
  </w:abstractNum>
  <w:abstractNum w:abstractNumId="123">
    <w:nsid w:val="2B4B8B53"/>
    <w:multiLevelType w:val="hybridMultilevel"/>
    <w:lvl w:ilvl="0">
      <w:lvlJc w:val="left"/>
      <w:lvlText w:val="8"/>
      <w:numFmt w:val="bullet"/>
      <w:start w:val="1"/>
    </w:lvl>
  </w:abstractNum>
  <w:abstractNum w:abstractNumId="124">
    <w:nsid w:val="72E3413A"/>
    <w:multiLevelType w:val="hybridMultilevel"/>
    <w:lvl w:ilvl="0">
      <w:lvlJc w:val="left"/>
      <w:lvlText w:val="(%1)"/>
      <w:numFmt w:val="lowerLetter"/>
      <w:start w:val="1"/>
    </w:lvl>
  </w:abstractNum>
  <w:abstractNum w:abstractNumId="125">
    <w:nsid w:val="116AE494"/>
    <w:multiLevelType w:val="hybridMultilevel"/>
    <w:lvl w:ilvl="0">
      <w:lvlJc w:val="left"/>
      <w:lvlText w:val="(%1)"/>
      <w:numFmt w:val="lowerLetter"/>
      <w:start w:val="7"/>
    </w:lvl>
  </w:abstractNum>
  <w:abstractNum w:abstractNumId="126">
    <w:nsid w:val="3494B2FB"/>
    <w:multiLevelType w:val="hybridMultilevel"/>
    <w:lvl w:ilvl="0">
      <w:lvlJc w:val="left"/>
      <w:lvlText w:val="9"/>
      <w:numFmt w:val="bullet"/>
      <w:start w:val="1"/>
    </w:lvl>
  </w:abstractNum>
  <w:abstractNum w:abstractNumId="127">
    <w:nsid w:val="B13A31"/>
    <w:multiLevelType w:val="hybridMultilevel"/>
    <w:lvl w:ilvl="0">
      <w:lvlJc w:val="left"/>
      <w:lvlText w:val="%1"/>
      <w:numFmt w:val="decimal"/>
      <w:start w:val="10"/>
    </w:lvl>
  </w:abstractNum>
  <w:abstractNum w:abstractNumId="128">
    <w:nsid w:val="64429599"/>
    <w:multiLevelType w:val="hybridMultilevel"/>
    <w:lvl w:ilvl="0">
      <w:lvlJc w:val="left"/>
      <w:lvlText w:val="%1"/>
      <w:numFmt w:val="decimal"/>
      <w:start w:val="11"/>
    </w:lvl>
    <w:lvl w:ilvl="1">
      <w:lvlJc w:val="left"/>
      <w:lvlText w:val="(%2)"/>
      <w:numFmt w:val="lowerLetter"/>
      <w:start w:val="1"/>
    </w:lvl>
  </w:abstractNum>
  <w:abstractNum w:abstractNumId="129">
    <w:nsid w:val="631F1690"/>
    <w:multiLevelType w:val="hybridMultilevel"/>
    <w:lvl w:ilvl="0">
      <w:lvlJc w:val="left"/>
      <w:lvlText w:val="(%1)"/>
      <w:numFmt w:val="lowerLetter"/>
      <w:start w:val="5"/>
    </w:lvl>
  </w:abstractNum>
  <w:abstractNum w:abstractNumId="130">
    <w:nsid w:val="25973E32"/>
    <w:multiLevelType w:val="hybridMultilevel"/>
    <w:lvl w:ilvl="0">
      <w:lvlJc w:val="left"/>
      <w:lvlText w:val="(%1)"/>
      <w:numFmt w:val="lowerLetter"/>
      <w:start w:val="1"/>
    </w:lvl>
  </w:abstractNum>
  <w:abstractNum w:abstractNumId="131">
    <w:nsid w:val="EAD6F57"/>
    <w:multiLevelType w:val="hybridMultilevel"/>
    <w:lvl w:ilvl="0">
      <w:lvlJc w:val="left"/>
      <w:lvlText w:val="(%1)"/>
      <w:numFmt w:val="lowerLetter"/>
      <w:start w:val="1"/>
    </w:lvl>
  </w:abstractNum>
  <w:abstractNum w:abstractNumId="132">
    <w:nsid w:val="6EC9D844"/>
    <w:multiLevelType w:val="hybridMultilevel"/>
    <w:lvl w:ilvl="0">
      <w:lvlJc w:val="left"/>
      <w:lvlText w:val="(%1)"/>
      <w:numFmt w:val="lowerLetter"/>
      <w:start w:val="2"/>
    </w:lvl>
  </w:abstractNum>
  <w:abstractNum w:abstractNumId="133">
    <w:nsid w:val="5C49EAEE"/>
    <w:multiLevelType w:val="hybridMultilevel"/>
    <w:lvl w:ilvl="0">
      <w:lvlJc w:val="left"/>
      <w:lvlText w:val="(%1)"/>
      <w:numFmt w:val="lowerLetter"/>
      <w:start w:val="8"/>
    </w:lvl>
  </w:abstractNum>
  <w:abstractNum w:abstractNumId="134">
    <w:nsid w:val="64AF49B"/>
    <w:multiLevelType w:val="hybridMultilevel"/>
    <w:lvl w:ilvl="0">
      <w:lvlJc w:val="left"/>
      <w:lvlText w:val="(%1)"/>
      <w:numFmt w:val="lowerLetter"/>
      <w:start w:val="2"/>
    </w:lvl>
  </w:abstractNum>
  <w:abstractNum w:abstractNumId="135">
    <w:nsid w:val="397C46BC"/>
    <w:multiLevelType w:val="hybridMultilevel"/>
    <w:lvl w:ilvl="0">
      <w:lvlJc w:val="left"/>
      <w:lvlText w:val="(%1)"/>
      <w:numFmt w:val="lowerLetter"/>
      <w:start w:val="1"/>
    </w:lvl>
  </w:abstractNum>
  <w:abstractNum w:abstractNumId="136">
    <w:nsid w:val="7E448DE9"/>
    <w:multiLevelType w:val="hybridMultilevel"/>
    <w:lvl w:ilvl="0">
      <w:lvlJc w:val="left"/>
      <w:lvlText w:val="%1"/>
      <w:numFmt w:val="decimal"/>
      <w:start w:val="12"/>
    </w:lvl>
  </w:abstractNum>
  <w:abstractNum w:abstractNumId="137">
    <w:nsid w:val="5A9CC3E5"/>
    <w:multiLevelType w:val="hybridMultilevel"/>
    <w:lvl w:ilvl="0">
      <w:lvlJc w:val="left"/>
      <w:lvlText w:val="(%1)"/>
      <w:numFmt w:val="lowerLetter"/>
      <w:start w:val="1"/>
    </w:lvl>
    <w:lvl w:ilvl="1">
      <w:lvlJc w:val="left"/>
      <w:lvlText w:val="(%2)"/>
      <w:numFmt w:val="lowerRoman"/>
      <w:start w:val="1"/>
    </w:lvl>
  </w:abstractNum>
  <w:abstractNum w:abstractNumId="138">
    <w:nsid w:val="1AFE3625"/>
    <w:multiLevelType w:val="hybridMultilevel"/>
    <w:lvl w:ilvl="0">
      <w:lvlJc w:val="left"/>
      <w:lvlText w:val="(%1)"/>
      <w:numFmt w:val="lowerLetter"/>
      <w:start w:val="1"/>
    </w:lvl>
  </w:abstractNum>
  <w:abstractNum w:abstractNumId="139">
    <w:nsid w:val="3CA88ECF"/>
    <w:multiLevelType w:val="hybridMultilevel"/>
    <w:lvl w:ilvl="0">
      <w:lvlJc w:val="left"/>
      <w:lvlText w:val="(%1)"/>
      <w:numFmt w:val="lowerLetter"/>
      <w:start w:val="2"/>
    </w:lvl>
  </w:abstractNum>
  <w:abstractNum w:abstractNumId="140">
    <w:nsid w:val="6EBE4208"/>
    <w:multiLevelType w:val="hybridMultilevel"/>
    <w:lvl w:ilvl="0">
      <w:lvlJc w:val="left"/>
      <w:lvlText w:val="%1"/>
      <w:numFmt w:val="decimal"/>
      <w:start w:val="13"/>
    </w:lvl>
  </w:abstractNum>
  <w:abstractNum w:abstractNumId="141">
    <w:nsid w:val="C058DF5"/>
    <w:multiLevelType w:val="hybridMultilevel"/>
    <w:lvl w:ilvl="0">
      <w:lvlJc w:val="left"/>
      <w:lvlText w:val="(%1)"/>
      <w:numFmt w:val="lowerRoman"/>
      <w:start w:val="2"/>
    </w:lvl>
  </w:abstractNum>
  <w:abstractNum w:abstractNumId="142">
    <w:nsid w:val="CBE5BE9"/>
    <w:multiLevelType w:val="hybridMultilevel"/>
    <w:lvl w:ilvl="0">
      <w:lvlJc w:val="left"/>
      <w:lvlText w:val="(%1)"/>
      <w:numFmt w:val="lowerRoman"/>
      <w:start w:val="3"/>
    </w:lvl>
  </w:abstractNum>
  <w:abstractNum w:abstractNumId="143">
    <w:nsid w:val="3102BBE2"/>
    <w:multiLevelType w:val="hybridMultilevel"/>
    <w:lvl w:ilvl="0">
      <w:lvlJc w:val="left"/>
      <w:lvlText w:val="(%1)"/>
      <w:numFmt w:val="lowerLetter"/>
      <w:start w:val="1"/>
    </w:lvl>
  </w:abstractNum>
  <w:abstractNum w:abstractNumId="144">
    <w:nsid w:val="26A02C5E"/>
    <w:multiLevelType w:val="hybridMultilevel"/>
    <w:lvl w:ilvl="0">
      <w:lvlJc w:val="left"/>
      <w:lvlText w:val="(%1)"/>
      <w:numFmt w:val="lowerLetter"/>
      <w:start w:val="4"/>
    </w:lvl>
  </w:abstractNum>
  <w:abstractNum w:abstractNumId="145">
    <w:nsid w:val="541C8153"/>
    <w:multiLevelType w:val="hybridMultilevel"/>
    <w:lvl w:ilvl="0">
      <w:lvlJc w:val="left"/>
      <w:lvlText w:val="(%1)"/>
      <w:numFmt w:val="lowerLetter"/>
      <w:start w:val="4"/>
    </w:lvl>
  </w:abstractNum>
  <w:abstractNum w:abstractNumId="146">
    <w:nsid w:val="67906F60"/>
    <w:multiLevelType w:val="hybridMultilevel"/>
    <w:lvl w:ilvl="0">
      <w:lvlJc w:val="left"/>
      <w:lvlText w:val="2"/>
      <w:numFmt w:val="bullet"/>
      <w:start w:val="1"/>
    </w:lvl>
  </w:abstractNum>
  <w:abstractNum w:abstractNumId="147">
    <w:nsid w:val="10DB9DAA"/>
    <w:multiLevelType w:val="hybridMultilevel"/>
    <w:lvl w:ilvl="0">
      <w:lvlJc w:val="left"/>
      <w:lvlText w:val="(%1)"/>
      <w:numFmt w:val="lowerRoman"/>
      <w:start w:val="2"/>
    </w:lvl>
  </w:abstractNum>
  <w:abstractNum w:abstractNumId="148">
    <w:nsid w:val="697D2D2"/>
    <w:multiLevelType w:val="hybridMultilevel"/>
    <w:lvl w:ilvl="0">
      <w:lvlJc w:val="left"/>
      <w:lvlText w:val="(%1)"/>
      <w:numFmt w:val="lowerLetter"/>
      <w:start w:val="1"/>
    </w:lvl>
  </w:abstractNum>
  <w:abstractNum w:abstractNumId="149">
    <w:nsid w:val="6D68AB2"/>
    <w:multiLevelType w:val="hybridMultilevel"/>
    <w:lvl w:ilvl="0">
      <w:lvlJc w:val="left"/>
      <w:lvlText w:val="(%1)"/>
      <w:numFmt w:val="lowerLetter"/>
      <w:start w:val="1"/>
    </w:lvl>
  </w:abstractNum>
  <w:abstractNum w:abstractNumId="150">
    <w:nsid w:val="3A966CD0"/>
    <w:multiLevelType w:val="hybridMultilevel"/>
    <w:lvl w:ilvl="0">
      <w:lvlJc w:val="left"/>
      <w:lvlText w:val="(%1)"/>
      <w:numFmt w:val="lowerLetter"/>
      <w:start w:val="1"/>
    </w:lvl>
  </w:abstractNum>
  <w:abstractNum w:abstractNumId="151">
    <w:nsid w:val="63F37E85"/>
    <w:multiLevelType w:val="hybridMultilevel"/>
    <w:lvl w:ilvl="0">
      <w:lvlJc w:val="left"/>
      <w:lvlText w:val="(%1)"/>
      <w:numFmt w:val="lowerLetter"/>
      <w:start w:val="25"/>
    </w:lvl>
  </w:abstractNum>
  <w:abstractNum w:abstractNumId="152">
    <w:nsid w:val="5895F5FA"/>
    <w:multiLevelType w:val="hybridMultilevel"/>
    <w:lvl w:ilvl="0">
      <w:lvlJc w:val="left"/>
      <w:lvlText w:val="(%1)"/>
      <w:numFmt w:val="lowerLetter"/>
      <w:start w:val="1"/>
    </w:lvl>
  </w:abstractNum>
  <w:abstractNum w:abstractNumId="153">
    <w:nsid w:val="38A5D054"/>
    <w:multiLevelType w:val="hybridMultilevel"/>
    <w:lvl w:ilvl="0">
      <w:lvlJc w:val="left"/>
      <w:lvlText w:val="(%1)"/>
      <w:numFmt w:val="lowerLetter"/>
      <w:start w:val="6"/>
    </w:lvl>
  </w:abstractNum>
  <w:abstractNum w:abstractNumId="154">
    <w:nsid w:val="F3F09D8"/>
    <w:multiLevelType w:val="hybridMultilevel"/>
    <w:lvl w:ilvl="0">
      <w:lvlJc w:val="left"/>
      <w:lvlText w:val="(%1)"/>
      <w:numFmt w:val="lowerLetter"/>
      <w:start w:val="1"/>
    </w:lvl>
  </w:abstractNum>
  <w:abstractNum w:abstractNumId="155">
    <w:nsid w:val="4B793735"/>
    <w:multiLevelType w:val="hybridMultilevel"/>
    <w:lvl w:ilvl="0">
      <w:lvlJc w:val="left"/>
      <w:lvlText w:val="(%1)"/>
      <w:numFmt w:val="lowerLetter"/>
      <w:start w:val="2"/>
    </w:lvl>
  </w:abstractNum>
  <w:abstractNum w:abstractNumId="156">
    <w:nsid w:val="4A10B4E8"/>
    <w:multiLevelType w:val="hybridMultilevel"/>
    <w:lvl w:ilvl="0">
      <w:lvlJc w:val="left"/>
      <w:lvlText w:val="%1"/>
      <w:numFmt w:val="lowerLetter"/>
      <w:start w:val="1"/>
    </w:lvl>
    <w:lvl w:ilvl="1">
      <w:lvlJc w:val="left"/>
      <w:lvlText w:val="(%2)"/>
      <w:numFmt w:val="lowerLetter"/>
      <w:start w:val="13"/>
    </w:lvl>
  </w:abstractNum>
  <w:abstractNum w:abstractNumId="157">
    <w:nsid w:val="43D3BCD4"/>
    <w:multiLevelType w:val="hybridMultilevel"/>
    <w:lvl w:ilvl="0">
      <w:lvlJc w:val="left"/>
      <w:lvlText w:val="(%1)"/>
      <w:numFmt w:val="lowerLetter"/>
      <w:start w:val="26"/>
    </w:lvl>
    <w:lvl w:ilvl="1">
      <w:lvlJc w:val="left"/>
      <w:lvlText w:val="%2"/>
      <w:numFmt w:val="lowerLetter"/>
      <w:start w:val="1"/>
    </w:lvl>
  </w:abstractNum>
  <w:abstractNum w:abstractNumId="158">
    <w:nsid w:val="4C2A7166"/>
    <w:multiLevelType w:val="hybridMultilevel"/>
    <w:lvl w:ilvl="0">
      <w:lvlJc w:val="left"/>
      <w:lvlText w:val="(%1)"/>
      <w:numFmt w:val="lowerLetter"/>
      <w:start w:val="1"/>
    </w:lvl>
  </w:abstractNum>
  <w:abstractNum w:abstractNumId="159">
    <w:nsid w:val="2E534A82"/>
    <w:multiLevelType w:val="hybridMultilevel"/>
    <w:lvl w:ilvl="0">
      <w:lvlJc w:val="left"/>
      <w:lvlText w:val="(%1)"/>
      <w:numFmt w:val="lowerLetter"/>
      <w:start w:val="5"/>
    </w:lvl>
  </w:abstractNum>
  <w:abstractNum w:abstractNumId="160">
    <w:nsid w:val="26F2D364"/>
    <w:multiLevelType w:val="hybridMultilevel"/>
    <w:lvl w:ilvl="0">
      <w:lvlJc w:val="left"/>
      <w:lvlText w:val="(%1)"/>
      <w:numFmt w:val="lowerLetter"/>
      <w:start w:val="16"/>
    </w:lvl>
  </w:abstractNum>
  <w:abstractNum w:abstractNumId="161">
    <w:nsid w:val="71C1AF98"/>
    <w:multiLevelType w:val="hybridMultilevel"/>
    <w:lvl w:ilvl="0">
      <w:lvlJc w:val="left"/>
      <w:lvlText w:val="(%1)"/>
      <w:numFmt w:val="lowerLetter"/>
      <w:start w:val="1"/>
    </w:lvl>
  </w:abstractNum>
  <w:abstractNum w:abstractNumId="162">
    <w:nsid w:val="3D00B9D9"/>
    <w:multiLevelType w:val="hybridMultilevel"/>
    <w:lvl w:ilvl="0">
      <w:lvlJc w:val="left"/>
      <w:lvlText w:val="(%1)"/>
      <w:numFmt w:val="lowerLetter"/>
      <w:start w:val="5"/>
    </w:lvl>
  </w:abstractNum>
  <w:abstractNum w:abstractNumId="163">
    <w:nsid w:val="15BCABA8"/>
    <w:multiLevelType w:val="hybridMultilevel"/>
    <w:lvl w:ilvl="0">
      <w:lvlJc w:val="left"/>
      <w:lvlText w:val="%1"/>
      <w:numFmt w:val="lowerLetter"/>
      <w:start w:val="1"/>
    </w:lvl>
    <w:lvl w:ilvl="1">
      <w:lvlJc w:val="left"/>
      <w:lvlText w:val="(%2)"/>
      <w:numFmt w:val="lowerLetter"/>
      <w:start w:val="13"/>
    </w:lvl>
  </w:abstractNum>
  <w:abstractNum w:abstractNumId="164">
    <w:nsid w:val="4E0B9A87"/>
    <w:multiLevelType w:val="hybridMultilevel"/>
    <w:lvl w:ilvl="0">
      <w:lvlJc w:val="left"/>
      <w:lvlText w:val="(%1)"/>
      <w:numFmt w:val="lowerLetter"/>
      <w:start w:val="9"/>
    </w:lvl>
    <w:lvl w:ilvl="1">
      <w:lvlJc w:val="left"/>
      <w:lvlText w:val="(%2)"/>
      <w:numFmt w:val="lowerLetter"/>
      <w:start w:val="16"/>
    </w:lvl>
  </w:abstractNum>
  <w:abstractNum w:abstractNumId="165">
    <w:nsid w:val="434BAE75"/>
    <w:multiLevelType w:val="hybridMultilevel"/>
    <w:lvl w:ilvl="0">
      <w:lvlJc w:val="left"/>
      <w:lvlText w:val="(%1)"/>
      <w:numFmt w:val="lowerLetter"/>
      <w:start w:val="18"/>
    </w:lvl>
    <w:lvl w:ilvl="1">
      <w:lvlJc w:val="left"/>
      <w:lvlText w:val="%2"/>
      <w:numFmt w:val="lowerLetter"/>
      <w:start w:val="1"/>
    </w:lvl>
  </w:abstractNum>
  <w:abstractNum w:abstractNumId="166">
    <w:nsid w:val="4F38F265"/>
    <w:multiLevelType w:val="hybridMultilevel"/>
    <w:lvl w:ilvl="0">
      <w:lvlJc w:val="left"/>
      <w:lvlText w:val="(%1)"/>
      <w:numFmt w:val="lowerLetter"/>
      <w:start w:val="1"/>
    </w:lvl>
  </w:abstractNum>
  <w:abstractNum w:abstractNumId="167">
    <w:nsid w:val="4C502870"/>
    <w:multiLevelType w:val="hybridMultilevel"/>
    <w:lvl w:ilvl="0">
      <w:lvlJc w:val="left"/>
      <w:lvlText w:val="(%1)"/>
      <w:numFmt w:val="lowerLetter"/>
      <w:start w:val="3"/>
    </w:lvl>
  </w:abstractNum>
  <w:abstractNum w:abstractNumId="168">
    <w:nsid w:val="1DE8725A"/>
    <w:multiLevelType w:val="hybridMultilevel"/>
    <w:lvl w:ilvl="0">
      <w:lvlJc w:val="left"/>
      <w:lvlText w:val="(%1)"/>
      <w:numFmt w:val="lowerLetter"/>
      <w:start w:val="16"/>
    </w:lvl>
  </w:abstractNum>
  <w:abstractNum w:abstractNumId="169">
    <w:nsid w:val="6A37288A"/>
    <w:multiLevelType w:val="hybridMultilevel"/>
    <w:lvl w:ilvl="0">
      <w:lvlJc w:val="left"/>
      <w:lvlText w:val="(%1)"/>
      <w:numFmt w:val="lowerLetter"/>
      <w:start w:val="1"/>
    </w:lvl>
  </w:abstractNum>
  <w:abstractNum w:abstractNumId="170">
    <w:nsid w:val="8F8B73F"/>
    <w:multiLevelType w:val="hybridMultilevel"/>
    <w:lvl w:ilvl="0">
      <w:lvlJc w:val="left"/>
      <w:lvlText w:val="(%1)"/>
      <w:numFmt w:val="lowerLetter"/>
      <w:start w:val="11"/>
    </w:lvl>
  </w:abstractNum>
  <w:abstractNum w:abstractNumId="171">
    <w:nsid w:val="CA6B462"/>
    <w:multiLevelType w:val="hybridMultilevel"/>
    <w:lvl w:ilvl="0">
      <w:lvlJc w:val="left"/>
      <w:lvlText w:val="(%1)"/>
      <w:numFmt w:val="lowerLetter"/>
      <w:start w:val="1"/>
    </w:lvl>
  </w:abstractNum>
  <w:abstractNum w:abstractNumId="172">
    <w:nsid w:val="763CB680"/>
    <w:multiLevelType w:val="hybridMultilevel"/>
    <w:lvl w:ilvl="0">
      <w:lvlJc w:val="left"/>
      <w:lvlText w:val="(%1)"/>
      <w:numFmt w:val="lowerLetter"/>
      <w:start w:val="5"/>
    </w:lvl>
  </w:abstractNum>
  <w:abstractNum w:abstractNumId="173">
    <w:nsid w:val="15B71329"/>
    <w:multiLevelType w:val="hybridMultilevel"/>
    <w:lvl w:ilvl="0">
      <w:lvlJc w:val="left"/>
      <w:lvlText w:val="(%1)"/>
      <w:numFmt w:val="lowerLetter"/>
      <w:start w:val="1"/>
    </w:lvl>
  </w:abstractNum>
  <w:abstractNum w:abstractNumId="174">
    <w:nsid w:val="3DA97044"/>
    <w:multiLevelType w:val="hybridMultilevel"/>
    <w:lvl w:ilvl="0">
      <w:lvlJc w:val="left"/>
      <w:lvlText w:val="(%1)"/>
      <w:numFmt w:val="lowerLetter"/>
      <w:start w:val="25"/>
    </w:lvl>
    <w:lvl w:ilvl="1">
      <w:lvlJc w:val="left"/>
      <w:lvlText w:val="(%2)"/>
      <w:numFmt w:val="lowerLetter"/>
      <w:start w:val="1"/>
    </w:lvl>
  </w:abstractNum>
  <w:abstractNum w:abstractNumId="175">
    <w:nsid w:val="1CDCE2DE"/>
    <w:multiLevelType w:val="hybridMultilevel"/>
    <w:lvl w:ilvl="0">
      <w:lvlJc w:val="left"/>
      <w:lvlText w:val="(%1)"/>
      <w:numFmt w:val="lowerLetter"/>
      <w:start w:val="1"/>
    </w:lvl>
  </w:abstractNum>
  <w:abstractNum w:abstractNumId="176">
    <w:nsid w:val="69D3947C"/>
    <w:multiLevelType w:val="hybridMultilevel"/>
    <w:lvl w:ilvl="0">
      <w:lvlJc w:val="left"/>
      <w:lvlText w:val="(%1)"/>
      <w:numFmt w:val="lowerLetter"/>
      <w:start w:val="25"/>
    </w:lvl>
    <w:lvl w:ilvl="1">
      <w:lvlJc w:val="left"/>
      <w:lvlText w:val="(%2)"/>
      <w:numFmt w:val="lowerLetter"/>
      <w:start w:val="1"/>
    </w:lvl>
  </w:abstractNum>
  <w:abstractNum w:abstractNumId="177">
    <w:nsid w:val="2539DFA5"/>
    <w:multiLevelType w:val="hybridMultilevel"/>
    <w:lvl w:ilvl="0">
      <w:lvlJc w:val="left"/>
      <w:lvlText w:val="%1."/>
      <w:numFmt w:val="decimal"/>
      <w:start w:val="1"/>
    </w:lvl>
  </w:abstractNum>
  <w:abstractNum w:abstractNumId="178">
    <w:nsid w:val="2DB88089"/>
    <w:multiLevelType w:val="hybridMultilevel"/>
    <w:lvl w:ilvl="0">
      <w:lvlJc w:val="left"/>
      <w:lvlText w:val="%1."/>
      <w:numFmt w:val="decimal"/>
      <w:start w:val="4"/>
    </w:lvl>
  </w:abstractNum>
  <w:abstractNum w:abstractNumId="179">
    <w:nsid w:val="706B674E"/>
    <w:multiLevelType w:val="hybridMultilevel"/>
    <w:lvl w:ilvl="0">
      <w:lvlJc w:val="left"/>
      <w:lvlText w:val="3"/>
      <w:numFmt w:val="bullet"/>
      <w:start w:val="1"/>
    </w:lvl>
  </w:abstractNum>
  <w:abstractNum w:abstractNumId="180">
    <w:nsid w:val="2C106A57"/>
    <w:multiLevelType w:val="hybridMultilevel"/>
    <w:lvl w:ilvl="0">
      <w:lvlJc w:val="left"/>
      <w:lvlText w:val="%1."/>
      <w:numFmt w:val="decimal"/>
      <w:start w:val="7"/>
    </w:lvl>
  </w:abstractNum>
  <w:abstractNum w:abstractNumId="181">
    <w:nsid w:val="684EED59"/>
    <w:multiLevelType w:val="hybridMultilevel"/>
    <w:lvl w:ilvl="0">
      <w:lvlJc w:val="left"/>
      <w:lvlText w:val="%1"/>
      <w:numFmt w:val="decimal"/>
      <w:start w:val="14"/>
    </w:lvl>
  </w:abstractNum>
  <w:abstractNum w:abstractNumId="182">
    <w:nsid w:val="545EE5D3"/>
    <w:multiLevelType w:val="hybridMultilevel"/>
    <w:lvl w:ilvl="0">
      <w:lvlJc w:val="left"/>
      <w:lvlText w:val="(%1)"/>
      <w:numFmt w:val="lowerLetter"/>
      <w:start w:val="1"/>
    </w:lvl>
  </w:abstractNum>
  <w:abstractNum w:abstractNumId="183">
    <w:nsid w:val="4A66051"/>
    <w:multiLevelType w:val="hybridMultilevel"/>
    <w:lvl w:ilvl="0">
      <w:lvlJc w:val="left"/>
      <w:lvlText w:val="(%1)"/>
      <w:numFmt w:val="lowerRoman"/>
      <w:start w:val="1"/>
    </w:lvl>
  </w:abstractNum>
  <w:abstractNum w:abstractNumId="184">
    <w:nsid w:val="20F4BDAD"/>
    <w:multiLevelType w:val="hybridMultilevel"/>
    <w:lvl w:ilvl="0">
      <w:lvlJc w:val="left"/>
      <w:lvlText w:val="(%1)"/>
      <w:numFmt w:val="lowerRoman"/>
      <w:start w:val="5"/>
    </w:lvl>
  </w:abstractNum>
  <w:abstractNum w:abstractNumId="185">
    <w:nsid w:val="639DEFAC"/>
    <w:multiLevelType w:val="hybridMultilevel"/>
    <w:lvl w:ilvl="0">
      <w:lvlJc w:val="left"/>
      <w:lvlText w:val="(%1)"/>
      <w:numFmt w:val="lowerLetter"/>
      <w:start w:val="1"/>
    </w:lvl>
  </w:abstractNum>
  <w:abstractNum w:abstractNumId="186">
    <w:nsid w:val="501F9786"/>
    <w:multiLevelType w:val="hybridMultilevel"/>
    <w:lvl w:ilvl="0">
      <w:lvlJc w:val="left"/>
      <w:lvlText w:val="(%1)"/>
      <w:numFmt w:val="lowerRoman"/>
      <w:start w:val="1"/>
    </w:lvl>
  </w:abstractNum>
  <w:abstractNum w:abstractNumId="187">
    <w:nsid w:val="6B057295"/>
    <w:multiLevelType w:val="hybridMultilevel"/>
    <w:lvl w:ilvl="0">
      <w:lvlJc w:val="left"/>
      <w:lvlText w:val="(%1)"/>
      <w:numFmt w:val="lowerRoman"/>
      <w:start w:val="5"/>
    </w:lvl>
  </w:abstractNum>
  <w:abstractNum w:abstractNumId="188">
    <w:nsid w:val="2771AC80"/>
    <w:multiLevelType w:val="hybridMultilevel"/>
    <w:lvl w:ilvl="0">
      <w:lvlJc w:val="left"/>
      <w:lvlText w:val="(%1)"/>
      <w:numFmt w:val="lowerLetter"/>
      <w:start w:val="1"/>
    </w:lvl>
  </w:abstractNum>
  <w:abstractNum w:abstractNumId="189">
    <w:nsid w:val="1C4A08EC"/>
    <w:multiLevelType w:val="hybridMultilevel"/>
    <w:lvl w:ilvl="0">
      <w:lvlJc w:val="left"/>
      <w:lvlText w:val="(%1)"/>
      <w:numFmt w:val="lowerLetter"/>
      <w:start w:val="2"/>
    </w:lvl>
  </w:abstractNum>
  <w:abstractNum w:abstractNumId="190">
    <w:nsid w:val="1958BD17"/>
    <w:multiLevelType w:val="hybridMultilevel"/>
    <w:lvl w:ilvl="0">
      <w:lvlJc w:val="left"/>
      <w:lvlText w:val="(%1)"/>
      <w:numFmt w:val="lowerLetter"/>
      <w:start w:val="1"/>
    </w:lvl>
  </w:abstractNum>
  <w:abstractNum w:abstractNumId="191">
    <w:nsid w:val="4E647FE4"/>
    <w:multiLevelType w:val="hybridMultilevel"/>
    <w:lvl w:ilvl="0">
      <w:lvlJc w:val="left"/>
      <w:lvlText w:val="(%1)"/>
      <w:numFmt w:val="lowerLetter"/>
      <w:start w:val="6"/>
    </w:lvl>
  </w:abstractNum>
  <w:abstractNum w:abstractNumId="192">
    <w:nsid w:val="E0BB885"/>
    <w:multiLevelType w:val="hybridMultilevel"/>
    <w:lvl w:ilvl="0">
      <w:lvlJc w:val="left"/>
      <w:lvlText w:val="(%1)"/>
      <w:numFmt w:val="lowerLetter"/>
      <w:start w:val="1"/>
    </w:lvl>
  </w:abstractNum>
  <w:abstractNum w:abstractNumId="193">
    <w:nsid w:val="565976F1"/>
    <w:multiLevelType w:val="hybridMultilevel"/>
    <w:lvl w:ilvl="0">
      <w:lvlJc w:val="left"/>
      <w:lvlText w:val="(%1)"/>
      <w:numFmt w:val="lowerLetter"/>
      <w:start w:val="3"/>
    </w:lvl>
  </w:abstractNum>
  <w:abstractNum w:abstractNumId="194">
    <w:nsid w:val="64212B8C"/>
    <w:multiLevelType w:val="hybridMultilevel"/>
    <w:lvl w:ilvl="0">
      <w:lvlJc w:val="left"/>
      <w:lvlText w:val="(%1)"/>
      <w:numFmt w:val="lowerLetter"/>
      <w:start w:val="22"/>
    </w:lvl>
  </w:abstractNum>
  <w:abstractNum w:abstractNumId="195">
    <w:nsid w:val="5C17530C"/>
    <w:multiLevelType w:val="hybridMultilevel"/>
    <w:lvl w:ilvl="0">
      <w:lvlJc w:val="left"/>
      <w:lvlText w:val="(%1)"/>
      <w:numFmt w:val="lowerLetter"/>
      <w:start w:val="1"/>
    </w:lvl>
  </w:abstractNum>
  <w:abstractNum w:abstractNumId="196">
    <w:nsid w:val="19A52566"/>
    <w:multiLevelType w:val="hybridMultilevel"/>
    <w:lvl w:ilvl="0">
      <w:lvlJc w:val="left"/>
      <w:lvlText w:val="(%1)"/>
      <w:numFmt w:val="lowerLetter"/>
      <w:start w:val="1"/>
    </w:lvl>
  </w:abstractNum>
  <w:abstractNum w:abstractNumId="197">
    <w:nsid w:val="335A1DF1"/>
    <w:multiLevelType w:val="hybridMultilevel"/>
    <w:lvl w:ilvl="0">
      <w:lvlJc w:val="left"/>
      <w:lvlText w:val="(%1)"/>
      <w:numFmt w:val="lowerLetter"/>
      <w:start w:val="1"/>
    </w:lvl>
  </w:abstractNum>
  <w:abstractNum w:abstractNumId="198">
    <w:nsid w:val="28677B7C"/>
    <w:multiLevelType w:val="hybridMultilevel"/>
    <w:lvl w:ilvl="0">
      <w:lvlJc w:val="left"/>
      <w:lvlText w:val="(%1)"/>
      <w:numFmt w:val="lowerRoman"/>
      <w:start w:val="1"/>
    </w:lvl>
  </w:abstractNum>
  <w:abstractNum w:abstractNumId="199">
    <w:nsid w:val="378D97C0"/>
    <w:multiLevelType w:val="hybridMultilevel"/>
    <w:lvl w:ilvl="0">
      <w:lvlJc w:val="left"/>
      <w:lvlText w:val="(%1)"/>
      <w:numFmt w:val="lowerRoman"/>
      <w:start w:val="2"/>
    </w:lvl>
  </w:abstractNum>
  <w:abstractNum w:abstractNumId="200">
    <w:nsid w:val="1D91467C"/>
    <w:multiLevelType w:val="hybridMultilevel"/>
    <w:lvl w:ilvl="0">
      <w:lvlJc w:val="left"/>
      <w:lvlText w:val="%1"/>
      <w:numFmt w:val="lowerLetter"/>
      <w:start w:val="1"/>
    </w:lvl>
    <w:lvl w:ilvl="1">
      <w:lvlJc w:val="left"/>
      <w:lvlText w:val="(%2)"/>
      <w:numFmt w:val="lowerLetter"/>
      <w:start w:val="2"/>
    </w:lvl>
  </w:abstractNum>
  <w:abstractNum w:abstractNumId="201">
    <w:nsid w:val="316032BB"/>
    <w:multiLevelType w:val="hybridMultilevel"/>
    <w:lvl w:ilvl="0">
      <w:lvlJc w:val="left"/>
      <w:lvlText w:val="(%1)"/>
      <w:numFmt w:val="lowerLetter"/>
      <w:start w:val="9"/>
    </w:lvl>
    <w:lvl w:ilvl="1">
      <w:lvlJc w:val="left"/>
      <w:lvlText w:val="%2"/>
      <w:numFmt w:val="lowerLetter"/>
      <w:start w:val="1"/>
    </w:lvl>
  </w:abstractNum>
  <w:abstractNum w:abstractNumId="202">
    <w:nsid w:val="44344C22"/>
    <w:multiLevelType w:val="hybridMultilevel"/>
    <w:lvl w:ilvl="0">
      <w:lvlJc w:val="left"/>
      <w:lvlText w:val="(%1)"/>
      <w:numFmt w:val="lowerLetter"/>
      <w:start w:val="1"/>
    </w:lvl>
  </w:abstractNum>
  <w:abstractNum w:abstractNumId="203">
    <w:nsid w:val="13CDFCFC"/>
    <w:multiLevelType w:val="hybridMultilevel"/>
    <w:lvl w:ilvl="0">
      <w:lvlJc w:val="left"/>
      <w:lvlText w:val="(%1)"/>
      <w:numFmt w:val="lowerRoman"/>
      <w:start w:val="1"/>
    </w:lvl>
  </w:abstractNum>
  <w:abstractNum w:abstractNumId="204">
    <w:nsid w:val="471745E4"/>
    <w:multiLevelType w:val="hybridMultilevel"/>
    <w:lvl w:ilvl="0">
      <w:lvlJc w:val="left"/>
      <w:lvlText w:val="(%1)"/>
      <w:numFmt w:val="lowerRoman"/>
      <w:start w:val="2"/>
    </w:lvl>
  </w:abstractNum>
  <w:abstractNum w:abstractNumId="205">
    <w:nsid w:val="1DDBC66"/>
    <w:multiLevelType w:val="hybridMultilevel"/>
    <w:lvl w:ilvl="0">
      <w:lvlJc w:val="left"/>
      <w:lvlText w:val="(%1)"/>
      <w:numFmt w:val="lowerLetter"/>
      <w:start w:val="2"/>
    </w:lvl>
  </w:abstractNum>
  <w:abstractNum w:abstractNumId="206">
    <w:nsid w:val="30AADFDA"/>
    <w:multiLevelType w:val="hybridMultilevel"/>
    <w:lvl w:ilvl="0">
      <w:lvlJc w:val="left"/>
      <w:lvlText w:val="(%1)"/>
      <w:numFmt w:val="lowerLetter"/>
      <w:start w:val="1"/>
    </w:lvl>
  </w:abstractNum>
  <w:abstractNum w:abstractNumId="207">
    <w:nsid w:val="30EADA61"/>
    <w:multiLevelType w:val="hybridMultilevel"/>
    <w:lvl w:ilvl="0">
      <w:lvlJc w:val="left"/>
      <w:lvlText w:val="(%1)"/>
      <w:numFmt w:val="lowerLetter"/>
      <w:start w:val="2"/>
    </w:lvl>
  </w:abstractNum>
  <w:abstractNum w:abstractNumId="208">
    <w:nsid w:val="27179C0B"/>
    <w:multiLevelType w:val="hybridMultilevel"/>
    <w:lvl w:ilvl="0">
      <w:lvlJc w:val="left"/>
      <w:lvlText w:val="(%1)"/>
      <w:numFmt w:val="lowerLetter"/>
      <w:start w:val="6"/>
    </w:lvl>
  </w:abstractNum>
  <w:abstractNum w:abstractNumId="209">
    <w:nsid w:val="5E636063"/>
    <w:multiLevelType w:val="hybridMultilevel"/>
    <w:lvl w:ilvl="0">
      <w:lvlJc w:val="left"/>
      <w:lvlText w:val="(%1)"/>
      <w:numFmt w:val="lowerRoman"/>
      <w:start w:val="1"/>
    </w:lvl>
  </w:abstractNum>
  <w:abstractNum w:abstractNumId="210">
    <w:nsid w:val="215641AF"/>
    <w:multiLevelType w:val="hybridMultilevel"/>
    <w:lvl w:ilvl="0">
      <w:lvlJc w:val="left"/>
      <w:lvlText w:val="(%1)"/>
      <w:numFmt w:val="lowerLetter"/>
      <w:start w:val="7"/>
    </w:lvl>
  </w:abstractNum>
  <w:abstractNum w:abstractNumId="211">
    <w:nsid w:val="53280662"/>
    <w:multiLevelType w:val="hybridMultilevel"/>
    <w:lvl w:ilvl="0">
      <w:lvlJc w:val="left"/>
      <w:lvlText w:val="(%1)"/>
      <w:numFmt w:val="lowerLetter"/>
      <w:start w:val="1"/>
    </w:lvl>
  </w:abstractNum>
  <w:abstractNum w:abstractNumId="212">
    <w:nsid w:val="46B24DBC"/>
    <w:multiLevelType w:val="hybridMultilevel"/>
    <w:lvl w:ilvl="0">
      <w:lvlJc w:val="left"/>
      <w:lvlText w:val="(%1)"/>
      <w:numFmt w:val="lowerRoman"/>
      <w:start w:val="1"/>
    </w:lvl>
  </w:abstractNum>
  <w:abstractNum w:abstractNumId="213">
    <w:nsid w:val="75B52783"/>
    <w:multiLevelType w:val="hybridMultilevel"/>
    <w:lvl w:ilvl="0">
      <w:lvlJc w:val="left"/>
      <w:lvlText w:val="(%1)"/>
      <w:numFmt w:val="lowerLetter"/>
      <w:start w:val="3"/>
    </w:lvl>
  </w:abstractNum>
  <w:abstractNum w:abstractNumId="214">
    <w:nsid w:val="57CE66B4"/>
    <w:multiLevelType w:val="hybridMultilevel"/>
    <w:lvl w:ilvl="0">
      <w:lvlJc w:val="left"/>
      <w:lvlText w:val="(%1)"/>
      <w:numFmt w:val="lowerLetter"/>
      <w:start w:val="1"/>
    </w:lvl>
  </w:abstractNum>
  <w:abstractNum w:abstractNumId="215">
    <w:nsid w:val="67A70B69"/>
    <w:multiLevelType w:val="hybridMultilevel"/>
    <w:lvl w:ilvl="0">
      <w:lvlJc w:val="left"/>
      <w:lvlText w:val="(%1)"/>
      <w:numFmt w:val="lowerLetter"/>
      <w:start w:val="1"/>
    </w:lvl>
  </w:abstractNum>
  <w:abstractNum w:abstractNumId="216">
    <w:nsid w:val="5953172F"/>
    <w:multiLevelType w:val="hybridMultilevel"/>
    <w:lvl w:ilvl="0">
      <w:lvlJc w:val="left"/>
      <w:lvlText w:val="(%1)"/>
      <w:numFmt w:val="lowerLetter"/>
      <w:start w:val="1"/>
    </w:lvl>
  </w:abstractNum>
  <w:abstractNum w:abstractNumId="217">
    <w:nsid w:val="27EDFE3A"/>
    <w:multiLevelType w:val="hybridMultilevel"/>
    <w:lvl w:ilvl="0">
      <w:lvlJc w:val="left"/>
      <w:lvlText w:val="(%1)"/>
      <w:numFmt w:val="lowerRoman"/>
      <w:start w:val="1"/>
    </w:lvl>
  </w:abstractNum>
  <w:abstractNum w:abstractNumId="218">
    <w:nsid w:val="52AC7DFF"/>
    <w:multiLevelType w:val="hybridMultilevel"/>
    <w:lvl w:ilvl="0">
      <w:lvlJc w:val="left"/>
      <w:lvlText w:val="(%1)"/>
      <w:numFmt w:val="lowerRoman"/>
      <w:start w:val="6"/>
    </w:lvl>
  </w:abstractNum>
  <w:abstractNum w:abstractNumId="219">
    <w:nsid w:val="C4C3AF"/>
    <w:multiLevelType w:val="hybridMultilevel"/>
    <w:lvl w:ilvl="0">
      <w:lvlJc w:val="left"/>
      <w:lvlText w:val="(%1)"/>
      <w:numFmt w:val="lowerLetter"/>
      <w:start w:val="2"/>
    </w:lvl>
  </w:abstractNum>
  <w:abstractNum w:abstractNumId="220">
    <w:nsid w:val="44380727"/>
    <w:multiLevelType w:val="hybridMultilevel"/>
    <w:lvl w:ilvl="0">
      <w:lvlJc w:val="left"/>
      <w:lvlText w:val="(%1)"/>
      <w:numFmt w:val="lowerLetter"/>
      <w:start w:val="1"/>
    </w:lvl>
  </w:abstractNum>
  <w:abstractNum w:abstractNumId="221">
    <w:nsid w:val="6C053B16"/>
    <w:multiLevelType w:val="hybridMultilevel"/>
    <w:lvl w:ilvl="0">
      <w:lvlJc w:val="left"/>
      <w:lvlText w:val="(%1)"/>
      <w:numFmt w:val="lowerLetter"/>
      <w:start w:val="2"/>
    </w:lvl>
  </w:abstractNum>
  <w:abstractNum w:abstractNumId="222">
    <w:nsid w:val="4F294393"/>
    <w:multiLevelType w:val="hybridMultilevel"/>
    <w:lvl w:ilvl="0">
      <w:lvlJc w:val="left"/>
      <w:lvlText w:val="(%1)"/>
      <w:numFmt w:val="lowerLetter"/>
      <w:start w:val="1"/>
    </w:lvl>
  </w:abstractNum>
  <w:abstractNum w:abstractNumId="223">
    <w:nsid w:val="5243BFAC"/>
    <w:multiLevelType w:val="hybridMultilevel"/>
    <w:lvl w:ilvl="0">
      <w:lvlJc w:val="left"/>
      <w:lvlText w:val="(%1)"/>
      <w:numFmt w:val="lowerLetter"/>
      <w:start w:val="4"/>
    </w:lvl>
  </w:abstractNum>
  <w:abstractNum w:abstractNumId="224">
    <w:nsid w:val="425EB207"/>
    <w:multiLevelType w:val="hybridMultilevel"/>
    <w:lvl w:ilvl="0">
      <w:lvlJc w:val="left"/>
      <w:lvlText w:val="(%1)"/>
      <w:numFmt w:val="lowerLetter"/>
      <w:start w:val="1"/>
    </w:lvl>
  </w:abstractNum>
  <w:abstractNum w:abstractNumId="225">
    <w:nsid w:val="334A6F1F"/>
    <w:multiLevelType w:val="hybridMultilevel"/>
    <w:lvl w:ilvl="0">
      <w:lvlJc w:val="left"/>
      <w:lvlText w:val="(%1)"/>
      <w:numFmt w:val="lowerLetter"/>
      <w:start w:val="1"/>
    </w:lvl>
  </w:abstractNum>
  <w:abstractNum w:abstractNumId="226">
    <w:nsid w:val="2E5B12B8"/>
    <w:multiLevelType w:val="hybridMultilevel"/>
    <w:lvl w:ilvl="0">
      <w:lvlJc w:val="left"/>
      <w:lvlText w:val="1"/>
      <w:numFmt w:val="bullet"/>
      <w:start w:val="1"/>
    </w:lvl>
  </w:abstractNum>
  <w:abstractNum w:abstractNumId="227">
    <w:nsid w:val="5C03D76D"/>
    <w:multiLevelType w:val="hybridMultilevel"/>
    <w:lvl w:ilvl="0">
      <w:lvlJc w:val="left"/>
      <w:lvlText w:val="(%1)"/>
      <w:numFmt w:val="lowerLetter"/>
      <w:start w:val="5"/>
    </w:lvl>
  </w:abstractNum>
  <w:abstractNum w:abstractNumId="228">
    <w:nsid w:val="66A48D11"/>
    <w:multiLevelType w:val="hybridMultilevel"/>
    <w:lvl w:ilvl="0">
      <w:lvlJc w:val="left"/>
      <w:lvlText w:val="(%1)"/>
      <w:numFmt w:val="lowerLetter"/>
      <w:start w:val="1"/>
    </w:lvl>
  </w:abstractNum>
  <w:abstractNum w:abstractNumId="229">
    <w:nsid w:val="56C28E34"/>
    <w:multiLevelType w:val="hybridMultilevel"/>
    <w:lvl w:ilvl="0">
      <w:lvlJc w:val="left"/>
      <w:lvlText w:val="(%1)"/>
      <w:numFmt w:val="lowerLetter"/>
      <w:start w:val="4"/>
    </w:lvl>
  </w:abstractNum>
  <w:abstractNum w:abstractNumId="230">
    <w:nsid w:val="13916F2D"/>
    <w:multiLevelType w:val="hybridMultilevel"/>
    <w:lvl w:ilvl="0">
      <w:lvlJc w:val="left"/>
      <w:lvlText w:val="%1."/>
      <w:numFmt w:val="decimal"/>
      <w:start w:val="1"/>
    </w:lvl>
  </w:abstractNum>
  <w:abstractNum w:abstractNumId="231">
    <w:nsid w:val="435D38D"/>
    <w:multiLevelType w:val="hybridMultilevel"/>
    <w:lvl w:ilvl="0">
      <w:lvlJc w:val="left"/>
      <w:lvlText w:val="%1."/>
      <w:numFmt w:val="decimal"/>
      <w:start w:val="1"/>
    </w:lvl>
  </w:abstractNum>
  <w:abstractNum w:abstractNumId="232">
    <w:nsid w:val="822C0EF"/>
    <w:multiLevelType w:val="hybridMultilevel"/>
    <w:lvl w:ilvl="0">
      <w:lvlJc w:val="left"/>
      <w:lvlText w:val="(%1)"/>
      <w:numFmt w:val="lowerLetter"/>
      <w:start w:val="1"/>
    </w:lvl>
  </w:abstractNum>
  <w:abstractNum w:abstractNumId="233">
    <w:nsid w:val="57C5BB4F"/>
    <w:multiLevelType w:val="hybridMultilevel"/>
    <w:lvl w:ilvl="0">
      <w:lvlJc w:val="left"/>
      <w:lvlText w:val="%1."/>
      <w:numFmt w:val="decimal"/>
      <w:start w:val="2"/>
    </w:lvl>
  </w:abstractNum>
  <w:abstractNum w:abstractNumId="234">
    <w:nsid w:val="1803D089"/>
    <w:multiLevelType w:val="hybridMultilevel"/>
    <w:lvl w:ilvl="0">
      <w:lvlJc w:val="left"/>
      <w:lvlText w:val="(%1)"/>
      <w:numFmt w:val="lowerLetter"/>
      <w:start w:val="1"/>
    </w:lvl>
  </w:abstractNum>
  <w:abstractNum w:abstractNumId="235">
    <w:nsid w:val="4F3A06D4"/>
    <w:multiLevelType w:val="hybridMultilevel"/>
    <w:lvl w:ilvl="0">
      <w:lvlJc w:val="left"/>
      <w:lvlText w:val="(%1)"/>
      <w:numFmt w:val="lowerLetter"/>
      <w:start w:val="2"/>
    </w:lvl>
  </w:abstractNum>
  <w:abstractNum w:abstractNumId="236">
    <w:nsid w:val="59A377B6"/>
    <w:multiLevelType w:val="hybridMultilevel"/>
    <w:lvl w:ilvl="0">
      <w:lvlJc w:val="left"/>
      <w:lvlText w:val="%1."/>
      <w:numFmt w:val="decimal"/>
      <w:start w:val="3"/>
    </w:lvl>
  </w:abstractNum>
  <w:abstractNum w:abstractNumId="237">
    <w:nsid w:val="48AEB063"/>
    <w:multiLevelType w:val="hybridMultilevel"/>
    <w:lvl w:ilvl="0">
      <w:lvlJc w:val="left"/>
      <w:lvlText w:val="(%1)"/>
      <w:numFmt w:val="lowerLetter"/>
      <w:start w:val="1"/>
    </w:lvl>
  </w:abstractNum>
  <w:abstractNum w:abstractNumId="238">
    <w:nsid w:val="24E135"/>
    <w:multiLevelType w:val="hybridMultilevel"/>
    <w:lvl w:ilvl="0">
      <w:lvlJc w:val="left"/>
      <w:lvlText w:val="%1."/>
      <w:numFmt w:val="decimal"/>
      <w:start w:val="4"/>
    </w:lvl>
  </w:abstractNum>
  <w:abstractNum w:abstractNumId="239">
    <w:nsid w:val="BB13C1"/>
    <w:multiLevelType w:val="hybridMultilevel"/>
    <w:lvl w:ilvl="0">
      <w:lvlJc w:val="left"/>
      <w:lvlText w:val="(%1)"/>
      <w:numFmt w:val="lowerLetter"/>
      <w:start w:val="1"/>
    </w:lvl>
  </w:abstractNum>
  <w:abstractNum w:abstractNumId="240">
    <w:nsid w:val="271210C7"/>
    <w:multiLevelType w:val="hybridMultilevel"/>
    <w:lvl w:ilvl="0">
      <w:lvlJc w:val="left"/>
      <w:lvlText w:val="%1."/>
      <w:numFmt w:val="decimal"/>
      <w:start w:val="7"/>
    </w:lvl>
  </w:abstractNum>
  <w:abstractNum w:abstractNumId="241">
    <w:nsid w:val="217B22E4"/>
    <w:multiLevelType w:val="hybridMultilevel"/>
    <w:lvl w:ilvl="0">
      <w:lvlJc w:val="left"/>
      <w:lvlText w:val="(%1)"/>
      <w:numFmt w:val="lowerRoman"/>
      <w:start w:val="1"/>
    </w:lvl>
  </w:abstractNum>
  <w:abstractNum w:abstractNumId="242">
    <w:nsid w:val="53E31A24"/>
    <w:multiLevelType w:val="hybridMultilevel"/>
    <w:lvl w:ilvl="0">
      <w:lvlJc w:val="left"/>
      <w:lvlText w:val="%1."/>
      <w:numFmt w:val="decimal"/>
      <w:start w:val="1"/>
    </w:lvl>
    <w:lvl w:ilvl="1">
      <w:lvlJc w:val="left"/>
      <w:lvlText w:val="(%2)"/>
      <w:numFmt w:val="lowerLetter"/>
      <w:start w:val="1"/>
    </w:lvl>
  </w:abstractNum>
  <w:abstractNum w:abstractNumId="243">
    <w:nsid w:val="6DC45E83"/>
    <w:multiLevelType w:val="hybridMultilevel"/>
    <w:lvl w:ilvl="0">
      <w:lvlJc w:val="left"/>
      <w:lvlText w:val="%1."/>
      <w:numFmt w:val="decimal"/>
      <w:start w:val="1"/>
    </w:lvl>
    <w:lvl w:ilvl="1">
      <w:lvlJc w:val="left"/>
      <w:lvlText w:val="(%2)"/>
      <w:numFmt w:val="lowerLetter"/>
      <w:start w:val="1"/>
    </w:lvl>
  </w:abstractNum>
  <w:abstractNum w:abstractNumId="244">
    <w:nsid w:val="17304A67"/>
    <w:multiLevelType w:val="hybridMultilevel"/>
    <w:lvl w:ilvl="0">
      <w:lvlJc w:val="left"/>
      <w:lvlText w:val="(%1)"/>
      <w:numFmt w:val="decimal"/>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110" Type="http://schemas.openxmlformats.org/officeDocument/2006/relationships/hyperlink" Target="http://www.sec.gov/Archives/edgar/data/0001668243/000119312517175069/d40199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2026-05-06T07:12:25Z</dcterms:created>
  <dcterms:modified xsi:type="dcterms:W3CDTF">2026-05-06T07:12:25Z</dcterms:modified>
</cp:coreProperties>
</file>